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AC2DCF" w14:textId="27BE7F04" w:rsidR="00312AF8" w:rsidRDefault="00312AF8" w:rsidP="00FD1DE4">
      <w:pPr>
        <w:pStyle w:val="ListParagraph"/>
        <w:numPr>
          <w:ilvl w:val="0"/>
          <w:numId w:val="5"/>
        </w:numPr>
      </w:pPr>
      <w:r>
        <w:t>Short discussion on the comparison with the Neptune</w:t>
      </w:r>
    </w:p>
    <w:p w14:paraId="3F663D0F" w14:textId="4F283DC6" w:rsidR="00312AF8" w:rsidRDefault="00312AF8" w:rsidP="00312AF8">
      <w:r>
        <w:t xml:space="preserve">Table </w:t>
      </w:r>
      <w:r w:rsidR="00814131">
        <w:t>S</w:t>
      </w:r>
      <w:r w:rsidR="00FB733B">
        <w:t>1</w:t>
      </w:r>
      <w:r>
        <w:t xml:space="preserve"> reports the values for the in-house standard CPI analysed during the course of this project (6 month c.a. for a total of 203 replicates of the solution). The data are compared against the value obtained for analysing the same solution on the MC-ICPMS Neptune using standard sample bracketing (SSB), used for the analysis of lead white in </w:t>
      </w:r>
      <w:r w:rsidR="008501CF" w:rsidRPr="008501CF">
        <w:rPr>
          <w:rFonts w:ascii="Calibri" w:hAnsi="Calibri" w:cs="Calibri"/>
          <w:color w:val="000000"/>
        </w:rPr>
        <w:t>[1–5]</w:t>
      </w:r>
      <w:r>
        <w:t>, and the value obtained analysing the same sample in Klaver et al 2015, that characterised CPI using double spike (DS) technique on three replicates.</w:t>
      </w:r>
    </w:p>
    <w:p w14:paraId="7259A566" w14:textId="3E392211" w:rsidR="00312AF8" w:rsidRDefault="00312AF8" w:rsidP="00312AF8">
      <w:r>
        <w:t xml:space="preserve">The data of the three techniques are within analytical error for the </w:t>
      </w:r>
      <w:r w:rsidRPr="00872603">
        <w:t>²⁰⁶Pb/²⁰⁴Pb</w:t>
      </w:r>
      <w:r>
        <w:t xml:space="preserve">, </w:t>
      </w:r>
      <w:r w:rsidRPr="00872603">
        <w:t>²⁰⁷Pb/²⁰⁴Pb</w:t>
      </w:r>
      <w:r>
        <w:t xml:space="preserve"> and </w:t>
      </w:r>
      <w:r w:rsidRPr="00872603">
        <w:t>²⁰⁸Pb/²⁰⁴P</w:t>
      </w:r>
      <w:r>
        <w:t>b. The external error (2SD) of the Neoma MC-ICPMS is lower compared to the one obtained on the Neptune</w:t>
      </w:r>
      <w:r w:rsidR="004210FD">
        <w:t>. Note that the total</w:t>
      </w:r>
      <w:r>
        <w:t xml:space="preserve"> </w:t>
      </w:r>
      <w:r w:rsidR="004210FD">
        <w:t>number of replicates</w:t>
      </w:r>
      <w:r>
        <w:t xml:space="preserve"> and time</w:t>
      </w:r>
      <w:r w:rsidR="004210FD">
        <w:t xml:space="preserve"> span</w:t>
      </w:r>
      <w:r>
        <w:t xml:space="preserve"> for the </w:t>
      </w:r>
      <w:r w:rsidR="00814131">
        <w:t>Neoma</w:t>
      </w:r>
      <w:r>
        <w:t xml:space="preserve"> is </w:t>
      </w:r>
      <w:r w:rsidR="00814131">
        <w:t>inferior</w:t>
      </w:r>
      <w:r w:rsidR="004210FD">
        <w:t>,</w:t>
      </w:r>
      <w:r>
        <w:t xml:space="preserve"> </w:t>
      </w:r>
      <w:r w:rsidR="004210FD">
        <w:t xml:space="preserve">therefore the 2SD for the Neoma could </w:t>
      </w:r>
      <w:r>
        <w:t xml:space="preserve">change in the future as more </w:t>
      </w:r>
      <w:r w:rsidR="004210FD">
        <w:t>analyses</w:t>
      </w:r>
      <w:r>
        <w:t xml:space="preserve"> are conducted. The DS analys</w:t>
      </w:r>
      <w:r w:rsidR="00FB733B">
        <w:t>e</w:t>
      </w:r>
      <w:r>
        <w:t xml:space="preserve">s were done only in one session using 3 replicates, therefore there is no possible to compare the external error on the CPI of the DS TIMS analysis vs the Neoma Tl doped analysis. There is a bias between the values obtained via the three methods, between 50 and 150 ppm for the three ratios. This bias is not significant as within error, and consistent with data reported in literature </w:t>
      </w:r>
      <w:r w:rsidR="008501CF" w:rsidRPr="008501CF">
        <w:rPr>
          <w:rFonts w:ascii="Calibri" w:hAnsi="Calibri" w:cs="Calibri"/>
          <w:color w:val="000000"/>
        </w:rPr>
        <w:t>[6]</w:t>
      </w:r>
      <w:r>
        <w:t>. For the present project</w:t>
      </w:r>
      <w:r w:rsidR="004210FD">
        <w:t>,</w:t>
      </w:r>
      <w:r>
        <w:t xml:space="preserve"> it doesn’t affect </w:t>
      </w:r>
      <w:r w:rsidR="004210FD">
        <w:t xml:space="preserve">the </w:t>
      </w:r>
      <w:r>
        <w:t>provenance study of lead white</w:t>
      </w:r>
      <w:r w:rsidR="004210FD">
        <w:t>.</w:t>
      </w:r>
      <w:r>
        <w:t xml:space="preserve"> </w:t>
      </w:r>
      <w:r w:rsidR="004210FD">
        <w:t>M</w:t>
      </w:r>
      <w:r>
        <w:t xml:space="preserve">ore </w:t>
      </w:r>
      <w:r w:rsidR="004210FD">
        <w:t>tests</w:t>
      </w:r>
      <w:r>
        <w:t xml:space="preserve"> will be done in future to understand the difference between these data, especially characterising better the standards PDLW1 and PDLW2 using DS technique, and </w:t>
      </w:r>
      <w:r w:rsidR="004210FD">
        <w:t>evaluate if</w:t>
      </w:r>
      <w:r>
        <w:t xml:space="preserve"> </w:t>
      </w:r>
      <w:r w:rsidR="004210FD">
        <w:t>correcting</w:t>
      </w:r>
      <w:r>
        <w:t xml:space="preserve"> for it.</w:t>
      </w:r>
    </w:p>
    <w:tbl>
      <w:tblPr>
        <w:tblpPr w:leftFromText="180" w:rightFromText="180" w:vertAnchor="text" w:horzAnchor="margin" w:tblpY="-42"/>
        <w:tblW w:w="55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1161"/>
        <w:gridCol w:w="884"/>
        <w:gridCol w:w="607"/>
        <w:gridCol w:w="879"/>
        <w:gridCol w:w="607"/>
        <w:gridCol w:w="884"/>
        <w:gridCol w:w="607"/>
        <w:gridCol w:w="884"/>
        <w:gridCol w:w="678"/>
        <w:gridCol w:w="878"/>
        <w:gridCol w:w="678"/>
      </w:tblGrid>
      <w:tr w:rsidR="00312AF8" w:rsidRPr="002A0277" w14:paraId="2A4511EF" w14:textId="77777777" w:rsidTr="009372DA">
        <w:trPr>
          <w:trHeight w:val="252"/>
        </w:trPr>
        <w:tc>
          <w:tcPr>
            <w:tcW w:w="593" w:type="pct"/>
            <w:noWrap/>
            <w:vAlign w:val="center"/>
            <w:hideMark/>
          </w:tcPr>
          <w:p w14:paraId="742B2161" w14:textId="77777777" w:rsidR="00312AF8" w:rsidRPr="002A0277" w:rsidRDefault="00312AF8" w:rsidP="009372DA">
            <w:pPr>
              <w:spacing w:after="0" w:line="240" w:lineRule="auto"/>
              <w:jc w:val="center"/>
              <w:rPr>
                <w:rFonts w:ascii="Times New Roman" w:eastAsia="Times New Roman" w:hAnsi="Times New Roman" w:cs="Times New Roman"/>
                <w:kern w:val="0"/>
                <w:sz w:val="14"/>
                <w:szCs w:val="14"/>
                <w:lang w:eastAsia="en-GB"/>
                <w14:ligatures w14:val="none"/>
              </w:rPr>
            </w:pPr>
          </w:p>
        </w:tc>
        <w:tc>
          <w:tcPr>
            <w:tcW w:w="585" w:type="pct"/>
            <w:noWrap/>
            <w:vAlign w:val="center"/>
            <w:hideMark/>
          </w:tcPr>
          <w:p w14:paraId="35AC72A9" w14:textId="77777777" w:rsidR="00312AF8" w:rsidRPr="002A0277" w:rsidRDefault="00312AF8" w:rsidP="009372DA">
            <w:pPr>
              <w:spacing w:after="0" w:line="240" w:lineRule="auto"/>
              <w:jc w:val="center"/>
              <w:rPr>
                <w:rFonts w:ascii="Times New Roman" w:eastAsia="Times New Roman" w:hAnsi="Times New Roman" w:cs="Times New Roman"/>
                <w:kern w:val="0"/>
                <w:sz w:val="14"/>
                <w:szCs w:val="14"/>
                <w:lang w:eastAsia="en-GB"/>
                <w14:ligatures w14:val="none"/>
              </w:rPr>
            </w:pPr>
          </w:p>
        </w:tc>
        <w:tc>
          <w:tcPr>
            <w:tcW w:w="445" w:type="pct"/>
            <w:noWrap/>
            <w:vAlign w:val="center"/>
            <w:hideMark/>
          </w:tcPr>
          <w:p w14:paraId="33B790F1" w14:textId="77777777" w:rsidR="00312AF8" w:rsidRPr="002A0277" w:rsidRDefault="00312AF8" w:rsidP="009372DA">
            <w:pPr>
              <w:spacing w:after="0" w:line="240" w:lineRule="auto"/>
              <w:jc w:val="center"/>
              <w:rPr>
                <w:rFonts w:ascii="Calibri" w:eastAsia="Times New Roman" w:hAnsi="Calibri" w:cs="Calibri"/>
                <w:b/>
                <w:bCs/>
                <w:color w:val="000000"/>
                <w:kern w:val="0"/>
                <w:sz w:val="14"/>
                <w:szCs w:val="14"/>
                <w:lang w:eastAsia="en-GB"/>
                <w14:ligatures w14:val="none"/>
              </w:rPr>
            </w:pPr>
            <w:r w:rsidRPr="002A0277">
              <w:rPr>
                <w:rFonts w:ascii="Calibri" w:eastAsia="Times New Roman" w:hAnsi="Calibri" w:cs="Calibri"/>
                <w:b/>
                <w:bCs/>
                <w:color w:val="000000"/>
                <w:kern w:val="0"/>
                <w:sz w:val="14"/>
                <w:szCs w:val="14"/>
                <w:lang w:eastAsia="en-GB"/>
                <w14:ligatures w14:val="none"/>
              </w:rPr>
              <w:t>²⁰⁶Pb/²⁰⁴Pb</w:t>
            </w:r>
          </w:p>
        </w:tc>
        <w:tc>
          <w:tcPr>
            <w:tcW w:w="306" w:type="pct"/>
            <w:noWrap/>
            <w:vAlign w:val="center"/>
            <w:hideMark/>
          </w:tcPr>
          <w:p w14:paraId="24403556" w14:textId="77777777" w:rsidR="00312AF8" w:rsidRPr="002A0277" w:rsidRDefault="00312AF8" w:rsidP="009372DA">
            <w:pPr>
              <w:spacing w:after="0" w:line="240" w:lineRule="auto"/>
              <w:jc w:val="center"/>
              <w:rPr>
                <w:rFonts w:ascii="Calibri" w:eastAsia="Times New Roman" w:hAnsi="Calibri" w:cs="Calibri"/>
                <w:b/>
                <w:bCs/>
                <w:color w:val="000000"/>
                <w:kern w:val="0"/>
                <w:sz w:val="14"/>
                <w:szCs w:val="14"/>
                <w:lang w:eastAsia="en-GB"/>
                <w14:ligatures w14:val="none"/>
              </w:rPr>
            </w:pPr>
            <w:r w:rsidRPr="002A0277">
              <w:rPr>
                <w:rFonts w:ascii="Calibri" w:eastAsia="Times New Roman" w:hAnsi="Calibri" w:cs="Calibri"/>
                <w:b/>
                <w:bCs/>
                <w:color w:val="000000"/>
                <w:kern w:val="0"/>
                <w:sz w:val="14"/>
                <w:szCs w:val="14"/>
                <w:lang w:eastAsia="en-GB"/>
                <w14:ligatures w14:val="none"/>
              </w:rPr>
              <w:t>2SD</w:t>
            </w:r>
          </w:p>
        </w:tc>
        <w:tc>
          <w:tcPr>
            <w:tcW w:w="443" w:type="pct"/>
            <w:noWrap/>
            <w:vAlign w:val="center"/>
            <w:hideMark/>
          </w:tcPr>
          <w:p w14:paraId="4E4AD82B" w14:textId="77777777" w:rsidR="00312AF8" w:rsidRPr="002A0277" w:rsidRDefault="00312AF8" w:rsidP="009372DA">
            <w:pPr>
              <w:spacing w:after="0" w:line="240" w:lineRule="auto"/>
              <w:jc w:val="center"/>
              <w:rPr>
                <w:rFonts w:ascii="Calibri" w:eastAsia="Times New Roman" w:hAnsi="Calibri" w:cs="Calibri"/>
                <w:b/>
                <w:bCs/>
                <w:color w:val="000000"/>
                <w:kern w:val="0"/>
                <w:sz w:val="14"/>
                <w:szCs w:val="14"/>
                <w:lang w:eastAsia="en-GB"/>
                <w14:ligatures w14:val="none"/>
              </w:rPr>
            </w:pPr>
            <w:r w:rsidRPr="002A0277">
              <w:rPr>
                <w:rFonts w:ascii="Calibri" w:eastAsia="Times New Roman" w:hAnsi="Calibri" w:cs="Calibri"/>
                <w:b/>
                <w:bCs/>
                <w:color w:val="000000"/>
                <w:kern w:val="0"/>
                <w:sz w:val="14"/>
                <w:szCs w:val="14"/>
                <w:lang w:eastAsia="en-GB"/>
                <w14:ligatures w14:val="none"/>
              </w:rPr>
              <w:t>²⁰⁷Pb/²⁰⁴Pb</w:t>
            </w:r>
          </w:p>
        </w:tc>
        <w:tc>
          <w:tcPr>
            <w:tcW w:w="306" w:type="pct"/>
            <w:noWrap/>
            <w:vAlign w:val="center"/>
            <w:hideMark/>
          </w:tcPr>
          <w:p w14:paraId="2853BEBE" w14:textId="77777777" w:rsidR="00312AF8" w:rsidRPr="002A0277" w:rsidRDefault="00312AF8" w:rsidP="009372DA">
            <w:pPr>
              <w:spacing w:after="0" w:line="240" w:lineRule="auto"/>
              <w:jc w:val="center"/>
              <w:rPr>
                <w:rFonts w:ascii="Calibri" w:eastAsia="Times New Roman" w:hAnsi="Calibri" w:cs="Calibri"/>
                <w:b/>
                <w:bCs/>
                <w:color w:val="000000"/>
                <w:kern w:val="0"/>
                <w:sz w:val="14"/>
                <w:szCs w:val="14"/>
                <w:lang w:eastAsia="en-GB"/>
                <w14:ligatures w14:val="none"/>
              </w:rPr>
            </w:pPr>
            <w:r w:rsidRPr="002A0277">
              <w:rPr>
                <w:rFonts w:ascii="Calibri" w:eastAsia="Times New Roman" w:hAnsi="Calibri" w:cs="Calibri"/>
                <w:b/>
                <w:bCs/>
                <w:color w:val="000000"/>
                <w:kern w:val="0"/>
                <w:sz w:val="14"/>
                <w:szCs w:val="14"/>
                <w:lang w:eastAsia="en-GB"/>
                <w14:ligatures w14:val="none"/>
              </w:rPr>
              <w:t>2SD</w:t>
            </w:r>
          </w:p>
        </w:tc>
        <w:tc>
          <w:tcPr>
            <w:tcW w:w="445" w:type="pct"/>
            <w:noWrap/>
            <w:vAlign w:val="center"/>
            <w:hideMark/>
          </w:tcPr>
          <w:p w14:paraId="2FC93FB0" w14:textId="77777777" w:rsidR="00312AF8" w:rsidRPr="002A0277" w:rsidRDefault="00312AF8" w:rsidP="009372DA">
            <w:pPr>
              <w:spacing w:after="0" w:line="240" w:lineRule="auto"/>
              <w:jc w:val="center"/>
              <w:rPr>
                <w:rFonts w:ascii="Calibri" w:eastAsia="Times New Roman" w:hAnsi="Calibri" w:cs="Calibri"/>
                <w:b/>
                <w:bCs/>
                <w:color w:val="000000"/>
                <w:kern w:val="0"/>
                <w:sz w:val="14"/>
                <w:szCs w:val="14"/>
                <w:lang w:eastAsia="en-GB"/>
                <w14:ligatures w14:val="none"/>
              </w:rPr>
            </w:pPr>
            <w:r w:rsidRPr="002A0277">
              <w:rPr>
                <w:rFonts w:ascii="Calibri" w:eastAsia="Times New Roman" w:hAnsi="Calibri" w:cs="Calibri"/>
                <w:b/>
                <w:bCs/>
                <w:color w:val="000000"/>
                <w:kern w:val="0"/>
                <w:sz w:val="14"/>
                <w:szCs w:val="14"/>
                <w:lang w:eastAsia="en-GB"/>
                <w14:ligatures w14:val="none"/>
              </w:rPr>
              <w:t>²⁰⁸Pb/²⁰⁴Pb</w:t>
            </w:r>
          </w:p>
        </w:tc>
        <w:tc>
          <w:tcPr>
            <w:tcW w:w="306" w:type="pct"/>
            <w:noWrap/>
            <w:vAlign w:val="center"/>
            <w:hideMark/>
          </w:tcPr>
          <w:p w14:paraId="569D1369" w14:textId="77777777" w:rsidR="00312AF8" w:rsidRPr="002A0277" w:rsidRDefault="00312AF8" w:rsidP="009372DA">
            <w:pPr>
              <w:spacing w:after="0" w:line="240" w:lineRule="auto"/>
              <w:jc w:val="center"/>
              <w:rPr>
                <w:rFonts w:ascii="Calibri" w:eastAsia="Times New Roman" w:hAnsi="Calibri" w:cs="Calibri"/>
                <w:b/>
                <w:bCs/>
                <w:color w:val="000000"/>
                <w:kern w:val="0"/>
                <w:sz w:val="14"/>
                <w:szCs w:val="14"/>
                <w:lang w:eastAsia="en-GB"/>
                <w14:ligatures w14:val="none"/>
              </w:rPr>
            </w:pPr>
            <w:r w:rsidRPr="002A0277">
              <w:rPr>
                <w:rFonts w:ascii="Calibri" w:eastAsia="Times New Roman" w:hAnsi="Calibri" w:cs="Calibri"/>
                <w:b/>
                <w:bCs/>
                <w:color w:val="000000"/>
                <w:kern w:val="0"/>
                <w:sz w:val="14"/>
                <w:szCs w:val="14"/>
                <w:lang w:eastAsia="en-GB"/>
                <w14:ligatures w14:val="none"/>
              </w:rPr>
              <w:t>2SD</w:t>
            </w:r>
          </w:p>
        </w:tc>
        <w:tc>
          <w:tcPr>
            <w:tcW w:w="445" w:type="pct"/>
            <w:noWrap/>
            <w:vAlign w:val="center"/>
            <w:hideMark/>
          </w:tcPr>
          <w:p w14:paraId="62FE8021" w14:textId="77777777" w:rsidR="00312AF8" w:rsidRPr="002A0277" w:rsidRDefault="00312AF8" w:rsidP="009372DA">
            <w:pPr>
              <w:spacing w:after="0" w:line="240" w:lineRule="auto"/>
              <w:jc w:val="center"/>
              <w:rPr>
                <w:rFonts w:ascii="Calibri" w:eastAsia="Times New Roman" w:hAnsi="Calibri" w:cs="Calibri"/>
                <w:b/>
                <w:bCs/>
                <w:color w:val="000000"/>
                <w:kern w:val="0"/>
                <w:sz w:val="14"/>
                <w:szCs w:val="14"/>
                <w:lang w:eastAsia="en-GB"/>
                <w14:ligatures w14:val="none"/>
              </w:rPr>
            </w:pPr>
            <w:r w:rsidRPr="002A0277">
              <w:rPr>
                <w:rFonts w:ascii="Calibri" w:eastAsia="Times New Roman" w:hAnsi="Calibri" w:cs="Calibri"/>
                <w:b/>
                <w:bCs/>
                <w:color w:val="000000"/>
                <w:kern w:val="0"/>
                <w:sz w:val="14"/>
                <w:szCs w:val="14"/>
                <w:lang w:eastAsia="en-GB"/>
                <w14:ligatures w14:val="none"/>
              </w:rPr>
              <w:t>²⁰⁸Pb/²⁰⁶Pb</w:t>
            </w:r>
          </w:p>
        </w:tc>
        <w:tc>
          <w:tcPr>
            <w:tcW w:w="342" w:type="pct"/>
            <w:noWrap/>
            <w:vAlign w:val="center"/>
            <w:hideMark/>
          </w:tcPr>
          <w:p w14:paraId="58865BC9" w14:textId="77777777" w:rsidR="00312AF8" w:rsidRPr="002A0277" w:rsidRDefault="00312AF8" w:rsidP="009372DA">
            <w:pPr>
              <w:spacing w:after="0" w:line="240" w:lineRule="auto"/>
              <w:jc w:val="center"/>
              <w:rPr>
                <w:rFonts w:ascii="Calibri" w:eastAsia="Times New Roman" w:hAnsi="Calibri" w:cs="Calibri"/>
                <w:b/>
                <w:bCs/>
                <w:color w:val="000000"/>
                <w:kern w:val="0"/>
                <w:sz w:val="14"/>
                <w:szCs w:val="14"/>
                <w:lang w:eastAsia="en-GB"/>
                <w14:ligatures w14:val="none"/>
              </w:rPr>
            </w:pPr>
            <w:r w:rsidRPr="002A0277">
              <w:rPr>
                <w:rFonts w:ascii="Calibri" w:eastAsia="Times New Roman" w:hAnsi="Calibri" w:cs="Calibri"/>
                <w:b/>
                <w:bCs/>
                <w:color w:val="000000"/>
                <w:kern w:val="0"/>
                <w:sz w:val="14"/>
                <w:szCs w:val="14"/>
                <w:lang w:eastAsia="en-GB"/>
                <w14:ligatures w14:val="none"/>
              </w:rPr>
              <w:t>2SD</w:t>
            </w:r>
          </w:p>
        </w:tc>
        <w:tc>
          <w:tcPr>
            <w:tcW w:w="442" w:type="pct"/>
            <w:noWrap/>
            <w:vAlign w:val="center"/>
            <w:hideMark/>
          </w:tcPr>
          <w:p w14:paraId="357C1A24" w14:textId="77777777" w:rsidR="00312AF8" w:rsidRPr="002A0277" w:rsidRDefault="00312AF8" w:rsidP="009372DA">
            <w:pPr>
              <w:spacing w:after="0" w:line="240" w:lineRule="auto"/>
              <w:jc w:val="center"/>
              <w:rPr>
                <w:rFonts w:ascii="Calibri" w:eastAsia="Times New Roman" w:hAnsi="Calibri" w:cs="Calibri"/>
                <w:b/>
                <w:bCs/>
                <w:color w:val="000000"/>
                <w:kern w:val="0"/>
                <w:sz w:val="14"/>
                <w:szCs w:val="14"/>
                <w:lang w:eastAsia="en-GB"/>
                <w14:ligatures w14:val="none"/>
              </w:rPr>
            </w:pPr>
            <w:r w:rsidRPr="002A0277">
              <w:rPr>
                <w:rFonts w:ascii="Calibri" w:eastAsia="Times New Roman" w:hAnsi="Calibri" w:cs="Calibri"/>
                <w:b/>
                <w:bCs/>
                <w:color w:val="000000"/>
                <w:kern w:val="0"/>
                <w:sz w:val="14"/>
                <w:szCs w:val="14"/>
                <w:lang w:eastAsia="en-GB"/>
                <w14:ligatures w14:val="none"/>
              </w:rPr>
              <w:t>²⁰⁷Pb/²⁰⁶Pb</w:t>
            </w:r>
          </w:p>
        </w:tc>
        <w:tc>
          <w:tcPr>
            <w:tcW w:w="342" w:type="pct"/>
            <w:noWrap/>
            <w:vAlign w:val="center"/>
            <w:hideMark/>
          </w:tcPr>
          <w:p w14:paraId="7503B509" w14:textId="77777777" w:rsidR="00312AF8" w:rsidRPr="002A0277" w:rsidRDefault="00312AF8" w:rsidP="009372DA">
            <w:pPr>
              <w:spacing w:after="0" w:line="240" w:lineRule="auto"/>
              <w:jc w:val="center"/>
              <w:rPr>
                <w:rFonts w:ascii="Calibri" w:eastAsia="Times New Roman" w:hAnsi="Calibri" w:cs="Calibri"/>
                <w:b/>
                <w:bCs/>
                <w:color w:val="000000"/>
                <w:kern w:val="0"/>
                <w:sz w:val="14"/>
                <w:szCs w:val="14"/>
                <w:lang w:eastAsia="en-GB"/>
                <w14:ligatures w14:val="none"/>
              </w:rPr>
            </w:pPr>
            <w:r w:rsidRPr="002A0277">
              <w:rPr>
                <w:rFonts w:ascii="Calibri" w:eastAsia="Times New Roman" w:hAnsi="Calibri" w:cs="Calibri"/>
                <w:b/>
                <w:bCs/>
                <w:color w:val="000000"/>
                <w:kern w:val="0"/>
                <w:sz w:val="14"/>
                <w:szCs w:val="14"/>
                <w:lang w:eastAsia="en-GB"/>
                <w14:ligatures w14:val="none"/>
              </w:rPr>
              <w:t>2SD</w:t>
            </w:r>
          </w:p>
        </w:tc>
      </w:tr>
      <w:tr w:rsidR="00312AF8" w:rsidRPr="002A0277" w14:paraId="0EDC8754" w14:textId="77777777" w:rsidTr="009372DA">
        <w:trPr>
          <w:trHeight w:val="252"/>
        </w:trPr>
        <w:tc>
          <w:tcPr>
            <w:tcW w:w="593" w:type="pct"/>
            <w:noWrap/>
            <w:vAlign w:val="center"/>
            <w:hideMark/>
          </w:tcPr>
          <w:p w14:paraId="36CDB473" w14:textId="77777777" w:rsidR="00312AF8" w:rsidRPr="002A0277" w:rsidRDefault="00312AF8" w:rsidP="009372DA">
            <w:pPr>
              <w:spacing w:after="0" w:line="240" w:lineRule="auto"/>
              <w:jc w:val="center"/>
              <w:rPr>
                <w:rFonts w:ascii="Calibri" w:eastAsia="Times New Roman" w:hAnsi="Calibri" w:cs="Calibri"/>
                <w:b/>
                <w:bCs/>
                <w:color w:val="000000"/>
                <w:kern w:val="0"/>
                <w:sz w:val="14"/>
                <w:szCs w:val="14"/>
                <w:lang w:eastAsia="en-GB"/>
                <w14:ligatures w14:val="none"/>
              </w:rPr>
            </w:pPr>
            <w:r w:rsidRPr="002A0277">
              <w:rPr>
                <w:rFonts w:ascii="Calibri" w:eastAsia="Times New Roman" w:hAnsi="Calibri" w:cs="Calibri"/>
                <w:b/>
                <w:bCs/>
                <w:color w:val="000000"/>
                <w:kern w:val="0"/>
                <w:sz w:val="14"/>
                <w:szCs w:val="14"/>
                <w:lang w:eastAsia="en-GB"/>
                <w14:ligatures w14:val="none"/>
              </w:rPr>
              <w:t>Neoma n = 203</w:t>
            </w:r>
          </w:p>
        </w:tc>
        <w:tc>
          <w:tcPr>
            <w:tcW w:w="585" w:type="pct"/>
            <w:noWrap/>
            <w:vAlign w:val="center"/>
            <w:hideMark/>
          </w:tcPr>
          <w:p w14:paraId="0C906337"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r w:rsidRPr="002A0277">
              <w:rPr>
                <w:rFonts w:ascii="Calibri" w:eastAsia="Times New Roman" w:hAnsi="Calibri" w:cs="Calibri"/>
                <w:color w:val="000000"/>
                <w:kern w:val="0"/>
                <w:sz w:val="14"/>
                <w:szCs w:val="14"/>
                <w:lang w:eastAsia="en-GB"/>
                <w14:ligatures w14:val="none"/>
              </w:rPr>
              <w:t>CPI in-house Tl</w:t>
            </w:r>
          </w:p>
        </w:tc>
        <w:tc>
          <w:tcPr>
            <w:tcW w:w="445" w:type="pct"/>
            <w:noWrap/>
            <w:vAlign w:val="center"/>
            <w:hideMark/>
          </w:tcPr>
          <w:p w14:paraId="1A3AFABE"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r w:rsidRPr="002A0277">
              <w:rPr>
                <w:rFonts w:ascii="Calibri" w:eastAsia="Times New Roman" w:hAnsi="Calibri" w:cs="Calibri"/>
                <w:color w:val="000000"/>
                <w:kern w:val="0"/>
                <w:sz w:val="14"/>
                <w:szCs w:val="14"/>
                <w:lang w:eastAsia="en-GB"/>
                <w14:ligatures w14:val="none"/>
              </w:rPr>
              <w:t>17.9006</w:t>
            </w:r>
          </w:p>
        </w:tc>
        <w:tc>
          <w:tcPr>
            <w:tcW w:w="306" w:type="pct"/>
            <w:noWrap/>
            <w:vAlign w:val="center"/>
            <w:hideMark/>
          </w:tcPr>
          <w:p w14:paraId="63B2029E"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r w:rsidRPr="002A0277">
              <w:rPr>
                <w:rFonts w:ascii="Calibri" w:eastAsia="Times New Roman" w:hAnsi="Calibri" w:cs="Calibri"/>
                <w:color w:val="000000"/>
                <w:kern w:val="0"/>
                <w:sz w:val="14"/>
                <w:szCs w:val="14"/>
                <w:lang w:eastAsia="en-GB"/>
                <w14:ligatures w14:val="none"/>
              </w:rPr>
              <w:t>0.0015</w:t>
            </w:r>
          </w:p>
        </w:tc>
        <w:tc>
          <w:tcPr>
            <w:tcW w:w="443" w:type="pct"/>
            <w:noWrap/>
            <w:vAlign w:val="center"/>
            <w:hideMark/>
          </w:tcPr>
          <w:p w14:paraId="3F1B5F0F"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r w:rsidRPr="002A0277">
              <w:rPr>
                <w:rFonts w:ascii="Calibri" w:eastAsia="Times New Roman" w:hAnsi="Calibri" w:cs="Calibri"/>
                <w:color w:val="000000"/>
                <w:kern w:val="0"/>
                <w:sz w:val="14"/>
                <w:szCs w:val="14"/>
                <w:lang w:eastAsia="en-GB"/>
                <w14:ligatures w14:val="none"/>
              </w:rPr>
              <w:t>15.5665</w:t>
            </w:r>
          </w:p>
        </w:tc>
        <w:tc>
          <w:tcPr>
            <w:tcW w:w="306" w:type="pct"/>
            <w:noWrap/>
            <w:vAlign w:val="center"/>
            <w:hideMark/>
          </w:tcPr>
          <w:p w14:paraId="181A9F5D"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r w:rsidRPr="002A0277">
              <w:rPr>
                <w:rFonts w:ascii="Calibri" w:eastAsia="Times New Roman" w:hAnsi="Calibri" w:cs="Calibri"/>
                <w:color w:val="000000"/>
                <w:kern w:val="0"/>
                <w:sz w:val="14"/>
                <w:szCs w:val="14"/>
                <w:lang w:eastAsia="en-GB"/>
                <w14:ligatures w14:val="none"/>
              </w:rPr>
              <w:t>0.0020</w:t>
            </w:r>
          </w:p>
        </w:tc>
        <w:tc>
          <w:tcPr>
            <w:tcW w:w="445" w:type="pct"/>
            <w:noWrap/>
            <w:vAlign w:val="center"/>
            <w:hideMark/>
          </w:tcPr>
          <w:p w14:paraId="50606F40"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r w:rsidRPr="002A0277">
              <w:rPr>
                <w:rFonts w:ascii="Calibri" w:eastAsia="Times New Roman" w:hAnsi="Calibri" w:cs="Calibri"/>
                <w:color w:val="000000"/>
                <w:kern w:val="0"/>
                <w:sz w:val="14"/>
                <w:szCs w:val="14"/>
                <w:lang w:eastAsia="en-GB"/>
                <w14:ligatures w14:val="none"/>
              </w:rPr>
              <w:t>38.0230</w:t>
            </w:r>
          </w:p>
        </w:tc>
        <w:tc>
          <w:tcPr>
            <w:tcW w:w="306" w:type="pct"/>
            <w:noWrap/>
            <w:vAlign w:val="center"/>
            <w:hideMark/>
          </w:tcPr>
          <w:p w14:paraId="1E98DA7F"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r w:rsidRPr="002A0277">
              <w:rPr>
                <w:rFonts w:ascii="Calibri" w:eastAsia="Times New Roman" w:hAnsi="Calibri" w:cs="Calibri"/>
                <w:color w:val="000000"/>
                <w:kern w:val="0"/>
                <w:sz w:val="14"/>
                <w:szCs w:val="14"/>
                <w:lang w:eastAsia="en-GB"/>
                <w14:ligatures w14:val="none"/>
              </w:rPr>
              <w:t>0.0060</w:t>
            </w:r>
          </w:p>
        </w:tc>
        <w:tc>
          <w:tcPr>
            <w:tcW w:w="445" w:type="pct"/>
            <w:noWrap/>
            <w:vAlign w:val="center"/>
            <w:hideMark/>
          </w:tcPr>
          <w:p w14:paraId="6902F15B"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r w:rsidRPr="002A0277">
              <w:rPr>
                <w:rFonts w:ascii="Calibri" w:eastAsia="Times New Roman" w:hAnsi="Calibri" w:cs="Calibri"/>
                <w:color w:val="000000"/>
                <w:kern w:val="0"/>
                <w:sz w:val="14"/>
                <w:szCs w:val="14"/>
                <w:lang w:eastAsia="en-GB"/>
                <w14:ligatures w14:val="none"/>
              </w:rPr>
              <w:t>2.12409</w:t>
            </w:r>
          </w:p>
        </w:tc>
        <w:tc>
          <w:tcPr>
            <w:tcW w:w="342" w:type="pct"/>
            <w:noWrap/>
            <w:vAlign w:val="center"/>
            <w:hideMark/>
          </w:tcPr>
          <w:p w14:paraId="30F22B3E"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r w:rsidRPr="002A0277">
              <w:rPr>
                <w:rFonts w:ascii="Calibri" w:eastAsia="Times New Roman" w:hAnsi="Calibri" w:cs="Calibri"/>
                <w:color w:val="000000"/>
                <w:kern w:val="0"/>
                <w:sz w:val="14"/>
                <w:szCs w:val="14"/>
                <w:lang w:eastAsia="en-GB"/>
                <w14:ligatures w14:val="none"/>
              </w:rPr>
              <w:t>0.00018</w:t>
            </w:r>
          </w:p>
        </w:tc>
        <w:tc>
          <w:tcPr>
            <w:tcW w:w="442" w:type="pct"/>
            <w:noWrap/>
            <w:vAlign w:val="center"/>
            <w:hideMark/>
          </w:tcPr>
          <w:p w14:paraId="5571B4AD"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r w:rsidRPr="002A0277">
              <w:rPr>
                <w:rFonts w:ascii="Calibri" w:eastAsia="Times New Roman" w:hAnsi="Calibri" w:cs="Calibri"/>
                <w:color w:val="000000"/>
                <w:kern w:val="0"/>
                <w:sz w:val="14"/>
                <w:szCs w:val="14"/>
                <w:lang w:eastAsia="en-GB"/>
                <w14:ligatures w14:val="none"/>
              </w:rPr>
              <w:t>0.86961</w:t>
            </w:r>
          </w:p>
        </w:tc>
        <w:tc>
          <w:tcPr>
            <w:tcW w:w="342" w:type="pct"/>
            <w:noWrap/>
            <w:vAlign w:val="center"/>
            <w:hideMark/>
          </w:tcPr>
          <w:p w14:paraId="062D31CF"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r w:rsidRPr="002A0277">
              <w:rPr>
                <w:rFonts w:ascii="Calibri" w:eastAsia="Times New Roman" w:hAnsi="Calibri" w:cs="Calibri"/>
                <w:color w:val="000000"/>
                <w:kern w:val="0"/>
                <w:sz w:val="14"/>
                <w:szCs w:val="14"/>
                <w:lang w:eastAsia="en-GB"/>
                <w14:ligatures w14:val="none"/>
              </w:rPr>
              <w:t>0.00005</w:t>
            </w:r>
          </w:p>
        </w:tc>
      </w:tr>
      <w:tr w:rsidR="00312AF8" w:rsidRPr="002A0277" w14:paraId="6A75EF8A" w14:textId="77777777" w:rsidTr="009372DA">
        <w:trPr>
          <w:trHeight w:val="252"/>
        </w:trPr>
        <w:tc>
          <w:tcPr>
            <w:tcW w:w="593" w:type="pct"/>
            <w:noWrap/>
            <w:vAlign w:val="center"/>
            <w:hideMark/>
          </w:tcPr>
          <w:p w14:paraId="3D404CAD"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p>
        </w:tc>
        <w:tc>
          <w:tcPr>
            <w:tcW w:w="585" w:type="pct"/>
            <w:noWrap/>
            <w:vAlign w:val="center"/>
            <w:hideMark/>
          </w:tcPr>
          <w:p w14:paraId="66CA544C"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r w:rsidRPr="002A0277">
              <w:rPr>
                <w:rFonts w:ascii="Calibri" w:eastAsia="Times New Roman" w:hAnsi="Calibri" w:cs="Calibri"/>
                <w:color w:val="000000"/>
                <w:kern w:val="0"/>
                <w:sz w:val="14"/>
                <w:szCs w:val="14"/>
                <w:lang w:eastAsia="en-GB"/>
                <w14:ligatures w14:val="none"/>
              </w:rPr>
              <w:t>ppm</w:t>
            </w:r>
          </w:p>
        </w:tc>
        <w:tc>
          <w:tcPr>
            <w:tcW w:w="445" w:type="pct"/>
            <w:noWrap/>
            <w:vAlign w:val="center"/>
            <w:hideMark/>
          </w:tcPr>
          <w:p w14:paraId="7B10E470"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p>
        </w:tc>
        <w:tc>
          <w:tcPr>
            <w:tcW w:w="306" w:type="pct"/>
            <w:noWrap/>
            <w:vAlign w:val="center"/>
            <w:hideMark/>
          </w:tcPr>
          <w:p w14:paraId="52188E0E"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r w:rsidRPr="002A0277">
              <w:rPr>
                <w:rFonts w:ascii="Calibri" w:eastAsia="Times New Roman" w:hAnsi="Calibri" w:cs="Calibri"/>
                <w:color w:val="000000"/>
                <w:kern w:val="0"/>
                <w:sz w:val="14"/>
                <w:szCs w:val="14"/>
                <w:lang w:eastAsia="en-GB"/>
                <w14:ligatures w14:val="none"/>
              </w:rPr>
              <w:t>85.1</w:t>
            </w:r>
          </w:p>
        </w:tc>
        <w:tc>
          <w:tcPr>
            <w:tcW w:w="443" w:type="pct"/>
            <w:noWrap/>
            <w:vAlign w:val="center"/>
            <w:hideMark/>
          </w:tcPr>
          <w:p w14:paraId="130E822F"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p>
        </w:tc>
        <w:tc>
          <w:tcPr>
            <w:tcW w:w="306" w:type="pct"/>
            <w:noWrap/>
            <w:vAlign w:val="center"/>
            <w:hideMark/>
          </w:tcPr>
          <w:p w14:paraId="2EA50969"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r w:rsidRPr="002A0277">
              <w:rPr>
                <w:rFonts w:ascii="Calibri" w:eastAsia="Times New Roman" w:hAnsi="Calibri" w:cs="Calibri"/>
                <w:color w:val="000000"/>
                <w:kern w:val="0"/>
                <w:sz w:val="14"/>
                <w:szCs w:val="14"/>
                <w:lang w:eastAsia="en-GB"/>
                <w14:ligatures w14:val="none"/>
              </w:rPr>
              <w:t>129.8</w:t>
            </w:r>
          </w:p>
        </w:tc>
        <w:tc>
          <w:tcPr>
            <w:tcW w:w="445" w:type="pct"/>
            <w:noWrap/>
            <w:vAlign w:val="center"/>
            <w:hideMark/>
          </w:tcPr>
          <w:p w14:paraId="0C66CDCD"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p>
        </w:tc>
        <w:tc>
          <w:tcPr>
            <w:tcW w:w="306" w:type="pct"/>
            <w:noWrap/>
            <w:vAlign w:val="center"/>
            <w:hideMark/>
          </w:tcPr>
          <w:p w14:paraId="5EF1DDFA"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r w:rsidRPr="002A0277">
              <w:rPr>
                <w:rFonts w:ascii="Calibri" w:eastAsia="Times New Roman" w:hAnsi="Calibri" w:cs="Calibri"/>
                <w:color w:val="000000"/>
                <w:kern w:val="0"/>
                <w:sz w:val="14"/>
                <w:szCs w:val="14"/>
                <w:lang w:eastAsia="en-GB"/>
                <w14:ligatures w14:val="none"/>
              </w:rPr>
              <w:t>159.0</w:t>
            </w:r>
          </w:p>
        </w:tc>
        <w:tc>
          <w:tcPr>
            <w:tcW w:w="445" w:type="pct"/>
            <w:noWrap/>
            <w:vAlign w:val="center"/>
            <w:hideMark/>
          </w:tcPr>
          <w:p w14:paraId="7FDDBBF9"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p>
        </w:tc>
        <w:tc>
          <w:tcPr>
            <w:tcW w:w="342" w:type="pct"/>
            <w:noWrap/>
            <w:vAlign w:val="center"/>
            <w:hideMark/>
          </w:tcPr>
          <w:p w14:paraId="78813ED5"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r w:rsidRPr="002A0277">
              <w:rPr>
                <w:rFonts w:ascii="Calibri" w:eastAsia="Times New Roman" w:hAnsi="Calibri" w:cs="Calibri"/>
                <w:color w:val="000000"/>
                <w:kern w:val="0"/>
                <w:sz w:val="14"/>
                <w:szCs w:val="14"/>
                <w:lang w:eastAsia="en-GB"/>
                <w14:ligatures w14:val="none"/>
              </w:rPr>
              <w:t>83.5</w:t>
            </w:r>
          </w:p>
        </w:tc>
        <w:tc>
          <w:tcPr>
            <w:tcW w:w="442" w:type="pct"/>
            <w:noWrap/>
            <w:vAlign w:val="center"/>
            <w:hideMark/>
          </w:tcPr>
          <w:p w14:paraId="1154697E"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p>
        </w:tc>
        <w:tc>
          <w:tcPr>
            <w:tcW w:w="342" w:type="pct"/>
            <w:noWrap/>
            <w:vAlign w:val="center"/>
            <w:hideMark/>
          </w:tcPr>
          <w:p w14:paraId="6E5FC0D7"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r w:rsidRPr="002A0277">
              <w:rPr>
                <w:rFonts w:ascii="Calibri" w:eastAsia="Times New Roman" w:hAnsi="Calibri" w:cs="Calibri"/>
                <w:color w:val="000000"/>
                <w:kern w:val="0"/>
                <w:sz w:val="14"/>
                <w:szCs w:val="14"/>
                <w:lang w:eastAsia="en-GB"/>
                <w14:ligatures w14:val="none"/>
              </w:rPr>
              <w:t>58.0</w:t>
            </w:r>
          </w:p>
        </w:tc>
      </w:tr>
      <w:tr w:rsidR="00312AF8" w:rsidRPr="002A0277" w14:paraId="452C2920" w14:textId="77777777" w:rsidTr="009372DA">
        <w:trPr>
          <w:trHeight w:val="252"/>
        </w:trPr>
        <w:tc>
          <w:tcPr>
            <w:tcW w:w="593" w:type="pct"/>
            <w:noWrap/>
            <w:vAlign w:val="center"/>
            <w:hideMark/>
          </w:tcPr>
          <w:p w14:paraId="49736FA7" w14:textId="77777777" w:rsidR="00312AF8" w:rsidRPr="002A0277" w:rsidRDefault="00312AF8" w:rsidP="009372DA">
            <w:pPr>
              <w:spacing w:after="0" w:line="240" w:lineRule="auto"/>
              <w:jc w:val="center"/>
              <w:rPr>
                <w:rFonts w:ascii="Calibri" w:eastAsia="Times New Roman" w:hAnsi="Calibri" w:cs="Calibri"/>
                <w:b/>
                <w:bCs/>
                <w:color w:val="000000"/>
                <w:kern w:val="0"/>
                <w:sz w:val="14"/>
                <w:szCs w:val="14"/>
                <w:lang w:eastAsia="en-GB"/>
                <w14:ligatures w14:val="none"/>
              </w:rPr>
            </w:pPr>
            <w:r w:rsidRPr="002A0277">
              <w:rPr>
                <w:rFonts w:ascii="Calibri" w:eastAsia="Times New Roman" w:hAnsi="Calibri" w:cs="Calibri"/>
                <w:b/>
                <w:bCs/>
                <w:color w:val="000000"/>
                <w:kern w:val="0"/>
                <w:sz w:val="14"/>
                <w:szCs w:val="14"/>
                <w:lang w:eastAsia="en-GB"/>
                <w14:ligatures w14:val="none"/>
              </w:rPr>
              <w:t>Neptune n &gt; 500</w:t>
            </w:r>
          </w:p>
        </w:tc>
        <w:tc>
          <w:tcPr>
            <w:tcW w:w="585" w:type="pct"/>
            <w:noWrap/>
            <w:vAlign w:val="center"/>
            <w:hideMark/>
          </w:tcPr>
          <w:p w14:paraId="6C8F306F"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r w:rsidRPr="002A0277">
              <w:rPr>
                <w:rFonts w:ascii="Calibri" w:eastAsia="Times New Roman" w:hAnsi="Calibri" w:cs="Calibri"/>
                <w:color w:val="000000"/>
                <w:kern w:val="0"/>
                <w:sz w:val="14"/>
                <w:szCs w:val="14"/>
                <w:lang w:eastAsia="en-GB"/>
                <w14:ligatures w14:val="none"/>
              </w:rPr>
              <w:t>CPI in-house SSB</w:t>
            </w:r>
          </w:p>
        </w:tc>
        <w:tc>
          <w:tcPr>
            <w:tcW w:w="445" w:type="pct"/>
            <w:noWrap/>
            <w:vAlign w:val="center"/>
            <w:hideMark/>
          </w:tcPr>
          <w:p w14:paraId="4C41F933"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r w:rsidRPr="002A0277">
              <w:rPr>
                <w:rFonts w:ascii="Calibri" w:eastAsia="Times New Roman" w:hAnsi="Calibri" w:cs="Calibri"/>
                <w:color w:val="000000"/>
                <w:kern w:val="0"/>
                <w:sz w:val="14"/>
                <w:szCs w:val="14"/>
                <w:lang w:eastAsia="en-GB"/>
                <w14:ligatures w14:val="none"/>
              </w:rPr>
              <w:t>17.8994</w:t>
            </w:r>
          </w:p>
        </w:tc>
        <w:tc>
          <w:tcPr>
            <w:tcW w:w="306" w:type="pct"/>
            <w:noWrap/>
            <w:vAlign w:val="center"/>
            <w:hideMark/>
          </w:tcPr>
          <w:p w14:paraId="1A020281"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r w:rsidRPr="002A0277">
              <w:rPr>
                <w:rFonts w:ascii="Calibri" w:eastAsia="Times New Roman" w:hAnsi="Calibri" w:cs="Calibri"/>
                <w:color w:val="000000"/>
                <w:kern w:val="0"/>
                <w:sz w:val="14"/>
                <w:szCs w:val="14"/>
                <w:lang w:eastAsia="en-GB"/>
                <w14:ligatures w14:val="none"/>
              </w:rPr>
              <w:t>0.0031</w:t>
            </w:r>
          </w:p>
        </w:tc>
        <w:tc>
          <w:tcPr>
            <w:tcW w:w="443" w:type="pct"/>
            <w:noWrap/>
            <w:vAlign w:val="center"/>
            <w:hideMark/>
          </w:tcPr>
          <w:p w14:paraId="5A26D4B2"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r w:rsidRPr="002A0277">
              <w:rPr>
                <w:rFonts w:ascii="Calibri" w:eastAsia="Times New Roman" w:hAnsi="Calibri" w:cs="Calibri"/>
                <w:color w:val="000000"/>
                <w:kern w:val="0"/>
                <w:sz w:val="14"/>
                <w:szCs w:val="14"/>
                <w:lang w:eastAsia="en-GB"/>
                <w14:ligatures w14:val="none"/>
              </w:rPr>
              <w:t>15.5656</w:t>
            </w:r>
          </w:p>
        </w:tc>
        <w:tc>
          <w:tcPr>
            <w:tcW w:w="306" w:type="pct"/>
            <w:noWrap/>
            <w:vAlign w:val="center"/>
            <w:hideMark/>
          </w:tcPr>
          <w:p w14:paraId="1EBA9598"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r w:rsidRPr="002A0277">
              <w:rPr>
                <w:rFonts w:ascii="Calibri" w:eastAsia="Times New Roman" w:hAnsi="Calibri" w:cs="Calibri"/>
                <w:color w:val="000000"/>
                <w:kern w:val="0"/>
                <w:sz w:val="14"/>
                <w:szCs w:val="14"/>
                <w:lang w:eastAsia="en-GB"/>
                <w14:ligatures w14:val="none"/>
              </w:rPr>
              <w:t>0.0034</w:t>
            </w:r>
          </w:p>
        </w:tc>
        <w:tc>
          <w:tcPr>
            <w:tcW w:w="445" w:type="pct"/>
            <w:noWrap/>
            <w:vAlign w:val="center"/>
            <w:hideMark/>
          </w:tcPr>
          <w:p w14:paraId="7709B564"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r w:rsidRPr="002A0277">
              <w:rPr>
                <w:rFonts w:ascii="Calibri" w:eastAsia="Times New Roman" w:hAnsi="Calibri" w:cs="Calibri"/>
                <w:color w:val="000000"/>
                <w:kern w:val="0"/>
                <w:sz w:val="14"/>
                <w:szCs w:val="14"/>
                <w:lang w:eastAsia="en-GB"/>
                <w14:ligatures w14:val="none"/>
              </w:rPr>
              <w:t>38.0186</w:t>
            </w:r>
          </w:p>
        </w:tc>
        <w:tc>
          <w:tcPr>
            <w:tcW w:w="306" w:type="pct"/>
            <w:noWrap/>
            <w:vAlign w:val="center"/>
            <w:hideMark/>
          </w:tcPr>
          <w:p w14:paraId="4A80C0FA"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r w:rsidRPr="002A0277">
              <w:rPr>
                <w:rFonts w:ascii="Calibri" w:eastAsia="Times New Roman" w:hAnsi="Calibri" w:cs="Calibri"/>
                <w:color w:val="000000"/>
                <w:kern w:val="0"/>
                <w:sz w:val="14"/>
                <w:szCs w:val="14"/>
                <w:lang w:eastAsia="en-GB"/>
                <w14:ligatures w14:val="none"/>
              </w:rPr>
              <w:t>0.0113</w:t>
            </w:r>
          </w:p>
        </w:tc>
        <w:tc>
          <w:tcPr>
            <w:tcW w:w="445" w:type="pct"/>
            <w:noWrap/>
            <w:vAlign w:val="center"/>
            <w:hideMark/>
          </w:tcPr>
          <w:p w14:paraId="48781634"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r w:rsidRPr="002A0277">
              <w:rPr>
                <w:rFonts w:ascii="Calibri" w:eastAsia="Times New Roman" w:hAnsi="Calibri" w:cs="Calibri"/>
                <w:color w:val="000000"/>
                <w:kern w:val="0"/>
                <w:sz w:val="14"/>
                <w:szCs w:val="14"/>
                <w:lang w:eastAsia="en-GB"/>
                <w14:ligatures w14:val="none"/>
              </w:rPr>
              <w:t>2.12398</w:t>
            </w:r>
          </w:p>
        </w:tc>
        <w:tc>
          <w:tcPr>
            <w:tcW w:w="342" w:type="pct"/>
            <w:noWrap/>
            <w:vAlign w:val="center"/>
            <w:hideMark/>
          </w:tcPr>
          <w:p w14:paraId="41F8AB7F"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r w:rsidRPr="002A0277">
              <w:rPr>
                <w:rFonts w:ascii="Calibri" w:eastAsia="Times New Roman" w:hAnsi="Calibri" w:cs="Calibri"/>
                <w:color w:val="000000"/>
                <w:kern w:val="0"/>
                <w:sz w:val="14"/>
                <w:szCs w:val="14"/>
                <w:lang w:eastAsia="en-GB"/>
                <w14:ligatures w14:val="none"/>
              </w:rPr>
              <w:t>0.00033</w:t>
            </w:r>
          </w:p>
        </w:tc>
        <w:tc>
          <w:tcPr>
            <w:tcW w:w="442" w:type="pct"/>
            <w:noWrap/>
            <w:vAlign w:val="center"/>
            <w:hideMark/>
          </w:tcPr>
          <w:p w14:paraId="7BD80279"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r w:rsidRPr="002A0277">
              <w:rPr>
                <w:rFonts w:ascii="Calibri" w:eastAsia="Times New Roman" w:hAnsi="Calibri" w:cs="Calibri"/>
                <w:color w:val="000000"/>
                <w:kern w:val="0"/>
                <w:sz w:val="14"/>
                <w:szCs w:val="14"/>
                <w:lang w:eastAsia="en-GB"/>
                <w14:ligatures w14:val="none"/>
              </w:rPr>
              <w:t>0.86962</w:t>
            </w:r>
          </w:p>
        </w:tc>
        <w:tc>
          <w:tcPr>
            <w:tcW w:w="342" w:type="pct"/>
            <w:noWrap/>
            <w:vAlign w:val="center"/>
            <w:hideMark/>
          </w:tcPr>
          <w:p w14:paraId="28E3C5E8"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r w:rsidRPr="002A0277">
              <w:rPr>
                <w:rFonts w:ascii="Calibri" w:eastAsia="Times New Roman" w:hAnsi="Calibri" w:cs="Calibri"/>
                <w:color w:val="000000"/>
                <w:kern w:val="0"/>
                <w:sz w:val="14"/>
                <w:szCs w:val="14"/>
                <w:lang w:eastAsia="en-GB"/>
                <w14:ligatures w14:val="none"/>
              </w:rPr>
              <w:t>0.00009</w:t>
            </w:r>
          </w:p>
        </w:tc>
      </w:tr>
      <w:tr w:rsidR="00312AF8" w:rsidRPr="002A0277" w14:paraId="3340441C" w14:textId="77777777" w:rsidTr="009372DA">
        <w:trPr>
          <w:trHeight w:val="252"/>
        </w:trPr>
        <w:tc>
          <w:tcPr>
            <w:tcW w:w="593" w:type="pct"/>
            <w:noWrap/>
            <w:vAlign w:val="center"/>
            <w:hideMark/>
          </w:tcPr>
          <w:p w14:paraId="4A329448"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p>
        </w:tc>
        <w:tc>
          <w:tcPr>
            <w:tcW w:w="585" w:type="pct"/>
            <w:noWrap/>
            <w:vAlign w:val="center"/>
            <w:hideMark/>
          </w:tcPr>
          <w:p w14:paraId="116F57F7"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r w:rsidRPr="002A0277">
              <w:rPr>
                <w:rFonts w:ascii="Calibri" w:eastAsia="Times New Roman" w:hAnsi="Calibri" w:cs="Calibri"/>
                <w:color w:val="000000"/>
                <w:kern w:val="0"/>
                <w:sz w:val="14"/>
                <w:szCs w:val="14"/>
                <w:lang w:eastAsia="en-GB"/>
                <w14:ligatures w14:val="none"/>
              </w:rPr>
              <w:t>ppm</w:t>
            </w:r>
          </w:p>
        </w:tc>
        <w:tc>
          <w:tcPr>
            <w:tcW w:w="445" w:type="pct"/>
            <w:noWrap/>
            <w:vAlign w:val="center"/>
            <w:hideMark/>
          </w:tcPr>
          <w:p w14:paraId="778E4EFB"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p>
        </w:tc>
        <w:tc>
          <w:tcPr>
            <w:tcW w:w="306" w:type="pct"/>
            <w:noWrap/>
            <w:vAlign w:val="center"/>
            <w:hideMark/>
          </w:tcPr>
          <w:p w14:paraId="2978F27D"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r w:rsidRPr="002A0277">
              <w:rPr>
                <w:rFonts w:ascii="Calibri" w:eastAsia="Times New Roman" w:hAnsi="Calibri" w:cs="Calibri"/>
                <w:color w:val="000000"/>
                <w:kern w:val="0"/>
                <w:sz w:val="14"/>
                <w:szCs w:val="14"/>
                <w:lang w:eastAsia="en-GB"/>
                <w14:ligatures w14:val="none"/>
              </w:rPr>
              <w:t>171.2</w:t>
            </w:r>
          </w:p>
        </w:tc>
        <w:tc>
          <w:tcPr>
            <w:tcW w:w="443" w:type="pct"/>
            <w:noWrap/>
            <w:vAlign w:val="center"/>
            <w:hideMark/>
          </w:tcPr>
          <w:p w14:paraId="1FFB7044"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p>
        </w:tc>
        <w:tc>
          <w:tcPr>
            <w:tcW w:w="306" w:type="pct"/>
            <w:noWrap/>
            <w:vAlign w:val="center"/>
            <w:hideMark/>
          </w:tcPr>
          <w:p w14:paraId="0C0EA5CA"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r w:rsidRPr="002A0277">
              <w:rPr>
                <w:rFonts w:ascii="Calibri" w:eastAsia="Times New Roman" w:hAnsi="Calibri" w:cs="Calibri"/>
                <w:color w:val="000000"/>
                <w:kern w:val="0"/>
                <w:sz w:val="14"/>
                <w:szCs w:val="14"/>
                <w:lang w:eastAsia="en-GB"/>
                <w14:ligatures w14:val="none"/>
              </w:rPr>
              <w:t>220.9</w:t>
            </w:r>
          </w:p>
        </w:tc>
        <w:tc>
          <w:tcPr>
            <w:tcW w:w="445" w:type="pct"/>
            <w:noWrap/>
            <w:vAlign w:val="center"/>
            <w:hideMark/>
          </w:tcPr>
          <w:p w14:paraId="28FAFBFE"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p>
        </w:tc>
        <w:tc>
          <w:tcPr>
            <w:tcW w:w="306" w:type="pct"/>
            <w:noWrap/>
            <w:vAlign w:val="center"/>
            <w:hideMark/>
          </w:tcPr>
          <w:p w14:paraId="3FA20F4C"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r w:rsidRPr="002A0277">
              <w:rPr>
                <w:rFonts w:ascii="Calibri" w:eastAsia="Times New Roman" w:hAnsi="Calibri" w:cs="Calibri"/>
                <w:color w:val="000000"/>
                <w:kern w:val="0"/>
                <w:sz w:val="14"/>
                <w:szCs w:val="14"/>
                <w:lang w:eastAsia="en-GB"/>
                <w14:ligatures w14:val="none"/>
              </w:rPr>
              <w:t>296.3</w:t>
            </w:r>
          </w:p>
        </w:tc>
        <w:tc>
          <w:tcPr>
            <w:tcW w:w="445" w:type="pct"/>
            <w:noWrap/>
            <w:vAlign w:val="center"/>
            <w:hideMark/>
          </w:tcPr>
          <w:p w14:paraId="4731B026"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p>
        </w:tc>
        <w:tc>
          <w:tcPr>
            <w:tcW w:w="342" w:type="pct"/>
            <w:noWrap/>
            <w:vAlign w:val="center"/>
            <w:hideMark/>
          </w:tcPr>
          <w:p w14:paraId="583F7DF7"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r w:rsidRPr="002A0277">
              <w:rPr>
                <w:rFonts w:ascii="Calibri" w:eastAsia="Times New Roman" w:hAnsi="Calibri" w:cs="Calibri"/>
                <w:color w:val="000000"/>
                <w:kern w:val="0"/>
                <w:sz w:val="14"/>
                <w:szCs w:val="14"/>
                <w:lang w:eastAsia="en-GB"/>
                <w14:ligatures w14:val="none"/>
              </w:rPr>
              <w:t>155.7</w:t>
            </w:r>
          </w:p>
        </w:tc>
        <w:tc>
          <w:tcPr>
            <w:tcW w:w="442" w:type="pct"/>
            <w:noWrap/>
            <w:vAlign w:val="center"/>
            <w:hideMark/>
          </w:tcPr>
          <w:p w14:paraId="16D0569B"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p>
        </w:tc>
        <w:tc>
          <w:tcPr>
            <w:tcW w:w="342" w:type="pct"/>
            <w:noWrap/>
            <w:vAlign w:val="center"/>
            <w:hideMark/>
          </w:tcPr>
          <w:p w14:paraId="51974509"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r w:rsidRPr="002A0277">
              <w:rPr>
                <w:rFonts w:ascii="Calibri" w:eastAsia="Times New Roman" w:hAnsi="Calibri" w:cs="Calibri"/>
                <w:color w:val="000000"/>
                <w:kern w:val="0"/>
                <w:sz w:val="14"/>
                <w:szCs w:val="14"/>
                <w:lang w:eastAsia="en-GB"/>
                <w14:ligatures w14:val="none"/>
              </w:rPr>
              <w:t>102.7</w:t>
            </w:r>
          </w:p>
        </w:tc>
      </w:tr>
      <w:tr w:rsidR="00312AF8" w:rsidRPr="002A0277" w14:paraId="342278DE" w14:textId="77777777" w:rsidTr="009372DA">
        <w:trPr>
          <w:trHeight w:val="252"/>
        </w:trPr>
        <w:tc>
          <w:tcPr>
            <w:tcW w:w="593" w:type="pct"/>
            <w:noWrap/>
            <w:vAlign w:val="center"/>
            <w:hideMark/>
          </w:tcPr>
          <w:p w14:paraId="4381B7D8" w14:textId="77777777" w:rsidR="00312AF8" w:rsidRPr="002A0277" w:rsidRDefault="00312AF8" w:rsidP="009372DA">
            <w:pPr>
              <w:spacing w:after="0" w:line="240" w:lineRule="auto"/>
              <w:jc w:val="center"/>
              <w:rPr>
                <w:rFonts w:ascii="Calibri" w:eastAsia="Times New Roman" w:hAnsi="Calibri" w:cs="Calibri"/>
                <w:b/>
                <w:bCs/>
                <w:color w:val="000000"/>
                <w:kern w:val="0"/>
                <w:sz w:val="14"/>
                <w:szCs w:val="14"/>
                <w:lang w:eastAsia="en-GB"/>
                <w14:ligatures w14:val="none"/>
              </w:rPr>
            </w:pPr>
            <w:r w:rsidRPr="002A0277">
              <w:rPr>
                <w:rFonts w:ascii="Calibri" w:eastAsia="Times New Roman" w:hAnsi="Calibri" w:cs="Calibri"/>
                <w:b/>
                <w:bCs/>
                <w:color w:val="000000"/>
                <w:kern w:val="0"/>
                <w:sz w:val="14"/>
                <w:szCs w:val="14"/>
                <w:lang w:eastAsia="en-GB"/>
                <w14:ligatures w14:val="none"/>
              </w:rPr>
              <w:t>TIMS n = 3</w:t>
            </w:r>
          </w:p>
        </w:tc>
        <w:tc>
          <w:tcPr>
            <w:tcW w:w="585" w:type="pct"/>
            <w:noWrap/>
            <w:vAlign w:val="center"/>
            <w:hideMark/>
          </w:tcPr>
          <w:p w14:paraId="6276B2DB"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r w:rsidRPr="002A0277">
              <w:rPr>
                <w:rFonts w:ascii="Calibri" w:eastAsia="Times New Roman" w:hAnsi="Calibri" w:cs="Calibri"/>
                <w:color w:val="000000"/>
                <w:kern w:val="0"/>
                <w:sz w:val="14"/>
                <w:szCs w:val="14"/>
                <w:lang w:eastAsia="en-GB"/>
                <w14:ligatures w14:val="none"/>
              </w:rPr>
              <w:t>CPI in-house DS</w:t>
            </w:r>
          </w:p>
        </w:tc>
        <w:tc>
          <w:tcPr>
            <w:tcW w:w="445" w:type="pct"/>
            <w:noWrap/>
            <w:vAlign w:val="center"/>
            <w:hideMark/>
          </w:tcPr>
          <w:p w14:paraId="7EB87025"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r w:rsidRPr="002A0277">
              <w:rPr>
                <w:rFonts w:ascii="Calibri" w:eastAsia="Times New Roman" w:hAnsi="Calibri" w:cs="Calibri"/>
                <w:color w:val="000000"/>
                <w:kern w:val="0"/>
                <w:sz w:val="14"/>
                <w:szCs w:val="14"/>
                <w:lang w:eastAsia="en-GB"/>
                <w14:ligatures w14:val="none"/>
              </w:rPr>
              <w:t>17.8996</w:t>
            </w:r>
          </w:p>
        </w:tc>
        <w:tc>
          <w:tcPr>
            <w:tcW w:w="306" w:type="pct"/>
            <w:noWrap/>
            <w:vAlign w:val="center"/>
            <w:hideMark/>
          </w:tcPr>
          <w:p w14:paraId="04B32D90"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r w:rsidRPr="002A0277">
              <w:rPr>
                <w:rFonts w:ascii="Calibri" w:eastAsia="Times New Roman" w:hAnsi="Calibri" w:cs="Calibri"/>
                <w:color w:val="000000"/>
                <w:kern w:val="0"/>
                <w:sz w:val="14"/>
                <w:szCs w:val="14"/>
                <w:lang w:eastAsia="en-GB"/>
                <w14:ligatures w14:val="none"/>
              </w:rPr>
              <w:t>0.0002</w:t>
            </w:r>
          </w:p>
        </w:tc>
        <w:tc>
          <w:tcPr>
            <w:tcW w:w="443" w:type="pct"/>
            <w:noWrap/>
            <w:vAlign w:val="center"/>
            <w:hideMark/>
          </w:tcPr>
          <w:p w14:paraId="68E79300"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r w:rsidRPr="002A0277">
              <w:rPr>
                <w:rFonts w:ascii="Calibri" w:eastAsia="Times New Roman" w:hAnsi="Calibri" w:cs="Calibri"/>
                <w:color w:val="000000"/>
                <w:kern w:val="0"/>
                <w:sz w:val="14"/>
                <w:szCs w:val="14"/>
                <w:lang w:eastAsia="en-GB"/>
                <w14:ligatures w14:val="none"/>
              </w:rPr>
              <w:t>15.5645</w:t>
            </w:r>
          </w:p>
        </w:tc>
        <w:tc>
          <w:tcPr>
            <w:tcW w:w="306" w:type="pct"/>
            <w:noWrap/>
            <w:vAlign w:val="center"/>
            <w:hideMark/>
          </w:tcPr>
          <w:p w14:paraId="16FF4EDA"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r w:rsidRPr="002A0277">
              <w:rPr>
                <w:rFonts w:ascii="Calibri" w:eastAsia="Times New Roman" w:hAnsi="Calibri" w:cs="Calibri"/>
                <w:color w:val="000000"/>
                <w:kern w:val="0"/>
                <w:sz w:val="14"/>
                <w:szCs w:val="14"/>
                <w:lang w:eastAsia="en-GB"/>
                <w14:ligatures w14:val="none"/>
              </w:rPr>
              <w:t>0.0003</w:t>
            </w:r>
          </w:p>
        </w:tc>
        <w:tc>
          <w:tcPr>
            <w:tcW w:w="445" w:type="pct"/>
            <w:noWrap/>
            <w:vAlign w:val="center"/>
            <w:hideMark/>
          </w:tcPr>
          <w:p w14:paraId="5B80D198"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r w:rsidRPr="002A0277">
              <w:rPr>
                <w:rFonts w:ascii="Calibri" w:eastAsia="Times New Roman" w:hAnsi="Calibri" w:cs="Calibri"/>
                <w:color w:val="000000"/>
                <w:kern w:val="0"/>
                <w:sz w:val="14"/>
                <w:szCs w:val="14"/>
                <w:lang w:eastAsia="en-GB"/>
                <w14:ligatures w14:val="none"/>
              </w:rPr>
              <w:t>38.0177</w:t>
            </w:r>
          </w:p>
        </w:tc>
        <w:tc>
          <w:tcPr>
            <w:tcW w:w="306" w:type="pct"/>
            <w:noWrap/>
            <w:vAlign w:val="center"/>
            <w:hideMark/>
          </w:tcPr>
          <w:p w14:paraId="77F58A3C"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r w:rsidRPr="002A0277">
              <w:rPr>
                <w:rFonts w:ascii="Calibri" w:eastAsia="Times New Roman" w:hAnsi="Calibri" w:cs="Calibri"/>
                <w:color w:val="000000"/>
                <w:kern w:val="0"/>
                <w:sz w:val="14"/>
                <w:szCs w:val="14"/>
                <w:lang w:eastAsia="en-GB"/>
                <w14:ligatures w14:val="none"/>
              </w:rPr>
              <w:t>0.0009</w:t>
            </w:r>
          </w:p>
        </w:tc>
        <w:tc>
          <w:tcPr>
            <w:tcW w:w="445" w:type="pct"/>
            <w:noWrap/>
            <w:vAlign w:val="center"/>
            <w:hideMark/>
          </w:tcPr>
          <w:p w14:paraId="21C50DB8"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r w:rsidRPr="002A0277">
              <w:rPr>
                <w:rFonts w:ascii="Calibri" w:eastAsia="Times New Roman" w:hAnsi="Calibri" w:cs="Calibri"/>
                <w:color w:val="000000"/>
                <w:kern w:val="0"/>
                <w:sz w:val="14"/>
                <w:szCs w:val="14"/>
                <w:lang w:eastAsia="en-GB"/>
                <w14:ligatures w14:val="none"/>
              </w:rPr>
              <w:t>n.a</w:t>
            </w:r>
          </w:p>
        </w:tc>
        <w:tc>
          <w:tcPr>
            <w:tcW w:w="342" w:type="pct"/>
            <w:noWrap/>
            <w:vAlign w:val="center"/>
            <w:hideMark/>
          </w:tcPr>
          <w:p w14:paraId="1FAC114E"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r w:rsidRPr="002A0277">
              <w:rPr>
                <w:rFonts w:ascii="Calibri" w:eastAsia="Times New Roman" w:hAnsi="Calibri" w:cs="Calibri"/>
                <w:color w:val="000000"/>
                <w:kern w:val="0"/>
                <w:sz w:val="14"/>
                <w:szCs w:val="14"/>
                <w:lang w:eastAsia="en-GB"/>
                <w14:ligatures w14:val="none"/>
              </w:rPr>
              <w:t>n.a</w:t>
            </w:r>
          </w:p>
        </w:tc>
        <w:tc>
          <w:tcPr>
            <w:tcW w:w="442" w:type="pct"/>
            <w:noWrap/>
            <w:vAlign w:val="center"/>
            <w:hideMark/>
          </w:tcPr>
          <w:p w14:paraId="27209F6D"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r w:rsidRPr="002A0277">
              <w:rPr>
                <w:rFonts w:ascii="Calibri" w:eastAsia="Times New Roman" w:hAnsi="Calibri" w:cs="Calibri"/>
                <w:color w:val="000000"/>
                <w:kern w:val="0"/>
                <w:sz w:val="14"/>
                <w:szCs w:val="14"/>
                <w:lang w:eastAsia="en-GB"/>
                <w14:ligatures w14:val="none"/>
              </w:rPr>
              <w:t>n.a</w:t>
            </w:r>
          </w:p>
        </w:tc>
        <w:tc>
          <w:tcPr>
            <w:tcW w:w="342" w:type="pct"/>
            <w:noWrap/>
            <w:vAlign w:val="center"/>
            <w:hideMark/>
          </w:tcPr>
          <w:p w14:paraId="2990D404" w14:textId="77777777" w:rsidR="00312AF8" w:rsidRPr="002A0277" w:rsidRDefault="00312AF8" w:rsidP="009372DA">
            <w:pPr>
              <w:spacing w:after="0" w:line="240" w:lineRule="auto"/>
              <w:jc w:val="center"/>
              <w:rPr>
                <w:rFonts w:ascii="Calibri" w:eastAsia="Times New Roman" w:hAnsi="Calibri" w:cs="Calibri"/>
                <w:color w:val="000000"/>
                <w:kern w:val="0"/>
                <w:sz w:val="14"/>
                <w:szCs w:val="14"/>
                <w:lang w:eastAsia="en-GB"/>
                <w14:ligatures w14:val="none"/>
              </w:rPr>
            </w:pPr>
            <w:r w:rsidRPr="002A0277">
              <w:rPr>
                <w:rFonts w:ascii="Calibri" w:eastAsia="Times New Roman" w:hAnsi="Calibri" w:cs="Calibri"/>
                <w:color w:val="000000"/>
                <w:kern w:val="0"/>
                <w:sz w:val="14"/>
                <w:szCs w:val="14"/>
                <w:lang w:eastAsia="en-GB"/>
                <w14:ligatures w14:val="none"/>
              </w:rPr>
              <w:t>n.a</w:t>
            </w:r>
          </w:p>
        </w:tc>
      </w:tr>
    </w:tbl>
    <w:p w14:paraId="2983A734" w14:textId="77777777" w:rsidR="00312AF8" w:rsidRDefault="00312AF8" w:rsidP="00312AF8"/>
    <w:p w14:paraId="3AB24577" w14:textId="268BB1DC" w:rsidR="00312AF8" w:rsidRDefault="00312AF8" w:rsidP="00312AF8">
      <w:r>
        <w:t xml:space="preserve">Table </w:t>
      </w:r>
      <w:r w:rsidR="00814131">
        <w:t>S</w:t>
      </w:r>
      <w:r>
        <w:t>1</w:t>
      </w:r>
      <w:r w:rsidR="00814131">
        <w:t>: LIR results on the in-house standard CPI with error reposted as 2D (both absolute and in ppm)</w:t>
      </w:r>
    </w:p>
    <w:p w14:paraId="33EAA2A9" w14:textId="611DA52C" w:rsidR="00312AF8" w:rsidRDefault="00312AF8" w:rsidP="00FD1DE4">
      <w:pPr>
        <w:pStyle w:val="ListParagraph"/>
        <w:numPr>
          <w:ilvl w:val="0"/>
          <w:numId w:val="4"/>
        </w:numPr>
      </w:pPr>
      <w:r w:rsidRPr="00525A34">
        <w:t>metal LIR vs LW LIR (en</w:t>
      </w:r>
      <w:r>
        <w:t>d saying PDLW1 std 2 as quality)</w:t>
      </w:r>
    </w:p>
    <w:p w14:paraId="4B6F0CA1" w14:textId="123726B5" w:rsidR="00312AF8" w:rsidRPr="00AF1E4F" w:rsidRDefault="00312AF8" w:rsidP="00312AF8">
      <w:r w:rsidRPr="00AF1E4F">
        <w:t xml:space="preserve">Figure </w:t>
      </w:r>
      <w:r w:rsidR="00814131">
        <w:t>S1</w:t>
      </w:r>
      <w:r w:rsidRPr="00AF1E4F">
        <w:t xml:space="preserve"> compares the </w:t>
      </w:r>
      <w:r w:rsidR="00814131">
        <w:t xml:space="preserve">analysis of the </w:t>
      </w:r>
      <w:r w:rsidRPr="00AF1E4F">
        <w:t xml:space="preserve">two lead white standards (PDLW1 and PDLW2) in both their metallic and pigment forms. Each metallic coil was sampled eight times at positions evenly distributed along its length, from both the front and rear sides, to assess isotopic homogeneity of the metal. As shown in Figure </w:t>
      </w:r>
      <w:r w:rsidR="00814131">
        <w:t>S1</w:t>
      </w:r>
      <w:r w:rsidRPr="00AF1E4F">
        <w:t xml:space="preserve"> (PDLW1</w:t>
      </w:r>
      <w:r w:rsidRPr="00AF1E4F">
        <w:noBreakHyphen/>
        <w:t>metal and PDLW2</w:t>
      </w:r>
      <w:r w:rsidRPr="00AF1E4F">
        <w:noBreakHyphen/>
        <w:t>metal), both metals exhibit homogeneous LIR, with 2SD values comparable to those obtained for the solution analyses of the in</w:t>
      </w:r>
      <w:r w:rsidRPr="00AF1E4F">
        <w:noBreakHyphen/>
        <w:t>house standard CPI reported in Table 2.</w:t>
      </w:r>
    </w:p>
    <w:p w14:paraId="7E445127" w14:textId="77777777" w:rsidR="00312AF8" w:rsidRPr="00AF1E4F" w:rsidRDefault="00312AF8" w:rsidP="00312AF8">
      <w:r w:rsidRPr="00AF1E4F">
        <w:t>The powdered pigments were ground and homogenised prior to analysis, and eight aliquots of each standard were dissolved and analysed by MC</w:t>
      </w:r>
      <w:r w:rsidRPr="00AF1E4F">
        <w:noBreakHyphen/>
        <w:t>ICP</w:t>
      </w:r>
      <w:r w:rsidRPr="00AF1E4F">
        <w:noBreakHyphen/>
        <w:t>MS Neoma (n = 40) over a period of six months. Figure 2 shows that the isotopic composition of each lead white pigment is indistinguishable from that of the corresponding metallic precursor, indicating that no measurable isotopic fractionation occurs during lead white synthesis, and that their 2SD values are comparable to those of the CPI in</w:t>
      </w:r>
      <w:r w:rsidRPr="00AF1E4F">
        <w:noBreakHyphen/>
        <w:t xml:space="preserve">house standard. The two resulting standards, PDLW1 and PDLW2, also display a clear difference in LIR </w:t>
      </w:r>
      <w:r>
        <w:t>(</w:t>
      </w:r>
      <w:r w:rsidRPr="00A36D11">
        <w:t>1229</w:t>
      </w:r>
      <w:r>
        <w:t xml:space="preserve"> ppm for </w:t>
      </w:r>
      <w:r w:rsidRPr="00872603">
        <w:t>²⁰⁶Pb/²⁰⁴Pb</w:t>
      </w:r>
      <w:r>
        <w:t xml:space="preserve">, </w:t>
      </w:r>
      <w:r w:rsidRPr="00A36D11">
        <w:t>238</w:t>
      </w:r>
      <w:r>
        <w:t xml:space="preserve"> ppm for </w:t>
      </w:r>
      <w:r w:rsidRPr="00872603">
        <w:t>²⁰⁷Pb/²⁰⁴Pb</w:t>
      </w:r>
      <w:r>
        <w:t xml:space="preserve"> and 671 ppm for </w:t>
      </w:r>
      <w:r w:rsidRPr="00872603">
        <w:t>²⁰⁸Pb/²⁰⁴P</w:t>
      </w:r>
      <w:r>
        <w:t>b)</w:t>
      </w:r>
      <w:r w:rsidRPr="00AF1E4F">
        <w:t xml:space="preserve">. This difference is well suited to our purposes: it is smaller than the typical isotopic offset between Italian and Dutch lead whites, yet large enough to provide a stringent test of the efficiency of the LA method for </w:t>
      </w:r>
      <w:r w:rsidRPr="00AF1E4F">
        <w:lastRenderedPageBreak/>
        <w:t>determining LW LIR in the mock</w:t>
      </w:r>
      <w:r w:rsidRPr="00AF1E4F">
        <w:noBreakHyphen/>
        <w:t>up samples and to evaluate how these data can be applied in provenance studies.</w:t>
      </w:r>
    </w:p>
    <w:p w14:paraId="1DEA4F1D" w14:textId="77777777" w:rsidR="00312AF8" w:rsidRPr="00525A34" w:rsidRDefault="00312AF8" w:rsidP="00312AF8">
      <w:r>
        <w:rPr>
          <w:noProof/>
        </w:rPr>
        <w:drawing>
          <wp:inline distT="0" distB="0" distL="0" distR="0" wp14:anchorId="64A1CD1E" wp14:editId="6B598545">
            <wp:extent cx="5729742" cy="3269894"/>
            <wp:effectExtent l="0" t="0" r="4445" b="6985"/>
            <wp:docPr id="3798473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0599" cy="3281797"/>
                    </a:xfrm>
                    <a:prstGeom prst="rect">
                      <a:avLst/>
                    </a:prstGeom>
                    <a:noFill/>
                  </pic:spPr>
                </pic:pic>
              </a:graphicData>
            </a:graphic>
          </wp:inline>
        </w:drawing>
      </w:r>
    </w:p>
    <w:p w14:paraId="40E9CE72" w14:textId="00349CC4" w:rsidR="00312AF8" w:rsidRDefault="00312AF8" w:rsidP="00312AF8">
      <w:r>
        <w:t>Figure S1</w:t>
      </w:r>
      <w:r w:rsidR="004210FD">
        <w:t>: Comparison between the analyses of PDLW1 and PDLW2 in their metal and carbonate forms.</w:t>
      </w:r>
    </w:p>
    <w:p w14:paraId="4DC618A4" w14:textId="77777777" w:rsidR="00312AF8" w:rsidRDefault="00312AF8"/>
    <w:p w14:paraId="2723963A" w14:textId="68A2B9FB" w:rsidR="00AC15EC" w:rsidRDefault="00AC15EC" w:rsidP="00FD1DE4">
      <w:pPr>
        <w:pStyle w:val="ListParagraph"/>
        <w:numPr>
          <w:ilvl w:val="0"/>
          <w:numId w:val="3"/>
        </w:numPr>
      </w:pPr>
      <w:r>
        <w:t xml:space="preserve">Decision on the optimal </w:t>
      </w:r>
      <w:r w:rsidR="00AC39B5">
        <w:t xml:space="preserve">laser </w:t>
      </w:r>
      <w:r>
        <w:t>ablation settings for lead white:</w:t>
      </w:r>
    </w:p>
    <w:p w14:paraId="369DB3E8" w14:textId="77777777" w:rsidR="00AC15EC" w:rsidRDefault="00AC15EC"/>
    <w:p w14:paraId="67323A4C" w14:textId="2DB2F859" w:rsidR="00AC15EC" w:rsidRDefault="00AC15EC">
      <w:r>
        <w:t xml:space="preserve">During the optimisation of the laser ablation analysis of lead white, several laser settings were taken </w:t>
      </w:r>
      <w:r w:rsidR="004210FD">
        <w:t>into</w:t>
      </w:r>
      <w:r>
        <w:t xml:space="preserve"> account. </w:t>
      </w:r>
      <w:r w:rsidR="00B87CE3">
        <w:t>Moreover,</w:t>
      </w:r>
      <w:r>
        <w:t xml:space="preserve"> two different ablation </w:t>
      </w:r>
      <w:r w:rsidR="004210FD">
        <w:t>methods</w:t>
      </w:r>
      <w:r>
        <w:t xml:space="preserve"> were studied, spot analysis or line/grid analysis.</w:t>
      </w:r>
    </w:p>
    <w:tbl>
      <w:tblPr>
        <w:tblW w:w="51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1013"/>
        <w:gridCol w:w="1244"/>
        <w:gridCol w:w="820"/>
        <w:gridCol w:w="887"/>
        <w:gridCol w:w="925"/>
        <w:gridCol w:w="400"/>
        <w:gridCol w:w="1407"/>
        <w:gridCol w:w="1486"/>
        <w:gridCol w:w="1003"/>
        <w:gridCol w:w="923"/>
      </w:tblGrid>
      <w:tr w:rsidR="00D13CA7" w:rsidRPr="00D13CA7" w14:paraId="1BB9508D" w14:textId="77777777" w:rsidTr="00D13CA7">
        <w:trPr>
          <w:trHeight w:val="345"/>
          <w:jc w:val="center"/>
        </w:trPr>
        <w:tc>
          <w:tcPr>
            <w:tcW w:w="389" w:type="pct"/>
            <w:noWrap/>
            <w:vAlign w:val="bottom"/>
            <w:hideMark/>
          </w:tcPr>
          <w:p w14:paraId="43A5C555" w14:textId="77777777" w:rsidR="00D13CA7" w:rsidRPr="00D13CA7" w:rsidRDefault="00D13CA7" w:rsidP="00D13CA7">
            <w:pPr>
              <w:spacing w:after="0" w:line="240" w:lineRule="auto"/>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Grid/line</w:t>
            </w:r>
          </w:p>
        </w:tc>
        <w:tc>
          <w:tcPr>
            <w:tcW w:w="450" w:type="pct"/>
            <w:noWrap/>
            <w:vAlign w:val="bottom"/>
            <w:hideMark/>
          </w:tcPr>
          <w:p w14:paraId="49901C07" w14:textId="77777777" w:rsidR="00D13CA7" w:rsidRPr="00D13CA7" w:rsidRDefault="00D13CA7" w:rsidP="00D13CA7">
            <w:pPr>
              <w:spacing w:after="0" w:line="240" w:lineRule="auto"/>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Area (µm</w:t>
            </w:r>
            <w:r w:rsidRPr="00D13CA7">
              <w:rPr>
                <w:rFonts w:ascii="Calibri" w:eastAsia="Times New Roman" w:hAnsi="Calibri" w:cs="Calibri"/>
                <w:color w:val="000000"/>
                <w:kern w:val="0"/>
                <w:sz w:val="18"/>
                <w:szCs w:val="18"/>
                <w:vertAlign w:val="superscript"/>
                <w:lang w:eastAsia="en-GB"/>
                <w14:ligatures w14:val="none"/>
              </w:rPr>
              <w:t>2</w:t>
            </w:r>
            <w:r w:rsidRPr="00D13CA7">
              <w:rPr>
                <w:rFonts w:ascii="Calibri" w:eastAsia="Times New Roman" w:hAnsi="Calibri" w:cs="Calibri"/>
                <w:color w:val="000000"/>
                <w:kern w:val="0"/>
                <w:sz w:val="18"/>
                <w:szCs w:val="18"/>
                <w:lang w:eastAsia="en-GB"/>
                <w14:ligatures w14:val="none"/>
              </w:rPr>
              <w:t>)</w:t>
            </w:r>
          </w:p>
        </w:tc>
        <w:tc>
          <w:tcPr>
            <w:tcW w:w="549" w:type="pct"/>
            <w:noWrap/>
            <w:vAlign w:val="bottom"/>
            <w:hideMark/>
          </w:tcPr>
          <w:p w14:paraId="389023B1" w14:textId="77777777" w:rsidR="00D13CA7" w:rsidRPr="00D13CA7" w:rsidRDefault="00D13CA7" w:rsidP="00D13CA7">
            <w:pPr>
              <w:spacing w:after="0" w:line="240" w:lineRule="auto"/>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speed µm/sec</w:t>
            </w:r>
          </w:p>
        </w:tc>
        <w:tc>
          <w:tcPr>
            <w:tcW w:w="371" w:type="pct"/>
            <w:noWrap/>
            <w:vAlign w:val="bottom"/>
            <w:hideMark/>
          </w:tcPr>
          <w:p w14:paraId="0CB60D67" w14:textId="77777777" w:rsidR="00D13CA7" w:rsidRPr="00D13CA7" w:rsidRDefault="00D13CA7" w:rsidP="00D13CA7">
            <w:pPr>
              <w:spacing w:after="0" w:line="240" w:lineRule="auto"/>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spot µm</w:t>
            </w:r>
          </w:p>
        </w:tc>
        <w:tc>
          <w:tcPr>
            <w:tcW w:w="399" w:type="pct"/>
            <w:noWrap/>
            <w:vAlign w:val="bottom"/>
            <w:hideMark/>
          </w:tcPr>
          <w:p w14:paraId="3F2CE290" w14:textId="77777777" w:rsidR="00D13CA7" w:rsidRPr="00D13CA7" w:rsidRDefault="00D13CA7" w:rsidP="00D13CA7">
            <w:pPr>
              <w:spacing w:after="0" w:line="240" w:lineRule="auto"/>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Energy %</w:t>
            </w:r>
          </w:p>
        </w:tc>
        <w:tc>
          <w:tcPr>
            <w:tcW w:w="415" w:type="pct"/>
            <w:noWrap/>
            <w:vAlign w:val="bottom"/>
            <w:hideMark/>
          </w:tcPr>
          <w:p w14:paraId="37FC865B" w14:textId="77777777" w:rsidR="00D13CA7" w:rsidRPr="00D13CA7" w:rsidRDefault="00D13CA7" w:rsidP="00D13CA7">
            <w:pPr>
              <w:spacing w:after="0" w:line="240" w:lineRule="auto"/>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Energy (J)</w:t>
            </w:r>
          </w:p>
        </w:tc>
        <w:tc>
          <w:tcPr>
            <w:tcW w:w="194" w:type="pct"/>
            <w:noWrap/>
            <w:vAlign w:val="bottom"/>
            <w:hideMark/>
          </w:tcPr>
          <w:p w14:paraId="6DBB14F1" w14:textId="77777777" w:rsidR="00D13CA7" w:rsidRPr="00D13CA7" w:rsidRDefault="00D13CA7" w:rsidP="00D13CA7">
            <w:pPr>
              <w:spacing w:after="0" w:line="240" w:lineRule="auto"/>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Hz</w:t>
            </w:r>
          </w:p>
        </w:tc>
        <w:tc>
          <w:tcPr>
            <w:tcW w:w="617" w:type="pct"/>
            <w:noWrap/>
            <w:vAlign w:val="bottom"/>
            <w:hideMark/>
          </w:tcPr>
          <w:p w14:paraId="3D1F511F" w14:textId="77777777" w:rsidR="00D13CA7" w:rsidRPr="00D13CA7" w:rsidRDefault="00D13CA7" w:rsidP="00D13CA7">
            <w:pPr>
              <w:spacing w:after="0" w:line="240" w:lineRule="auto"/>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Integration time</w:t>
            </w:r>
          </w:p>
        </w:tc>
        <w:tc>
          <w:tcPr>
            <w:tcW w:w="650" w:type="pct"/>
            <w:noWrap/>
            <w:vAlign w:val="bottom"/>
            <w:hideMark/>
          </w:tcPr>
          <w:p w14:paraId="7577D791" w14:textId="77777777" w:rsidR="00D13CA7" w:rsidRPr="00D13CA7" w:rsidRDefault="00D13CA7" w:rsidP="00D13CA7">
            <w:pPr>
              <w:spacing w:after="0" w:line="240" w:lineRule="auto"/>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Ablation time sec</w:t>
            </w:r>
          </w:p>
        </w:tc>
        <w:tc>
          <w:tcPr>
            <w:tcW w:w="447" w:type="pct"/>
            <w:noWrap/>
            <w:vAlign w:val="bottom"/>
            <w:hideMark/>
          </w:tcPr>
          <w:p w14:paraId="1195D68E" w14:textId="77777777" w:rsidR="00D13CA7" w:rsidRPr="00D13CA7" w:rsidRDefault="00D13CA7" w:rsidP="00D13CA7">
            <w:pPr>
              <w:spacing w:after="0" w:line="240" w:lineRule="auto"/>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 xml:space="preserve">N (dosage) </w:t>
            </w:r>
          </w:p>
        </w:tc>
        <w:tc>
          <w:tcPr>
            <w:tcW w:w="519" w:type="pct"/>
            <w:noWrap/>
            <w:vAlign w:val="bottom"/>
            <w:hideMark/>
          </w:tcPr>
          <w:p w14:paraId="3C54C93F" w14:textId="77777777" w:rsidR="00D13CA7" w:rsidRPr="00D13CA7" w:rsidRDefault="00D13CA7" w:rsidP="00D13CA7">
            <w:pPr>
              <w:spacing w:after="0" w:line="240" w:lineRule="auto"/>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 xml:space="preserve">N*Energy </w:t>
            </w:r>
          </w:p>
        </w:tc>
      </w:tr>
      <w:tr w:rsidR="00D13CA7" w:rsidRPr="00D13CA7" w14:paraId="002283EF" w14:textId="77777777" w:rsidTr="00D13CA7">
        <w:trPr>
          <w:trHeight w:val="300"/>
          <w:jc w:val="center"/>
        </w:trPr>
        <w:tc>
          <w:tcPr>
            <w:tcW w:w="389" w:type="pct"/>
            <w:noWrap/>
            <w:vAlign w:val="bottom"/>
            <w:hideMark/>
          </w:tcPr>
          <w:p w14:paraId="2F5402D2" w14:textId="77777777" w:rsidR="00D13CA7" w:rsidRPr="00D13CA7" w:rsidRDefault="00D13CA7" w:rsidP="00D13CA7">
            <w:pPr>
              <w:spacing w:after="0" w:line="240" w:lineRule="auto"/>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 </w:t>
            </w:r>
          </w:p>
        </w:tc>
        <w:tc>
          <w:tcPr>
            <w:tcW w:w="450" w:type="pct"/>
            <w:noWrap/>
            <w:vAlign w:val="bottom"/>
            <w:hideMark/>
          </w:tcPr>
          <w:p w14:paraId="44FD04B6"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225</w:t>
            </w:r>
          </w:p>
        </w:tc>
        <w:tc>
          <w:tcPr>
            <w:tcW w:w="549" w:type="pct"/>
            <w:noWrap/>
            <w:vAlign w:val="bottom"/>
            <w:hideMark/>
          </w:tcPr>
          <w:p w14:paraId="39AA8C77"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4</w:t>
            </w:r>
          </w:p>
        </w:tc>
        <w:tc>
          <w:tcPr>
            <w:tcW w:w="371" w:type="pct"/>
            <w:noWrap/>
            <w:vAlign w:val="bottom"/>
            <w:hideMark/>
          </w:tcPr>
          <w:p w14:paraId="5EDB7C9B"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5</w:t>
            </w:r>
          </w:p>
        </w:tc>
        <w:tc>
          <w:tcPr>
            <w:tcW w:w="399" w:type="pct"/>
            <w:noWrap/>
            <w:vAlign w:val="bottom"/>
            <w:hideMark/>
          </w:tcPr>
          <w:p w14:paraId="25483C2C"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1</w:t>
            </w:r>
          </w:p>
        </w:tc>
        <w:tc>
          <w:tcPr>
            <w:tcW w:w="415" w:type="pct"/>
            <w:noWrap/>
            <w:vAlign w:val="bottom"/>
            <w:hideMark/>
          </w:tcPr>
          <w:p w14:paraId="5F39331B"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0.42</w:t>
            </w:r>
          </w:p>
        </w:tc>
        <w:tc>
          <w:tcPr>
            <w:tcW w:w="194" w:type="pct"/>
            <w:noWrap/>
            <w:vAlign w:val="bottom"/>
            <w:hideMark/>
          </w:tcPr>
          <w:p w14:paraId="306A8BD2"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10</w:t>
            </w:r>
          </w:p>
        </w:tc>
        <w:tc>
          <w:tcPr>
            <w:tcW w:w="617" w:type="pct"/>
            <w:noWrap/>
            <w:vAlign w:val="bottom"/>
            <w:hideMark/>
          </w:tcPr>
          <w:p w14:paraId="0282B82E"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0.1</w:t>
            </w:r>
          </w:p>
        </w:tc>
        <w:tc>
          <w:tcPr>
            <w:tcW w:w="650" w:type="pct"/>
            <w:noWrap/>
            <w:vAlign w:val="bottom"/>
            <w:hideMark/>
          </w:tcPr>
          <w:p w14:paraId="6BE07BB9"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12</w:t>
            </w:r>
          </w:p>
        </w:tc>
        <w:tc>
          <w:tcPr>
            <w:tcW w:w="447" w:type="pct"/>
            <w:noWrap/>
            <w:vAlign w:val="bottom"/>
            <w:hideMark/>
          </w:tcPr>
          <w:p w14:paraId="1DF75F33"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12.50</w:t>
            </w:r>
          </w:p>
        </w:tc>
        <w:tc>
          <w:tcPr>
            <w:tcW w:w="519" w:type="pct"/>
            <w:noWrap/>
            <w:vAlign w:val="bottom"/>
            <w:hideMark/>
          </w:tcPr>
          <w:p w14:paraId="360BDCCD"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5.25</w:t>
            </w:r>
          </w:p>
        </w:tc>
      </w:tr>
      <w:tr w:rsidR="00D13CA7" w:rsidRPr="00D13CA7" w14:paraId="5F3FC8DD" w14:textId="77777777" w:rsidTr="00D13CA7">
        <w:trPr>
          <w:trHeight w:val="300"/>
          <w:jc w:val="center"/>
        </w:trPr>
        <w:tc>
          <w:tcPr>
            <w:tcW w:w="389" w:type="pct"/>
            <w:noWrap/>
            <w:vAlign w:val="bottom"/>
            <w:hideMark/>
          </w:tcPr>
          <w:p w14:paraId="472C2B09" w14:textId="77777777" w:rsidR="00D13CA7" w:rsidRPr="00D13CA7" w:rsidRDefault="00D13CA7" w:rsidP="00D13CA7">
            <w:pPr>
              <w:spacing w:after="0" w:line="240" w:lineRule="auto"/>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 </w:t>
            </w:r>
          </w:p>
        </w:tc>
        <w:tc>
          <w:tcPr>
            <w:tcW w:w="450" w:type="pct"/>
            <w:noWrap/>
            <w:vAlign w:val="bottom"/>
            <w:hideMark/>
          </w:tcPr>
          <w:p w14:paraId="047BCF7E"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225</w:t>
            </w:r>
          </w:p>
        </w:tc>
        <w:tc>
          <w:tcPr>
            <w:tcW w:w="549" w:type="pct"/>
            <w:noWrap/>
            <w:vAlign w:val="bottom"/>
            <w:hideMark/>
          </w:tcPr>
          <w:p w14:paraId="1CD3C0C2"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2</w:t>
            </w:r>
          </w:p>
        </w:tc>
        <w:tc>
          <w:tcPr>
            <w:tcW w:w="371" w:type="pct"/>
            <w:noWrap/>
            <w:vAlign w:val="bottom"/>
            <w:hideMark/>
          </w:tcPr>
          <w:p w14:paraId="02969DDC"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5</w:t>
            </w:r>
          </w:p>
        </w:tc>
        <w:tc>
          <w:tcPr>
            <w:tcW w:w="399" w:type="pct"/>
            <w:noWrap/>
            <w:vAlign w:val="bottom"/>
            <w:hideMark/>
          </w:tcPr>
          <w:p w14:paraId="6732AA0E"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1</w:t>
            </w:r>
          </w:p>
        </w:tc>
        <w:tc>
          <w:tcPr>
            <w:tcW w:w="415" w:type="pct"/>
            <w:noWrap/>
            <w:vAlign w:val="bottom"/>
            <w:hideMark/>
          </w:tcPr>
          <w:p w14:paraId="1DB2D094"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0.42</w:t>
            </w:r>
          </w:p>
        </w:tc>
        <w:tc>
          <w:tcPr>
            <w:tcW w:w="194" w:type="pct"/>
            <w:noWrap/>
            <w:vAlign w:val="bottom"/>
            <w:hideMark/>
          </w:tcPr>
          <w:p w14:paraId="6FF8810C"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8</w:t>
            </w:r>
          </w:p>
        </w:tc>
        <w:tc>
          <w:tcPr>
            <w:tcW w:w="617" w:type="pct"/>
            <w:noWrap/>
            <w:vAlign w:val="bottom"/>
            <w:hideMark/>
          </w:tcPr>
          <w:p w14:paraId="2B7BADE9"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0.1</w:t>
            </w:r>
          </w:p>
        </w:tc>
        <w:tc>
          <w:tcPr>
            <w:tcW w:w="650" w:type="pct"/>
            <w:noWrap/>
            <w:vAlign w:val="bottom"/>
            <w:hideMark/>
          </w:tcPr>
          <w:p w14:paraId="42CB838F"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25</w:t>
            </w:r>
          </w:p>
        </w:tc>
        <w:tc>
          <w:tcPr>
            <w:tcW w:w="447" w:type="pct"/>
            <w:noWrap/>
            <w:vAlign w:val="bottom"/>
            <w:hideMark/>
          </w:tcPr>
          <w:p w14:paraId="1482DC78"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20.00</w:t>
            </w:r>
          </w:p>
        </w:tc>
        <w:tc>
          <w:tcPr>
            <w:tcW w:w="519" w:type="pct"/>
            <w:noWrap/>
            <w:vAlign w:val="bottom"/>
            <w:hideMark/>
          </w:tcPr>
          <w:p w14:paraId="7B50A10F"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8.40</w:t>
            </w:r>
          </w:p>
        </w:tc>
      </w:tr>
      <w:tr w:rsidR="00D13CA7" w:rsidRPr="00D13CA7" w14:paraId="358F24B3" w14:textId="77777777" w:rsidTr="00D13CA7">
        <w:trPr>
          <w:trHeight w:val="300"/>
          <w:jc w:val="center"/>
        </w:trPr>
        <w:tc>
          <w:tcPr>
            <w:tcW w:w="389" w:type="pct"/>
            <w:noWrap/>
            <w:vAlign w:val="bottom"/>
            <w:hideMark/>
          </w:tcPr>
          <w:p w14:paraId="2D09AF69" w14:textId="77777777" w:rsidR="00D13CA7" w:rsidRPr="00D13CA7" w:rsidRDefault="00D13CA7" w:rsidP="00D13CA7">
            <w:pPr>
              <w:spacing w:after="0" w:line="240" w:lineRule="auto"/>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 </w:t>
            </w:r>
          </w:p>
        </w:tc>
        <w:tc>
          <w:tcPr>
            <w:tcW w:w="450" w:type="pct"/>
            <w:noWrap/>
            <w:vAlign w:val="bottom"/>
            <w:hideMark/>
          </w:tcPr>
          <w:p w14:paraId="679B22EA"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225</w:t>
            </w:r>
          </w:p>
        </w:tc>
        <w:tc>
          <w:tcPr>
            <w:tcW w:w="549" w:type="pct"/>
            <w:noWrap/>
            <w:vAlign w:val="bottom"/>
            <w:hideMark/>
          </w:tcPr>
          <w:p w14:paraId="459747B2"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2</w:t>
            </w:r>
          </w:p>
        </w:tc>
        <w:tc>
          <w:tcPr>
            <w:tcW w:w="371" w:type="pct"/>
            <w:noWrap/>
            <w:vAlign w:val="bottom"/>
            <w:hideMark/>
          </w:tcPr>
          <w:p w14:paraId="57A64597"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5</w:t>
            </w:r>
          </w:p>
        </w:tc>
        <w:tc>
          <w:tcPr>
            <w:tcW w:w="399" w:type="pct"/>
            <w:noWrap/>
            <w:vAlign w:val="bottom"/>
            <w:hideMark/>
          </w:tcPr>
          <w:p w14:paraId="20C8881A"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5</w:t>
            </w:r>
          </w:p>
        </w:tc>
        <w:tc>
          <w:tcPr>
            <w:tcW w:w="415" w:type="pct"/>
            <w:noWrap/>
            <w:vAlign w:val="bottom"/>
            <w:hideMark/>
          </w:tcPr>
          <w:p w14:paraId="481A038B"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0.51</w:t>
            </w:r>
          </w:p>
        </w:tc>
        <w:tc>
          <w:tcPr>
            <w:tcW w:w="194" w:type="pct"/>
            <w:noWrap/>
            <w:vAlign w:val="bottom"/>
            <w:hideMark/>
          </w:tcPr>
          <w:p w14:paraId="2906CAE2"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8</w:t>
            </w:r>
          </w:p>
        </w:tc>
        <w:tc>
          <w:tcPr>
            <w:tcW w:w="617" w:type="pct"/>
            <w:noWrap/>
            <w:vAlign w:val="bottom"/>
            <w:hideMark/>
          </w:tcPr>
          <w:p w14:paraId="04A1FC59"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0.25</w:t>
            </w:r>
          </w:p>
        </w:tc>
        <w:tc>
          <w:tcPr>
            <w:tcW w:w="650" w:type="pct"/>
            <w:noWrap/>
            <w:vAlign w:val="bottom"/>
            <w:hideMark/>
          </w:tcPr>
          <w:p w14:paraId="555A974E"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21</w:t>
            </w:r>
          </w:p>
        </w:tc>
        <w:tc>
          <w:tcPr>
            <w:tcW w:w="447" w:type="pct"/>
            <w:noWrap/>
            <w:vAlign w:val="bottom"/>
            <w:hideMark/>
          </w:tcPr>
          <w:p w14:paraId="0F6B754A"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20.00</w:t>
            </w:r>
          </w:p>
        </w:tc>
        <w:tc>
          <w:tcPr>
            <w:tcW w:w="519" w:type="pct"/>
            <w:noWrap/>
            <w:vAlign w:val="bottom"/>
            <w:hideMark/>
          </w:tcPr>
          <w:p w14:paraId="287F4537"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10.20</w:t>
            </w:r>
          </w:p>
        </w:tc>
      </w:tr>
      <w:tr w:rsidR="00D13CA7" w:rsidRPr="00D13CA7" w14:paraId="785118DF" w14:textId="77777777" w:rsidTr="00D13CA7">
        <w:trPr>
          <w:trHeight w:val="300"/>
          <w:jc w:val="center"/>
        </w:trPr>
        <w:tc>
          <w:tcPr>
            <w:tcW w:w="389" w:type="pct"/>
            <w:noWrap/>
            <w:vAlign w:val="bottom"/>
            <w:hideMark/>
          </w:tcPr>
          <w:p w14:paraId="4F7FB913" w14:textId="77777777" w:rsidR="00D13CA7" w:rsidRPr="00D13CA7" w:rsidRDefault="00D13CA7" w:rsidP="00D13CA7">
            <w:pPr>
              <w:spacing w:after="0" w:line="240" w:lineRule="auto"/>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 </w:t>
            </w:r>
          </w:p>
        </w:tc>
        <w:tc>
          <w:tcPr>
            <w:tcW w:w="450" w:type="pct"/>
            <w:noWrap/>
            <w:vAlign w:val="bottom"/>
            <w:hideMark/>
          </w:tcPr>
          <w:p w14:paraId="71EBE3C4"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225</w:t>
            </w:r>
          </w:p>
        </w:tc>
        <w:tc>
          <w:tcPr>
            <w:tcW w:w="549" w:type="pct"/>
            <w:noWrap/>
            <w:vAlign w:val="bottom"/>
            <w:hideMark/>
          </w:tcPr>
          <w:p w14:paraId="018DDC8E"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1</w:t>
            </w:r>
          </w:p>
        </w:tc>
        <w:tc>
          <w:tcPr>
            <w:tcW w:w="371" w:type="pct"/>
            <w:noWrap/>
            <w:vAlign w:val="bottom"/>
            <w:hideMark/>
          </w:tcPr>
          <w:p w14:paraId="3A52DAED"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5</w:t>
            </w:r>
          </w:p>
        </w:tc>
        <w:tc>
          <w:tcPr>
            <w:tcW w:w="399" w:type="pct"/>
            <w:noWrap/>
            <w:vAlign w:val="bottom"/>
            <w:hideMark/>
          </w:tcPr>
          <w:p w14:paraId="17A57770"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1</w:t>
            </w:r>
          </w:p>
        </w:tc>
        <w:tc>
          <w:tcPr>
            <w:tcW w:w="415" w:type="pct"/>
            <w:noWrap/>
            <w:vAlign w:val="bottom"/>
            <w:hideMark/>
          </w:tcPr>
          <w:p w14:paraId="41E3D19D"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0.42</w:t>
            </w:r>
          </w:p>
        </w:tc>
        <w:tc>
          <w:tcPr>
            <w:tcW w:w="194" w:type="pct"/>
            <w:noWrap/>
            <w:vAlign w:val="bottom"/>
            <w:hideMark/>
          </w:tcPr>
          <w:p w14:paraId="5BED4A47"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7</w:t>
            </w:r>
          </w:p>
        </w:tc>
        <w:tc>
          <w:tcPr>
            <w:tcW w:w="617" w:type="pct"/>
            <w:noWrap/>
            <w:vAlign w:val="bottom"/>
            <w:hideMark/>
          </w:tcPr>
          <w:p w14:paraId="39476241"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0.5</w:t>
            </w:r>
          </w:p>
        </w:tc>
        <w:tc>
          <w:tcPr>
            <w:tcW w:w="650" w:type="pct"/>
            <w:noWrap/>
            <w:vAlign w:val="bottom"/>
            <w:hideMark/>
          </w:tcPr>
          <w:p w14:paraId="02913700"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52</w:t>
            </w:r>
          </w:p>
        </w:tc>
        <w:tc>
          <w:tcPr>
            <w:tcW w:w="447" w:type="pct"/>
            <w:noWrap/>
            <w:vAlign w:val="bottom"/>
            <w:hideMark/>
          </w:tcPr>
          <w:p w14:paraId="17F7B73F"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35.00</w:t>
            </w:r>
          </w:p>
        </w:tc>
        <w:tc>
          <w:tcPr>
            <w:tcW w:w="519" w:type="pct"/>
            <w:noWrap/>
            <w:vAlign w:val="bottom"/>
            <w:hideMark/>
          </w:tcPr>
          <w:p w14:paraId="153DA0DE"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14.70</w:t>
            </w:r>
          </w:p>
        </w:tc>
      </w:tr>
      <w:tr w:rsidR="00D13CA7" w:rsidRPr="00D13CA7" w14:paraId="67F9540B" w14:textId="77777777" w:rsidTr="00D13CA7">
        <w:trPr>
          <w:trHeight w:val="300"/>
          <w:jc w:val="center"/>
        </w:trPr>
        <w:tc>
          <w:tcPr>
            <w:tcW w:w="389" w:type="pct"/>
            <w:noWrap/>
            <w:vAlign w:val="bottom"/>
            <w:hideMark/>
          </w:tcPr>
          <w:p w14:paraId="5A341401" w14:textId="77777777" w:rsidR="00D13CA7" w:rsidRPr="00D13CA7" w:rsidRDefault="00D13CA7" w:rsidP="00D13CA7">
            <w:pPr>
              <w:spacing w:after="0" w:line="240" w:lineRule="auto"/>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 </w:t>
            </w:r>
          </w:p>
        </w:tc>
        <w:tc>
          <w:tcPr>
            <w:tcW w:w="450" w:type="pct"/>
            <w:noWrap/>
            <w:vAlign w:val="bottom"/>
            <w:hideMark/>
          </w:tcPr>
          <w:p w14:paraId="1AF040E8"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225</w:t>
            </w:r>
          </w:p>
        </w:tc>
        <w:tc>
          <w:tcPr>
            <w:tcW w:w="549" w:type="pct"/>
            <w:noWrap/>
            <w:vAlign w:val="bottom"/>
            <w:hideMark/>
          </w:tcPr>
          <w:p w14:paraId="0DF6D642"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1</w:t>
            </w:r>
          </w:p>
        </w:tc>
        <w:tc>
          <w:tcPr>
            <w:tcW w:w="371" w:type="pct"/>
            <w:noWrap/>
            <w:vAlign w:val="bottom"/>
            <w:hideMark/>
          </w:tcPr>
          <w:p w14:paraId="51864A83"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5</w:t>
            </w:r>
          </w:p>
        </w:tc>
        <w:tc>
          <w:tcPr>
            <w:tcW w:w="399" w:type="pct"/>
            <w:noWrap/>
            <w:vAlign w:val="bottom"/>
            <w:hideMark/>
          </w:tcPr>
          <w:p w14:paraId="27E567B2"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1</w:t>
            </w:r>
          </w:p>
        </w:tc>
        <w:tc>
          <w:tcPr>
            <w:tcW w:w="415" w:type="pct"/>
            <w:noWrap/>
            <w:vAlign w:val="bottom"/>
            <w:hideMark/>
          </w:tcPr>
          <w:p w14:paraId="26C7E4EB"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0.51</w:t>
            </w:r>
          </w:p>
        </w:tc>
        <w:tc>
          <w:tcPr>
            <w:tcW w:w="194" w:type="pct"/>
            <w:noWrap/>
            <w:vAlign w:val="bottom"/>
            <w:hideMark/>
          </w:tcPr>
          <w:p w14:paraId="5DA5C943"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7</w:t>
            </w:r>
          </w:p>
        </w:tc>
        <w:tc>
          <w:tcPr>
            <w:tcW w:w="617" w:type="pct"/>
            <w:noWrap/>
            <w:vAlign w:val="bottom"/>
            <w:hideMark/>
          </w:tcPr>
          <w:p w14:paraId="3C26EA87"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0.5</w:t>
            </w:r>
          </w:p>
        </w:tc>
        <w:tc>
          <w:tcPr>
            <w:tcW w:w="650" w:type="pct"/>
            <w:noWrap/>
            <w:vAlign w:val="bottom"/>
            <w:hideMark/>
          </w:tcPr>
          <w:p w14:paraId="3C00190E"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16</w:t>
            </w:r>
          </w:p>
        </w:tc>
        <w:tc>
          <w:tcPr>
            <w:tcW w:w="447" w:type="pct"/>
            <w:noWrap/>
            <w:vAlign w:val="bottom"/>
            <w:hideMark/>
          </w:tcPr>
          <w:p w14:paraId="6ACE0A05"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35.00</w:t>
            </w:r>
          </w:p>
        </w:tc>
        <w:tc>
          <w:tcPr>
            <w:tcW w:w="519" w:type="pct"/>
            <w:noWrap/>
            <w:vAlign w:val="bottom"/>
            <w:hideMark/>
          </w:tcPr>
          <w:p w14:paraId="7D635D25"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26.95</w:t>
            </w:r>
          </w:p>
        </w:tc>
      </w:tr>
      <w:tr w:rsidR="00D13CA7" w:rsidRPr="00D13CA7" w14:paraId="1C7D1542" w14:textId="77777777" w:rsidTr="00D13CA7">
        <w:trPr>
          <w:trHeight w:val="300"/>
          <w:jc w:val="center"/>
        </w:trPr>
        <w:tc>
          <w:tcPr>
            <w:tcW w:w="389" w:type="pct"/>
            <w:noWrap/>
            <w:vAlign w:val="bottom"/>
            <w:hideMark/>
          </w:tcPr>
          <w:p w14:paraId="631A10B9" w14:textId="77777777" w:rsidR="00D13CA7" w:rsidRPr="00D13CA7" w:rsidRDefault="00D13CA7" w:rsidP="00D13CA7">
            <w:pPr>
              <w:spacing w:after="0" w:line="240" w:lineRule="auto"/>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 </w:t>
            </w:r>
          </w:p>
        </w:tc>
        <w:tc>
          <w:tcPr>
            <w:tcW w:w="450" w:type="pct"/>
            <w:noWrap/>
            <w:vAlign w:val="bottom"/>
            <w:hideMark/>
          </w:tcPr>
          <w:p w14:paraId="7A00642B"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400</w:t>
            </w:r>
          </w:p>
        </w:tc>
        <w:tc>
          <w:tcPr>
            <w:tcW w:w="549" w:type="pct"/>
            <w:noWrap/>
            <w:vAlign w:val="bottom"/>
            <w:hideMark/>
          </w:tcPr>
          <w:p w14:paraId="7C0FB317"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1</w:t>
            </w:r>
          </w:p>
        </w:tc>
        <w:tc>
          <w:tcPr>
            <w:tcW w:w="371" w:type="pct"/>
            <w:noWrap/>
            <w:vAlign w:val="bottom"/>
            <w:hideMark/>
          </w:tcPr>
          <w:p w14:paraId="015661BC"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5</w:t>
            </w:r>
          </w:p>
        </w:tc>
        <w:tc>
          <w:tcPr>
            <w:tcW w:w="399" w:type="pct"/>
            <w:noWrap/>
            <w:vAlign w:val="bottom"/>
            <w:hideMark/>
          </w:tcPr>
          <w:p w14:paraId="69F01DD2"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10</w:t>
            </w:r>
          </w:p>
        </w:tc>
        <w:tc>
          <w:tcPr>
            <w:tcW w:w="415" w:type="pct"/>
            <w:noWrap/>
            <w:vAlign w:val="bottom"/>
            <w:hideMark/>
          </w:tcPr>
          <w:p w14:paraId="3BB4E7CB"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0.77</w:t>
            </w:r>
          </w:p>
        </w:tc>
        <w:tc>
          <w:tcPr>
            <w:tcW w:w="194" w:type="pct"/>
            <w:noWrap/>
            <w:vAlign w:val="bottom"/>
            <w:hideMark/>
          </w:tcPr>
          <w:p w14:paraId="262D2845"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10</w:t>
            </w:r>
          </w:p>
        </w:tc>
        <w:tc>
          <w:tcPr>
            <w:tcW w:w="617" w:type="pct"/>
            <w:noWrap/>
            <w:vAlign w:val="bottom"/>
            <w:hideMark/>
          </w:tcPr>
          <w:p w14:paraId="2D6EAA85"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0.5</w:t>
            </w:r>
          </w:p>
        </w:tc>
        <w:tc>
          <w:tcPr>
            <w:tcW w:w="650" w:type="pct"/>
            <w:noWrap/>
            <w:vAlign w:val="bottom"/>
            <w:hideMark/>
          </w:tcPr>
          <w:p w14:paraId="099086CA"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70</w:t>
            </w:r>
          </w:p>
        </w:tc>
        <w:tc>
          <w:tcPr>
            <w:tcW w:w="447" w:type="pct"/>
            <w:noWrap/>
            <w:vAlign w:val="bottom"/>
            <w:hideMark/>
          </w:tcPr>
          <w:p w14:paraId="088F9807"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50.00</w:t>
            </w:r>
          </w:p>
        </w:tc>
        <w:tc>
          <w:tcPr>
            <w:tcW w:w="519" w:type="pct"/>
            <w:noWrap/>
            <w:vAlign w:val="bottom"/>
            <w:hideMark/>
          </w:tcPr>
          <w:p w14:paraId="07C7F134"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38.50</w:t>
            </w:r>
          </w:p>
        </w:tc>
      </w:tr>
      <w:tr w:rsidR="00D13CA7" w:rsidRPr="00D13CA7" w14:paraId="577C8E13" w14:textId="77777777" w:rsidTr="00D13CA7">
        <w:trPr>
          <w:trHeight w:val="300"/>
          <w:jc w:val="center"/>
        </w:trPr>
        <w:tc>
          <w:tcPr>
            <w:tcW w:w="389" w:type="pct"/>
            <w:noWrap/>
            <w:vAlign w:val="bottom"/>
            <w:hideMark/>
          </w:tcPr>
          <w:p w14:paraId="05A555C1" w14:textId="77777777" w:rsidR="00D13CA7" w:rsidRPr="00D13CA7" w:rsidRDefault="00D13CA7" w:rsidP="00D13CA7">
            <w:pPr>
              <w:spacing w:after="0" w:line="240" w:lineRule="auto"/>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 </w:t>
            </w:r>
          </w:p>
        </w:tc>
        <w:tc>
          <w:tcPr>
            <w:tcW w:w="450" w:type="pct"/>
            <w:noWrap/>
            <w:vAlign w:val="bottom"/>
            <w:hideMark/>
          </w:tcPr>
          <w:p w14:paraId="32D7793F"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225</w:t>
            </w:r>
          </w:p>
        </w:tc>
        <w:tc>
          <w:tcPr>
            <w:tcW w:w="549" w:type="pct"/>
            <w:noWrap/>
            <w:vAlign w:val="bottom"/>
            <w:hideMark/>
          </w:tcPr>
          <w:p w14:paraId="0F533F34"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1</w:t>
            </w:r>
          </w:p>
        </w:tc>
        <w:tc>
          <w:tcPr>
            <w:tcW w:w="371" w:type="pct"/>
            <w:noWrap/>
            <w:vAlign w:val="bottom"/>
            <w:hideMark/>
          </w:tcPr>
          <w:p w14:paraId="07AC7527"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5</w:t>
            </w:r>
          </w:p>
        </w:tc>
        <w:tc>
          <w:tcPr>
            <w:tcW w:w="399" w:type="pct"/>
            <w:noWrap/>
            <w:vAlign w:val="bottom"/>
            <w:hideMark/>
          </w:tcPr>
          <w:p w14:paraId="7E1702AD"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10</w:t>
            </w:r>
          </w:p>
        </w:tc>
        <w:tc>
          <w:tcPr>
            <w:tcW w:w="415" w:type="pct"/>
            <w:noWrap/>
            <w:vAlign w:val="bottom"/>
            <w:hideMark/>
          </w:tcPr>
          <w:p w14:paraId="53CE98D0"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0.77</w:t>
            </w:r>
          </w:p>
        </w:tc>
        <w:tc>
          <w:tcPr>
            <w:tcW w:w="194" w:type="pct"/>
            <w:noWrap/>
            <w:vAlign w:val="bottom"/>
            <w:hideMark/>
          </w:tcPr>
          <w:p w14:paraId="37C9480B"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10</w:t>
            </w:r>
          </w:p>
        </w:tc>
        <w:tc>
          <w:tcPr>
            <w:tcW w:w="617" w:type="pct"/>
            <w:noWrap/>
            <w:vAlign w:val="bottom"/>
            <w:hideMark/>
          </w:tcPr>
          <w:p w14:paraId="3FDD97BA"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0.5</w:t>
            </w:r>
          </w:p>
        </w:tc>
        <w:tc>
          <w:tcPr>
            <w:tcW w:w="650" w:type="pct"/>
            <w:noWrap/>
            <w:vAlign w:val="bottom"/>
            <w:hideMark/>
          </w:tcPr>
          <w:p w14:paraId="33128A38"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50</w:t>
            </w:r>
          </w:p>
        </w:tc>
        <w:tc>
          <w:tcPr>
            <w:tcW w:w="447" w:type="pct"/>
            <w:noWrap/>
            <w:vAlign w:val="bottom"/>
            <w:hideMark/>
          </w:tcPr>
          <w:p w14:paraId="694D6367"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50.00</w:t>
            </w:r>
          </w:p>
        </w:tc>
        <w:tc>
          <w:tcPr>
            <w:tcW w:w="519" w:type="pct"/>
            <w:noWrap/>
            <w:vAlign w:val="bottom"/>
            <w:hideMark/>
          </w:tcPr>
          <w:p w14:paraId="58EB572F"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38.50</w:t>
            </w:r>
          </w:p>
        </w:tc>
      </w:tr>
      <w:tr w:rsidR="00D13CA7" w:rsidRPr="00D13CA7" w14:paraId="1ECD6001" w14:textId="77777777" w:rsidTr="00D13CA7">
        <w:trPr>
          <w:trHeight w:val="300"/>
          <w:jc w:val="center"/>
        </w:trPr>
        <w:tc>
          <w:tcPr>
            <w:tcW w:w="389" w:type="pct"/>
            <w:noWrap/>
            <w:vAlign w:val="bottom"/>
            <w:hideMark/>
          </w:tcPr>
          <w:p w14:paraId="60634D3C" w14:textId="77777777" w:rsidR="00D13CA7" w:rsidRPr="00D13CA7" w:rsidRDefault="00D13CA7" w:rsidP="00D13CA7">
            <w:pPr>
              <w:spacing w:after="0" w:line="240" w:lineRule="auto"/>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 </w:t>
            </w:r>
          </w:p>
        </w:tc>
        <w:tc>
          <w:tcPr>
            <w:tcW w:w="450" w:type="pct"/>
            <w:noWrap/>
            <w:vAlign w:val="bottom"/>
            <w:hideMark/>
          </w:tcPr>
          <w:p w14:paraId="5C96EAEF"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400</w:t>
            </w:r>
          </w:p>
        </w:tc>
        <w:tc>
          <w:tcPr>
            <w:tcW w:w="549" w:type="pct"/>
            <w:noWrap/>
            <w:vAlign w:val="bottom"/>
            <w:hideMark/>
          </w:tcPr>
          <w:p w14:paraId="24BFC17F"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1</w:t>
            </w:r>
          </w:p>
        </w:tc>
        <w:tc>
          <w:tcPr>
            <w:tcW w:w="371" w:type="pct"/>
            <w:noWrap/>
            <w:vAlign w:val="bottom"/>
            <w:hideMark/>
          </w:tcPr>
          <w:p w14:paraId="6B6EE37A"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4</w:t>
            </w:r>
          </w:p>
        </w:tc>
        <w:tc>
          <w:tcPr>
            <w:tcW w:w="399" w:type="pct"/>
            <w:noWrap/>
            <w:vAlign w:val="bottom"/>
            <w:hideMark/>
          </w:tcPr>
          <w:p w14:paraId="18199DF5"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20</w:t>
            </w:r>
          </w:p>
        </w:tc>
        <w:tc>
          <w:tcPr>
            <w:tcW w:w="415" w:type="pct"/>
            <w:noWrap/>
            <w:vAlign w:val="bottom"/>
            <w:hideMark/>
          </w:tcPr>
          <w:p w14:paraId="29CD835E"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2.14</w:t>
            </w:r>
          </w:p>
        </w:tc>
        <w:tc>
          <w:tcPr>
            <w:tcW w:w="194" w:type="pct"/>
            <w:noWrap/>
            <w:vAlign w:val="bottom"/>
            <w:hideMark/>
          </w:tcPr>
          <w:p w14:paraId="4C356BF0"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5</w:t>
            </w:r>
          </w:p>
        </w:tc>
        <w:tc>
          <w:tcPr>
            <w:tcW w:w="617" w:type="pct"/>
            <w:noWrap/>
            <w:vAlign w:val="bottom"/>
            <w:hideMark/>
          </w:tcPr>
          <w:p w14:paraId="387AB845"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1</w:t>
            </w:r>
          </w:p>
        </w:tc>
        <w:tc>
          <w:tcPr>
            <w:tcW w:w="650" w:type="pct"/>
            <w:noWrap/>
            <w:vAlign w:val="bottom"/>
            <w:hideMark/>
          </w:tcPr>
          <w:p w14:paraId="56FBFFFD"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85</w:t>
            </w:r>
          </w:p>
        </w:tc>
        <w:tc>
          <w:tcPr>
            <w:tcW w:w="447" w:type="pct"/>
            <w:noWrap/>
            <w:vAlign w:val="bottom"/>
            <w:hideMark/>
          </w:tcPr>
          <w:p w14:paraId="1C986D58"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20.00</w:t>
            </w:r>
          </w:p>
        </w:tc>
        <w:tc>
          <w:tcPr>
            <w:tcW w:w="519" w:type="pct"/>
            <w:noWrap/>
            <w:vAlign w:val="bottom"/>
            <w:hideMark/>
          </w:tcPr>
          <w:p w14:paraId="1EA79A0B"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42.80</w:t>
            </w:r>
          </w:p>
        </w:tc>
      </w:tr>
      <w:tr w:rsidR="00D13CA7" w:rsidRPr="00D13CA7" w14:paraId="6273FBD8" w14:textId="77777777" w:rsidTr="00D13CA7">
        <w:trPr>
          <w:trHeight w:val="300"/>
          <w:jc w:val="center"/>
        </w:trPr>
        <w:tc>
          <w:tcPr>
            <w:tcW w:w="389" w:type="pct"/>
            <w:noWrap/>
            <w:vAlign w:val="bottom"/>
            <w:hideMark/>
          </w:tcPr>
          <w:p w14:paraId="47E8CF32" w14:textId="77777777" w:rsidR="00D13CA7" w:rsidRPr="00D13CA7" w:rsidRDefault="00D13CA7" w:rsidP="00D13CA7">
            <w:pPr>
              <w:spacing w:after="0" w:line="240" w:lineRule="auto"/>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 </w:t>
            </w:r>
          </w:p>
        </w:tc>
        <w:tc>
          <w:tcPr>
            <w:tcW w:w="450" w:type="pct"/>
            <w:noWrap/>
            <w:vAlign w:val="bottom"/>
            <w:hideMark/>
          </w:tcPr>
          <w:p w14:paraId="496179EB"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400</w:t>
            </w:r>
          </w:p>
        </w:tc>
        <w:tc>
          <w:tcPr>
            <w:tcW w:w="549" w:type="pct"/>
            <w:noWrap/>
            <w:vAlign w:val="bottom"/>
            <w:hideMark/>
          </w:tcPr>
          <w:p w14:paraId="3B8F1486"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0.7</w:t>
            </w:r>
          </w:p>
        </w:tc>
        <w:tc>
          <w:tcPr>
            <w:tcW w:w="371" w:type="pct"/>
            <w:noWrap/>
            <w:vAlign w:val="bottom"/>
            <w:hideMark/>
          </w:tcPr>
          <w:p w14:paraId="7B131E96"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4</w:t>
            </w:r>
          </w:p>
        </w:tc>
        <w:tc>
          <w:tcPr>
            <w:tcW w:w="399" w:type="pct"/>
            <w:noWrap/>
            <w:vAlign w:val="bottom"/>
            <w:hideMark/>
          </w:tcPr>
          <w:p w14:paraId="27894C64"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20</w:t>
            </w:r>
          </w:p>
        </w:tc>
        <w:tc>
          <w:tcPr>
            <w:tcW w:w="415" w:type="pct"/>
            <w:noWrap/>
            <w:vAlign w:val="bottom"/>
            <w:hideMark/>
          </w:tcPr>
          <w:p w14:paraId="59446162"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2.14</w:t>
            </w:r>
          </w:p>
        </w:tc>
        <w:tc>
          <w:tcPr>
            <w:tcW w:w="194" w:type="pct"/>
            <w:noWrap/>
            <w:vAlign w:val="bottom"/>
            <w:hideMark/>
          </w:tcPr>
          <w:p w14:paraId="2F58CA43"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5</w:t>
            </w:r>
          </w:p>
        </w:tc>
        <w:tc>
          <w:tcPr>
            <w:tcW w:w="617" w:type="pct"/>
            <w:noWrap/>
            <w:vAlign w:val="bottom"/>
            <w:hideMark/>
          </w:tcPr>
          <w:p w14:paraId="7C544820"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1</w:t>
            </w:r>
          </w:p>
        </w:tc>
        <w:tc>
          <w:tcPr>
            <w:tcW w:w="650" w:type="pct"/>
            <w:noWrap/>
            <w:vAlign w:val="bottom"/>
            <w:hideMark/>
          </w:tcPr>
          <w:p w14:paraId="485FE105"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120</w:t>
            </w:r>
          </w:p>
        </w:tc>
        <w:tc>
          <w:tcPr>
            <w:tcW w:w="447" w:type="pct"/>
            <w:noWrap/>
            <w:vAlign w:val="bottom"/>
            <w:hideMark/>
          </w:tcPr>
          <w:p w14:paraId="21485E27"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28.57</w:t>
            </w:r>
          </w:p>
        </w:tc>
        <w:tc>
          <w:tcPr>
            <w:tcW w:w="519" w:type="pct"/>
            <w:noWrap/>
            <w:vAlign w:val="bottom"/>
            <w:hideMark/>
          </w:tcPr>
          <w:p w14:paraId="7050AFC5"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61.14</w:t>
            </w:r>
          </w:p>
        </w:tc>
      </w:tr>
      <w:tr w:rsidR="00D13CA7" w:rsidRPr="00D13CA7" w14:paraId="4FB1B6F3" w14:textId="77777777" w:rsidTr="00D13CA7">
        <w:trPr>
          <w:trHeight w:val="300"/>
          <w:jc w:val="center"/>
        </w:trPr>
        <w:tc>
          <w:tcPr>
            <w:tcW w:w="389" w:type="pct"/>
            <w:noWrap/>
            <w:vAlign w:val="bottom"/>
            <w:hideMark/>
          </w:tcPr>
          <w:p w14:paraId="1691813C" w14:textId="77777777" w:rsidR="00D13CA7" w:rsidRPr="00D13CA7" w:rsidRDefault="00D13CA7" w:rsidP="00D13CA7">
            <w:pPr>
              <w:spacing w:after="0" w:line="240" w:lineRule="auto"/>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 </w:t>
            </w:r>
          </w:p>
        </w:tc>
        <w:tc>
          <w:tcPr>
            <w:tcW w:w="450" w:type="pct"/>
            <w:noWrap/>
            <w:vAlign w:val="bottom"/>
            <w:hideMark/>
          </w:tcPr>
          <w:p w14:paraId="6717A69F"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400</w:t>
            </w:r>
          </w:p>
        </w:tc>
        <w:tc>
          <w:tcPr>
            <w:tcW w:w="549" w:type="pct"/>
            <w:noWrap/>
            <w:vAlign w:val="bottom"/>
            <w:hideMark/>
          </w:tcPr>
          <w:p w14:paraId="11601B13"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1</w:t>
            </w:r>
          </w:p>
        </w:tc>
        <w:tc>
          <w:tcPr>
            <w:tcW w:w="371" w:type="pct"/>
            <w:noWrap/>
            <w:vAlign w:val="bottom"/>
            <w:hideMark/>
          </w:tcPr>
          <w:p w14:paraId="2EFB5E4D"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2</w:t>
            </w:r>
          </w:p>
        </w:tc>
        <w:tc>
          <w:tcPr>
            <w:tcW w:w="399" w:type="pct"/>
            <w:noWrap/>
            <w:vAlign w:val="bottom"/>
            <w:hideMark/>
          </w:tcPr>
          <w:p w14:paraId="7C5D84DD"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40</w:t>
            </w:r>
          </w:p>
        </w:tc>
        <w:tc>
          <w:tcPr>
            <w:tcW w:w="415" w:type="pct"/>
            <w:noWrap/>
            <w:vAlign w:val="bottom"/>
            <w:hideMark/>
          </w:tcPr>
          <w:p w14:paraId="2ABF0AC5"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6.25</w:t>
            </w:r>
          </w:p>
        </w:tc>
        <w:tc>
          <w:tcPr>
            <w:tcW w:w="194" w:type="pct"/>
            <w:noWrap/>
            <w:vAlign w:val="bottom"/>
            <w:hideMark/>
          </w:tcPr>
          <w:p w14:paraId="7E0D0466"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5</w:t>
            </w:r>
          </w:p>
        </w:tc>
        <w:tc>
          <w:tcPr>
            <w:tcW w:w="617" w:type="pct"/>
            <w:noWrap/>
            <w:vAlign w:val="bottom"/>
            <w:hideMark/>
          </w:tcPr>
          <w:p w14:paraId="546EBF47"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1</w:t>
            </w:r>
          </w:p>
        </w:tc>
        <w:tc>
          <w:tcPr>
            <w:tcW w:w="650" w:type="pct"/>
            <w:noWrap/>
            <w:vAlign w:val="bottom"/>
            <w:hideMark/>
          </w:tcPr>
          <w:p w14:paraId="37ACFB4F"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78</w:t>
            </w:r>
          </w:p>
        </w:tc>
        <w:tc>
          <w:tcPr>
            <w:tcW w:w="447" w:type="pct"/>
            <w:noWrap/>
            <w:vAlign w:val="bottom"/>
            <w:hideMark/>
          </w:tcPr>
          <w:p w14:paraId="0231CA7D"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10.00</w:t>
            </w:r>
          </w:p>
        </w:tc>
        <w:tc>
          <w:tcPr>
            <w:tcW w:w="519" w:type="pct"/>
            <w:noWrap/>
            <w:vAlign w:val="bottom"/>
            <w:hideMark/>
          </w:tcPr>
          <w:p w14:paraId="4B31C725"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62.50</w:t>
            </w:r>
          </w:p>
        </w:tc>
      </w:tr>
      <w:tr w:rsidR="00D13CA7" w:rsidRPr="00D13CA7" w14:paraId="6DAACCF2" w14:textId="77777777" w:rsidTr="00D13CA7">
        <w:trPr>
          <w:trHeight w:val="300"/>
          <w:jc w:val="center"/>
        </w:trPr>
        <w:tc>
          <w:tcPr>
            <w:tcW w:w="389" w:type="pct"/>
            <w:noWrap/>
            <w:vAlign w:val="bottom"/>
            <w:hideMark/>
          </w:tcPr>
          <w:p w14:paraId="6FC47752" w14:textId="77777777" w:rsidR="00D13CA7" w:rsidRPr="00D13CA7" w:rsidRDefault="00D13CA7" w:rsidP="00D13CA7">
            <w:pPr>
              <w:spacing w:after="0" w:line="240" w:lineRule="auto"/>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 </w:t>
            </w:r>
          </w:p>
        </w:tc>
        <w:tc>
          <w:tcPr>
            <w:tcW w:w="450" w:type="pct"/>
            <w:noWrap/>
            <w:vAlign w:val="bottom"/>
            <w:hideMark/>
          </w:tcPr>
          <w:p w14:paraId="5F2265F8"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400</w:t>
            </w:r>
          </w:p>
        </w:tc>
        <w:tc>
          <w:tcPr>
            <w:tcW w:w="549" w:type="pct"/>
            <w:noWrap/>
            <w:vAlign w:val="bottom"/>
            <w:hideMark/>
          </w:tcPr>
          <w:p w14:paraId="45AECB90"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0.7</w:t>
            </w:r>
          </w:p>
        </w:tc>
        <w:tc>
          <w:tcPr>
            <w:tcW w:w="371" w:type="pct"/>
            <w:noWrap/>
            <w:vAlign w:val="bottom"/>
            <w:hideMark/>
          </w:tcPr>
          <w:p w14:paraId="5DC41F70"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2</w:t>
            </w:r>
          </w:p>
        </w:tc>
        <w:tc>
          <w:tcPr>
            <w:tcW w:w="399" w:type="pct"/>
            <w:noWrap/>
            <w:vAlign w:val="bottom"/>
            <w:hideMark/>
          </w:tcPr>
          <w:p w14:paraId="47F6FA82"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40</w:t>
            </w:r>
          </w:p>
        </w:tc>
        <w:tc>
          <w:tcPr>
            <w:tcW w:w="415" w:type="pct"/>
            <w:noWrap/>
            <w:vAlign w:val="bottom"/>
            <w:hideMark/>
          </w:tcPr>
          <w:p w14:paraId="68F51980"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6.25</w:t>
            </w:r>
          </w:p>
        </w:tc>
        <w:tc>
          <w:tcPr>
            <w:tcW w:w="194" w:type="pct"/>
            <w:noWrap/>
            <w:vAlign w:val="bottom"/>
            <w:hideMark/>
          </w:tcPr>
          <w:p w14:paraId="1DE04042"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5</w:t>
            </w:r>
          </w:p>
        </w:tc>
        <w:tc>
          <w:tcPr>
            <w:tcW w:w="617" w:type="pct"/>
            <w:noWrap/>
            <w:vAlign w:val="bottom"/>
            <w:hideMark/>
          </w:tcPr>
          <w:p w14:paraId="3F0DE803"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1</w:t>
            </w:r>
          </w:p>
        </w:tc>
        <w:tc>
          <w:tcPr>
            <w:tcW w:w="650" w:type="pct"/>
            <w:noWrap/>
            <w:vAlign w:val="bottom"/>
            <w:hideMark/>
          </w:tcPr>
          <w:p w14:paraId="138A923C"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110</w:t>
            </w:r>
          </w:p>
        </w:tc>
        <w:tc>
          <w:tcPr>
            <w:tcW w:w="447" w:type="pct"/>
            <w:noWrap/>
            <w:vAlign w:val="bottom"/>
            <w:hideMark/>
          </w:tcPr>
          <w:p w14:paraId="4618C4CA"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14.29</w:t>
            </w:r>
          </w:p>
        </w:tc>
        <w:tc>
          <w:tcPr>
            <w:tcW w:w="519" w:type="pct"/>
            <w:noWrap/>
            <w:vAlign w:val="bottom"/>
            <w:hideMark/>
          </w:tcPr>
          <w:p w14:paraId="3F424DAD"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89.29</w:t>
            </w:r>
          </w:p>
        </w:tc>
      </w:tr>
      <w:tr w:rsidR="00D13CA7" w:rsidRPr="00D13CA7" w14:paraId="733F408A" w14:textId="77777777" w:rsidTr="00D13CA7">
        <w:trPr>
          <w:trHeight w:val="300"/>
          <w:jc w:val="center"/>
        </w:trPr>
        <w:tc>
          <w:tcPr>
            <w:tcW w:w="389" w:type="pct"/>
            <w:noWrap/>
            <w:vAlign w:val="bottom"/>
            <w:hideMark/>
          </w:tcPr>
          <w:p w14:paraId="4C855DB8" w14:textId="77777777" w:rsidR="00D13CA7" w:rsidRPr="00D13CA7" w:rsidRDefault="00D13CA7" w:rsidP="00D13CA7">
            <w:pPr>
              <w:spacing w:after="0" w:line="240" w:lineRule="auto"/>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 xml:space="preserve">Spot </w:t>
            </w:r>
          </w:p>
        </w:tc>
        <w:tc>
          <w:tcPr>
            <w:tcW w:w="450" w:type="pct"/>
            <w:noWrap/>
            <w:vAlign w:val="bottom"/>
            <w:hideMark/>
          </w:tcPr>
          <w:p w14:paraId="336934C9" w14:textId="77777777" w:rsidR="00D13CA7" w:rsidRPr="00D13CA7" w:rsidRDefault="00D13CA7" w:rsidP="00D13CA7">
            <w:pPr>
              <w:spacing w:after="0" w:line="240" w:lineRule="auto"/>
              <w:rPr>
                <w:rFonts w:ascii="Calibri" w:eastAsia="Times New Roman" w:hAnsi="Calibri" w:cs="Calibri"/>
                <w:color w:val="000000"/>
                <w:kern w:val="0"/>
                <w:sz w:val="18"/>
                <w:szCs w:val="18"/>
                <w:lang w:eastAsia="en-GB"/>
                <w14:ligatures w14:val="none"/>
              </w:rPr>
            </w:pPr>
          </w:p>
        </w:tc>
        <w:tc>
          <w:tcPr>
            <w:tcW w:w="549" w:type="pct"/>
            <w:noWrap/>
            <w:vAlign w:val="bottom"/>
            <w:hideMark/>
          </w:tcPr>
          <w:p w14:paraId="661ACDCC" w14:textId="77777777" w:rsidR="00D13CA7" w:rsidRPr="00D13CA7" w:rsidRDefault="00D13CA7" w:rsidP="00D13CA7">
            <w:pPr>
              <w:spacing w:after="0" w:line="240" w:lineRule="auto"/>
              <w:rPr>
                <w:rFonts w:ascii="Times New Roman" w:eastAsia="Times New Roman" w:hAnsi="Times New Roman" w:cs="Times New Roman"/>
                <w:kern w:val="0"/>
                <w:sz w:val="18"/>
                <w:szCs w:val="18"/>
                <w:lang w:eastAsia="en-GB"/>
                <w14:ligatures w14:val="none"/>
              </w:rPr>
            </w:pPr>
          </w:p>
        </w:tc>
        <w:tc>
          <w:tcPr>
            <w:tcW w:w="371" w:type="pct"/>
            <w:noWrap/>
            <w:vAlign w:val="bottom"/>
            <w:hideMark/>
          </w:tcPr>
          <w:p w14:paraId="2D55EF97" w14:textId="77777777" w:rsidR="00D13CA7" w:rsidRPr="00D13CA7" w:rsidRDefault="00D13CA7" w:rsidP="00D13CA7">
            <w:pPr>
              <w:spacing w:after="0" w:line="240" w:lineRule="auto"/>
              <w:rPr>
                <w:rFonts w:ascii="Times New Roman" w:eastAsia="Times New Roman" w:hAnsi="Times New Roman" w:cs="Times New Roman"/>
                <w:kern w:val="0"/>
                <w:sz w:val="18"/>
                <w:szCs w:val="18"/>
                <w:lang w:eastAsia="en-GB"/>
                <w14:ligatures w14:val="none"/>
              </w:rPr>
            </w:pPr>
          </w:p>
        </w:tc>
        <w:tc>
          <w:tcPr>
            <w:tcW w:w="399" w:type="pct"/>
            <w:noWrap/>
            <w:vAlign w:val="bottom"/>
            <w:hideMark/>
          </w:tcPr>
          <w:p w14:paraId="54D53D95" w14:textId="77777777" w:rsidR="00D13CA7" w:rsidRPr="00D13CA7" w:rsidRDefault="00D13CA7" w:rsidP="00D13CA7">
            <w:pPr>
              <w:spacing w:after="0" w:line="240" w:lineRule="auto"/>
              <w:rPr>
                <w:rFonts w:ascii="Times New Roman" w:eastAsia="Times New Roman" w:hAnsi="Times New Roman" w:cs="Times New Roman"/>
                <w:kern w:val="0"/>
                <w:sz w:val="18"/>
                <w:szCs w:val="18"/>
                <w:lang w:eastAsia="en-GB"/>
                <w14:ligatures w14:val="none"/>
              </w:rPr>
            </w:pPr>
          </w:p>
        </w:tc>
        <w:tc>
          <w:tcPr>
            <w:tcW w:w="415" w:type="pct"/>
            <w:noWrap/>
            <w:vAlign w:val="bottom"/>
            <w:hideMark/>
          </w:tcPr>
          <w:p w14:paraId="13A87325" w14:textId="77777777" w:rsidR="00D13CA7" w:rsidRPr="00D13CA7" w:rsidRDefault="00D13CA7" w:rsidP="00D13CA7">
            <w:pPr>
              <w:spacing w:after="0" w:line="240" w:lineRule="auto"/>
              <w:rPr>
                <w:rFonts w:ascii="Times New Roman" w:eastAsia="Times New Roman" w:hAnsi="Times New Roman" w:cs="Times New Roman"/>
                <w:kern w:val="0"/>
                <w:sz w:val="18"/>
                <w:szCs w:val="18"/>
                <w:lang w:eastAsia="en-GB"/>
                <w14:ligatures w14:val="none"/>
              </w:rPr>
            </w:pPr>
          </w:p>
        </w:tc>
        <w:tc>
          <w:tcPr>
            <w:tcW w:w="194" w:type="pct"/>
            <w:noWrap/>
            <w:vAlign w:val="bottom"/>
            <w:hideMark/>
          </w:tcPr>
          <w:p w14:paraId="40560924" w14:textId="77777777" w:rsidR="00D13CA7" w:rsidRPr="00D13CA7" w:rsidRDefault="00D13CA7" w:rsidP="00D13CA7">
            <w:pPr>
              <w:spacing w:after="0" w:line="240" w:lineRule="auto"/>
              <w:rPr>
                <w:rFonts w:ascii="Times New Roman" w:eastAsia="Times New Roman" w:hAnsi="Times New Roman" w:cs="Times New Roman"/>
                <w:kern w:val="0"/>
                <w:sz w:val="18"/>
                <w:szCs w:val="18"/>
                <w:lang w:eastAsia="en-GB"/>
                <w14:ligatures w14:val="none"/>
              </w:rPr>
            </w:pPr>
          </w:p>
        </w:tc>
        <w:tc>
          <w:tcPr>
            <w:tcW w:w="617" w:type="pct"/>
            <w:noWrap/>
            <w:vAlign w:val="bottom"/>
            <w:hideMark/>
          </w:tcPr>
          <w:p w14:paraId="3FA9747B" w14:textId="77777777" w:rsidR="00D13CA7" w:rsidRPr="00D13CA7" w:rsidRDefault="00D13CA7" w:rsidP="00D13CA7">
            <w:pPr>
              <w:spacing w:after="0" w:line="240" w:lineRule="auto"/>
              <w:rPr>
                <w:rFonts w:ascii="Times New Roman" w:eastAsia="Times New Roman" w:hAnsi="Times New Roman" w:cs="Times New Roman"/>
                <w:kern w:val="0"/>
                <w:sz w:val="18"/>
                <w:szCs w:val="18"/>
                <w:lang w:eastAsia="en-GB"/>
                <w14:ligatures w14:val="none"/>
              </w:rPr>
            </w:pPr>
          </w:p>
        </w:tc>
        <w:tc>
          <w:tcPr>
            <w:tcW w:w="650" w:type="pct"/>
            <w:noWrap/>
            <w:vAlign w:val="bottom"/>
            <w:hideMark/>
          </w:tcPr>
          <w:p w14:paraId="62E67AAF" w14:textId="77777777" w:rsidR="00D13CA7" w:rsidRPr="00D13CA7" w:rsidRDefault="00D13CA7" w:rsidP="00D13CA7">
            <w:pPr>
              <w:spacing w:after="0" w:line="240" w:lineRule="auto"/>
              <w:rPr>
                <w:rFonts w:ascii="Times New Roman" w:eastAsia="Times New Roman" w:hAnsi="Times New Roman" w:cs="Times New Roman"/>
                <w:kern w:val="0"/>
                <w:sz w:val="18"/>
                <w:szCs w:val="18"/>
                <w:lang w:eastAsia="en-GB"/>
                <w14:ligatures w14:val="none"/>
              </w:rPr>
            </w:pPr>
          </w:p>
        </w:tc>
        <w:tc>
          <w:tcPr>
            <w:tcW w:w="447" w:type="pct"/>
            <w:noWrap/>
            <w:vAlign w:val="bottom"/>
            <w:hideMark/>
          </w:tcPr>
          <w:p w14:paraId="3EFD69E9" w14:textId="77777777" w:rsidR="00D13CA7" w:rsidRPr="00D13CA7" w:rsidRDefault="00D13CA7" w:rsidP="00D13CA7">
            <w:pPr>
              <w:spacing w:after="0" w:line="240" w:lineRule="auto"/>
              <w:rPr>
                <w:rFonts w:ascii="Times New Roman" w:eastAsia="Times New Roman" w:hAnsi="Times New Roman" w:cs="Times New Roman"/>
                <w:kern w:val="0"/>
                <w:sz w:val="18"/>
                <w:szCs w:val="18"/>
                <w:lang w:eastAsia="en-GB"/>
                <w14:ligatures w14:val="none"/>
              </w:rPr>
            </w:pPr>
          </w:p>
        </w:tc>
        <w:tc>
          <w:tcPr>
            <w:tcW w:w="519" w:type="pct"/>
            <w:noWrap/>
            <w:vAlign w:val="bottom"/>
            <w:hideMark/>
          </w:tcPr>
          <w:p w14:paraId="1AD4DD6C" w14:textId="77777777" w:rsidR="00D13CA7" w:rsidRPr="00D13CA7" w:rsidRDefault="00D13CA7" w:rsidP="00D13CA7">
            <w:pPr>
              <w:spacing w:after="0" w:line="240" w:lineRule="auto"/>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 </w:t>
            </w:r>
          </w:p>
        </w:tc>
      </w:tr>
      <w:tr w:rsidR="00D13CA7" w:rsidRPr="00D13CA7" w14:paraId="585E3740" w14:textId="77777777" w:rsidTr="00D13CA7">
        <w:trPr>
          <w:trHeight w:val="300"/>
          <w:jc w:val="center"/>
        </w:trPr>
        <w:tc>
          <w:tcPr>
            <w:tcW w:w="389" w:type="pct"/>
            <w:noWrap/>
            <w:vAlign w:val="bottom"/>
            <w:hideMark/>
          </w:tcPr>
          <w:p w14:paraId="5C9BD2D6" w14:textId="77777777" w:rsidR="00D13CA7" w:rsidRPr="00D13CA7" w:rsidRDefault="00D13CA7" w:rsidP="00D13CA7">
            <w:pPr>
              <w:spacing w:after="0" w:line="240" w:lineRule="auto"/>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 </w:t>
            </w:r>
          </w:p>
        </w:tc>
        <w:tc>
          <w:tcPr>
            <w:tcW w:w="450" w:type="pct"/>
            <w:noWrap/>
            <w:vAlign w:val="bottom"/>
            <w:hideMark/>
          </w:tcPr>
          <w:p w14:paraId="60F43A60"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176.7</w:t>
            </w:r>
          </w:p>
        </w:tc>
        <w:tc>
          <w:tcPr>
            <w:tcW w:w="549" w:type="pct"/>
            <w:noWrap/>
            <w:vAlign w:val="bottom"/>
            <w:hideMark/>
          </w:tcPr>
          <w:p w14:paraId="14705E87"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0</w:t>
            </w:r>
          </w:p>
        </w:tc>
        <w:tc>
          <w:tcPr>
            <w:tcW w:w="371" w:type="pct"/>
            <w:noWrap/>
            <w:vAlign w:val="bottom"/>
            <w:hideMark/>
          </w:tcPr>
          <w:p w14:paraId="35E718DE"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15</w:t>
            </w:r>
          </w:p>
        </w:tc>
        <w:tc>
          <w:tcPr>
            <w:tcW w:w="399" w:type="pct"/>
            <w:noWrap/>
            <w:vAlign w:val="bottom"/>
            <w:hideMark/>
          </w:tcPr>
          <w:p w14:paraId="7DB1BC7C"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5</w:t>
            </w:r>
          </w:p>
        </w:tc>
        <w:tc>
          <w:tcPr>
            <w:tcW w:w="415" w:type="pct"/>
            <w:noWrap/>
            <w:vAlign w:val="bottom"/>
            <w:hideMark/>
          </w:tcPr>
          <w:p w14:paraId="2698D7F6"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0.51</w:t>
            </w:r>
          </w:p>
        </w:tc>
        <w:tc>
          <w:tcPr>
            <w:tcW w:w="194" w:type="pct"/>
            <w:noWrap/>
            <w:vAlign w:val="bottom"/>
            <w:hideMark/>
          </w:tcPr>
          <w:p w14:paraId="50A1B608"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2</w:t>
            </w:r>
          </w:p>
        </w:tc>
        <w:tc>
          <w:tcPr>
            <w:tcW w:w="617" w:type="pct"/>
            <w:noWrap/>
            <w:vAlign w:val="bottom"/>
            <w:hideMark/>
          </w:tcPr>
          <w:p w14:paraId="66D13D8D"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1</w:t>
            </w:r>
          </w:p>
        </w:tc>
        <w:tc>
          <w:tcPr>
            <w:tcW w:w="650" w:type="pct"/>
            <w:noWrap/>
            <w:vAlign w:val="bottom"/>
            <w:hideMark/>
          </w:tcPr>
          <w:p w14:paraId="0433329A"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113</w:t>
            </w:r>
          </w:p>
        </w:tc>
        <w:tc>
          <w:tcPr>
            <w:tcW w:w="447" w:type="pct"/>
            <w:noWrap/>
            <w:vAlign w:val="bottom"/>
            <w:hideMark/>
          </w:tcPr>
          <w:p w14:paraId="3B28F265"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226.00</w:t>
            </w:r>
          </w:p>
        </w:tc>
        <w:tc>
          <w:tcPr>
            <w:tcW w:w="519" w:type="pct"/>
            <w:noWrap/>
            <w:vAlign w:val="bottom"/>
            <w:hideMark/>
          </w:tcPr>
          <w:p w14:paraId="2CE7EC3A"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115.26</w:t>
            </w:r>
          </w:p>
        </w:tc>
      </w:tr>
      <w:tr w:rsidR="00D13CA7" w:rsidRPr="00D13CA7" w14:paraId="192B350F" w14:textId="77777777" w:rsidTr="00D13CA7">
        <w:trPr>
          <w:trHeight w:val="300"/>
          <w:jc w:val="center"/>
        </w:trPr>
        <w:tc>
          <w:tcPr>
            <w:tcW w:w="389" w:type="pct"/>
            <w:noWrap/>
            <w:vAlign w:val="bottom"/>
            <w:hideMark/>
          </w:tcPr>
          <w:p w14:paraId="317A6559" w14:textId="77777777" w:rsidR="00D13CA7" w:rsidRPr="00D13CA7" w:rsidRDefault="00D13CA7" w:rsidP="00D13CA7">
            <w:pPr>
              <w:spacing w:after="0" w:line="240" w:lineRule="auto"/>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 </w:t>
            </w:r>
          </w:p>
        </w:tc>
        <w:tc>
          <w:tcPr>
            <w:tcW w:w="450" w:type="pct"/>
            <w:noWrap/>
            <w:vAlign w:val="bottom"/>
            <w:hideMark/>
          </w:tcPr>
          <w:p w14:paraId="3F8ECBAB"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78.5</w:t>
            </w:r>
          </w:p>
        </w:tc>
        <w:tc>
          <w:tcPr>
            <w:tcW w:w="549" w:type="pct"/>
            <w:noWrap/>
            <w:vAlign w:val="bottom"/>
            <w:hideMark/>
          </w:tcPr>
          <w:p w14:paraId="64282BC5"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0</w:t>
            </w:r>
          </w:p>
        </w:tc>
        <w:tc>
          <w:tcPr>
            <w:tcW w:w="371" w:type="pct"/>
            <w:noWrap/>
            <w:vAlign w:val="bottom"/>
            <w:hideMark/>
          </w:tcPr>
          <w:p w14:paraId="74241DCC"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10</w:t>
            </w:r>
          </w:p>
        </w:tc>
        <w:tc>
          <w:tcPr>
            <w:tcW w:w="399" w:type="pct"/>
            <w:noWrap/>
            <w:vAlign w:val="bottom"/>
            <w:hideMark/>
          </w:tcPr>
          <w:p w14:paraId="28981744"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20</w:t>
            </w:r>
          </w:p>
        </w:tc>
        <w:tc>
          <w:tcPr>
            <w:tcW w:w="415" w:type="pct"/>
            <w:noWrap/>
            <w:vAlign w:val="bottom"/>
            <w:hideMark/>
          </w:tcPr>
          <w:p w14:paraId="6DC164CA"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2.14</w:t>
            </w:r>
          </w:p>
        </w:tc>
        <w:tc>
          <w:tcPr>
            <w:tcW w:w="194" w:type="pct"/>
            <w:noWrap/>
            <w:vAlign w:val="bottom"/>
            <w:hideMark/>
          </w:tcPr>
          <w:p w14:paraId="2F449876"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2</w:t>
            </w:r>
          </w:p>
        </w:tc>
        <w:tc>
          <w:tcPr>
            <w:tcW w:w="617" w:type="pct"/>
            <w:noWrap/>
            <w:vAlign w:val="bottom"/>
            <w:hideMark/>
          </w:tcPr>
          <w:p w14:paraId="7599C31A"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1</w:t>
            </w:r>
          </w:p>
        </w:tc>
        <w:tc>
          <w:tcPr>
            <w:tcW w:w="650" w:type="pct"/>
            <w:noWrap/>
            <w:vAlign w:val="bottom"/>
            <w:hideMark/>
          </w:tcPr>
          <w:p w14:paraId="26DEAD4A"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111</w:t>
            </w:r>
          </w:p>
        </w:tc>
        <w:tc>
          <w:tcPr>
            <w:tcW w:w="447" w:type="pct"/>
            <w:noWrap/>
            <w:vAlign w:val="bottom"/>
            <w:hideMark/>
          </w:tcPr>
          <w:p w14:paraId="47AAB8A3"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222.00</w:t>
            </w:r>
          </w:p>
        </w:tc>
        <w:tc>
          <w:tcPr>
            <w:tcW w:w="519" w:type="pct"/>
            <w:noWrap/>
            <w:vAlign w:val="bottom"/>
            <w:hideMark/>
          </w:tcPr>
          <w:p w14:paraId="7B7A2D5D" w14:textId="77777777" w:rsidR="00D13CA7" w:rsidRPr="00D13CA7" w:rsidRDefault="00D13CA7" w:rsidP="00D13CA7">
            <w:pPr>
              <w:spacing w:after="0" w:line="240" w:lineRule="auto"/>
              <w:jc w:val="right"/>
              <w:rPr>
                <w:rFonts w:ascii="Calibri" w:eastAsia="Times New Roman" w:hAnsi="Calibri" w:cs="Calibri"/>
                <w:color w:val="000000"/>
                <w:kern w:val="0"/>
                <w:sz w:val="18"/>
                <w:szCs w:val="18"/>
                <w:lang w:eastAsia="en-GB"/>
                <w14:ligatures w14:val="none"/>
              </w:rPr>
            </w:pPr>
            <w:r w:rsidRPr="00D13CA7">
              <w:rPr>
                <w:rFonts w:ascii="Calibri" w:eastAsia="Times New Roman" w:hAnsi="Calibri" w:cs="Calibri"/>
                <w:color w:val="000000"/>
                <w:kern w:val="0"/>
                <w:sz w:val="18"/>
                <w:szCs w:val="18"/>
                <w:lang w:eastAsia="en-GB"/>
                <w14:ligatures w14:val="none"/>
              </w:rPr>
              <w:t>475.08</w:t>
            </w:r>
          </w:p>
        </w:tc>
      </w:tr>
    </w:tbl>
    <w:p w14:paraId="735C0C4C" w14:textId="5E92C5B7" w:rsidR="00AC15EC" w:rsidRDefault="00AC15EC"/>
    <w:p w14:paraId="55D892BD" w14:textId="48ECC068" w:rsidR="009679EA" w:rsidRDefault="00312AF8">
      <w:r>
        <w:t>Table S2</w:t>
      </w:r>
      <w:r w:rsidR="004210FD">
        <w:t>: Setting used to ablate lead white pigments PDLW1 and PDLW2</w:t>
      </w:r>
      <w:r w:rsidR="007400E9">
        <w:t xml:space="preserve"> (Supplementary material S5)</w:t>
      </w:r>
      <w:r w:rsidR="004210FD">
        <w:t xml:space="preserve">. </w:t>
      </w:r>
    </w:p>
    <w:p w14:paraId="7BA296E2" w14:textId="63FAE8B0" w:rsidR="009679EA" w:rsidRDefault="009679EA">
      <w:r>
        <w:t xml:space="preserve">Each type of </w:t>
      </w:r>
      <w:r w:rsidR="004210FD">
        <w:t>setting</w:t>
      </w:r>
      <w:r>
        <w:t xml:space="preserve"> </w:t>
      </w:r>
      <w:r w:rsidR="00872603">
        <w:t>was</w:t>
      </w:r>
      <w:r>
        <w:t xml:space="preserve"> tested several times in the course of different </w:t>
      </w:r>
      <w:r w:rsidR="004210FD">
        <w:t>sessions</w:t>
      </w:r>
      <w:r>
        <w:t xml:space="preserve"> over different weeks. For the grid/line parameters</w:t>
      </w:r>
      <w:r w:rsidR="004210FD">
        <w:t>,</w:t>
      </w:r>
      <w:r>
        <w:t xml:space="preserve"> the area is calculated taking </w:t>
      </w:r>
      <w:r w:rsidR="004210FD">
        <w:t>into</w:t>
      </w:r>
      <w:r>
        <w:t xml:space="preserve"> account a square </w:t>
      </w:r>
      <w:r w:rsidRPr="00814131">
        <w:t>(15</w:t>
      </w:r>
      <w:r w:rsidR="00872603" w:rsidRPr="00814131">
        <w:t>x</w:t>
      </w:r>
      <w:r w:rsidRPr="00814131">
        <w:t xml:space="preserve">15 micrometres for </w:t>
      </w:r>
      <w:r w:rsidR="00872603" w:rsidRPr="00814131">
        <w:t>225 and 20x20 micrometres for 400</w:t>
      </w:r>
      <w:r w:rsidR="00814131" w:rsidRPr="00814131">
        <w:t>). Later in the study</w:t>
      </w:r>
      <w:r w:rsidR="004210FD">
        <w:t>,</w:t>
      </w:r>
      <w:r w:rsidR="00814131" w:rsidRPr="00814131">
        <w:t xml:space="preserve"> the 20x20 approach was abandoned as it was believed to be too invasive</w:t>
      </w:r>
      <w:r w:rsidR="004210FD">
        <w:t xml:space="preserve"> and covering an unrealistic too large area, as pure particles of LW of that dimension do not occur commonly in paintings</w:t>
      </w:r>
      <w:r w:rsidR="00872603" w:rsidRPr="00814131">
        <w:t>.</w:t>
      </w:r>
    </w:p>
    <w:p w14:paraId="5B692B2C" w14:textId="7C09302F" w:rsidR="00872603" w:rsidRDefault="00872603">
      <w:r>
        <w:t xml:space="preserve">For each set of parameters, the Dosage and the product of the dosage for the energy output of the laser </w:t>
      </w:r>
      <w:r w:rsidR="004210FD">
        <w:t>were calculated, and used to estimate the best settings</w:t>
      </w:r>
      <w:r>
        <w:t xml:space="preserve">. </w:t>
      </w:r>
    </w:p>
    <w:p w14:paraId="179B7701" w14:textId="58C3E86E" w:rsidR="00066FFB" w:rsidRDefault="00872603">
      <w:r>
        <w:t>To identify the best settings</w:t>
      </w:r>
      <w:r w:rsidR="00414B07">
        <w:t>,</w:t>
      </w:r>
      <w:r>
        <w:t xml:space="preserve"> the accuracy</w:t>
      </w:r>
      <w:r w:rsidR="00B57639">
        <w:t xml:space="preserve"> (compared to the solution analysis of the pigment reported in this study)</w:t>
      </w:r>
      <w:r>
        <w:t xml:space="preserve"> and precision (in ppm) for the three lead isotope ratios </w:t>
      </w:r>
      <w:r w:rsidRPr="00872603">
        <w:t>²⁰⁶Pb/²⁰⁴Pb</w:t>
      </w:r>
      <w:r>
        <w:t xml:space="preserve">, </w:t>
      </w:r>
      <w:r w:rsidRPr="00872603">
        <w:t>²⁰⁷Pb/²⁰⁴Pb</w:t>
      </w:r>
      <w:r>
        <w:t xml:space="preserve"> and </w:t>
      </w:r>
      <w:r w:rsidRPr="00872603">
        <w:t>²⁰⁸Pb/²⁰⁴Pb</w:t>
      </w:r>
      <w:r>
        <w:t xml:space="preserve"> were plotted against the N*Energy (total energy delivered per area)</w:t>
      </w:r>
      <w:r w:rsidR="00814131">
        <w:t>,</w:t>
      </w:r>
      <w:r w:rsidR="00FF5AC6">
        <w:t xml:space="preserve"> Figure S</w:t>
      </w:r>
      <w:r w:rsidR="00312AF8">
        <w:t>2</w:t>
      </w:r>
      <w:r w:rsidR="00FF5AC6">
        <w:t>.</w:t>
      </w:r>
      <w:r w:rsidR="00B57639">
        <w:t xml:space="preserve"> The results were also reported in </w:t>
      </w:r>
      <w:r w:rsidR="00414B07">
        <w:t xml:space="preserve">a </w:t>
      </w:r>
      <w:r w:rsidR="00B57639">
        <w:t xml:space="preserve">biplot graph for the isotope ratios </w:t>
      </w:r>
      <w:r w:rsidR="00B57639" w:rsidRPr="00872603">
        <w:t>²⁰⁶Pb/²⁰⁴Pb</w:t>
      </w:r>
      <w:r w:rsidR="00B57639">
        <w:t xml:space="preserve"> vs </w:t>
      </w:r>
      <w:r w:rsidR="00B57639" w:rsidRPr="00872603">
        <w:t>²⁰⁷Pb/²⁰⁴Pb</w:t>
      </w:r>
      <w:r w:rsidR="00B57639">
        <w:t xml:space="preserve"> and </w:t>
      </w:r>
      <w:r w:rsidR="00B57639" w:rsidRPr="00872603">
        <w:t>²⁰⁶Pb/²⁰⁴Pb</w:t>
      </w:r>
      <w:r w:rsidR="00B57639">
        <w:t xml:space="preserve"> vs </w:t>
      </w:r>
      <w:r w:rsidR="00B57639" w:rsidRPr="00872603">
        <w:t>²⁰⁸Pb/²⁰⁴Pb</w:t>
      </w:r>
      <w:r w:rsidR="00FF5AC6">
        <w:t xml:space="preserve"> </w:t>
      </w:r>
      <w:r w:rsidR="00B57639">
        <w:t xml:space="preserve">in </w:t>
      </w:r>
      <w:r w:rsidR="00414B07">
        <w:t>Figure</w:t>
      </w:r>
      <w:r w:rsidR="00B57639">
        <w:t xml:space="preserve"> S</w:t>
      </w:r>
      <w:r w:rsidR="00312AF8">
        <w:t>3</w:t>
      </w:r>
      <w:r w:rsidR="00B57639">
        <w:t>, with 2S</w:t>
      </w:r>
      <w:r w:rsidR="00312AF8">
        <w:t>D</w:t>
      </w:r>
      <w:r w:rsidR="00B57639">
        <w:t>, average and MSDW for each group of settings.</w:t>
      </w:r>
    </w:p>
    <w:p w14:paraId="1B4A7B33" w14:textId="7FC959AD" w:rsidR="007F396D" w:rsidRDefault="00FF5AC6" w:rsidP="007F396D">
      <w:r>
        <w:t>The best results for accuracy and precision were found for Values of N*Energy between 10-20, corresponding to dosages between 20 and 35</w:t>
      </w:r>
      <w:r w:rsidR="00814131">
        <w:t>.</w:t>
      </w:r>
      <w:r>
        <w:t xml:space="preserve"> </w:t>
      </w:r>
      <w:r w:rsidR="00B57639">
        <w:t xml:space="preserve">The groups at 10.2, 14.7 are the </w:t>
      </w:r>
      <w:r w:rsidR="00414B07">
        <w:t>ones</w:t>
      </w:r>
      <w:r w:rsidR="00B57639">
        <w:t xml:space="preserve"> giving more consistent and accurate data</w:t>
      </w:r>
      <w:r w:rsidR="003E7BEA">
        <w:t xml:space="preserve"> compared to the solution work of the same pigment PDLW2</w:t>
      </w:r>
      <w:r w:rsidR="007E650C">
        <w:t xml:space="preserve"> (</w:t>
      </w:r>
      <w:r w:rsidR="00814131">
        <w:t xml:space="preserve">2SD </w:t>
      </w:r>
      <w:r w:rsidR="007E650C">
        <w:t>comparable to the solution work presented in D’Imporzano et al 2021</w:t>
      </w:r>
      <w:r w:rsidR="00814131">
        <w:t>)</w:t>
      </w:r>
      <w:r w:rsidR="003E7BEA">
        <w:t xml:space="preserve">. </w:t>
      </w:r>
      <w:r w:rsidR="003E7BEA" w:rsidRPr="003E7BEA">
        <w:t xml:space="preserve">For the laser ablation analyses (n ≈ 20) of the three Pb isotope ratios </w:t>
      </w:r>
      <w:r w:rsidR="00414B07">
        <w:t>normalised</w:t>
      </w:r>
      <w:r w:rsidR="003E7BEA" w:rsidRPr="003E7BEA">
        <w:t xml:space="preserve"> to </w:t>
      </w:r>
      <w:r w:rsidR="003E7BEA" w:rsidRPr="00312AF8">
        <w:rPr>
          <w:vertAlign w:val="superscript"/>
        </w:rPr>
        <w:t>204</w:t>
      </w:r>
      <w:r w:rsidR="003E7BEA" w:rsidRPr="003E7BEA">
        <w:t xml:space="preserve">Pb yielded 2SD values of 150–300 ppm with MSWD between 0.5 and 1.1, while solution analyses (n ≈ 40) produced tighter 2SD of 80–150 ppm and slightly higher MSWD of 0.8–1.8. This indicates that the laser ablation measurements are statistically consistent with their stated uncertainties, with no evidence of significant micro-scale heterogeneity or laser-induced fractionation. Overall, the laser data provide reproducible Pb isotope fingerprints suitable for provenance work, albeit with roughly twofold lower precision than solution measurements, while both methods yield internally coherent results across all three </w:t>
      </w:r>
      <w:r w:rsidR="003E7BEA" w:rsidRPr="00312AF8">
        <w:rPr>
          <w:vertAlign w:val="superscript"/>
        </w:rPr>
        <w:t>204</w:t>
      </w:r>
      <w:r w:rsidR="003E7BEA" w:rsidRPr="003E7BEA">
        <w:t>Pb</w:t>
      </w:r>
      <w:r w:rsidR="003E7BEA" w:rsidRPr="003E7BEA">
        <w:noBreakHyphen/>
        <w:t>normalized ratios.</w:t>
      </w:r>
      <w:r w:rsidR="00FB3CF1">
        <w:t xml:space="preserve"> </w:t>
      </w:r>
    </w:p>
    <w:p w14:paraId="6E16DCD3" w14:textId="5A96E69C" w:rsidR="007F396D" w:rsidRPr="007F396D" w:rsidRDefault="00066FFB" w:rsidP="007F396D">
      <w:r>
        <w:t xml:space="preserve">Spot analysis on ablation </w:t>
      </w:r>
      <w:r w:rsidR="00414B07">
        <w:t>spots</w:t>
      </w:r>
      <w:r>
        <w:t xml:space="preserve"> of 10 and 15 </w:t>
      </w:r>
      <w:r>
        <w:rPr>
          <w:rFonts w:cstheme="minorHAnsi"/>
        </w:rPr>
        <w:t>µ</w:t>
      </w:r>
      <w:r>
        <w:t xml:space="preserve">m were also tested, </w:t>
      </w:r>
      <w:r w:rsidR="007F396D">
        <w:t>u</w:t>
      </w:r>
      <w:r w:rsidR="007F396D" w:rsidRPr="007F396D">
        <w:t>sing total acquisition times of</w:t>
      </w:r>
      <w:r w:rsidR="007F396D">
        <w:t xml:space="preserve"> 60-120 </w:t>
      </w:r>
      <w:r w:rsidR="00414B07">
        <w:t>seconds</w:t>
      </w:r>
      <w:r w:rsidR="007F396D" w:rsidRPr="007F396D">
        <w:t> </w:t>
      </w:r>
      <w:r w:rsidR="007F396D">
        <w:t xml:space="preserve">and 1 second </w:t>
      </w:r>
      <w:r w:rsidR="007F396D" w:rsidRPr="007F396D">
        <w:t xml:space="preserve">integration </w:t>
      </w:r>
      <w:r w:rsidR="007F396D">
        <w:t>time</w:t>
      </w:r>
      <w:r w:rsidR="007F396D" w:rsidRPr="007F396D">
        <w:t xml:space="preserve"> on the MC-ICPMS. These spot analyses yielded significantly poorer precision and/or reproducibility than raster or line scans. This degradation is most likely related to </w:t>
      </w:r>
      <w:r w:rsidR="00414B07">
        <w:t>localised</w:t>
      </w:r>
      <w:r w:rsidR="007F396D" w:rsidRPr="007F396D">
        <w:t xml:space="preserve"> heating and crater evolution during static ablation, including re-sampling of partially ablated material, changes in focus, and particle melting and recondensation, all of which can </w:t>
      </w:r>
      <w:r w:rsidR="00414B07">
        <w:t>destabilise</w:t>
      </w:r>
      <w:r w:rsidR="007F396D" w:rsidRPr="007F396D">
        <w:t xml:space="preserve"> the signal and enhance fractionation.</w:t>
      </w:r>
      <w:r w:rsidR="007F396D">
        <w:t xml:space="preserve"> </w:t>
      </w:r>
      <w:r w:rsidR="007F396D" w:rsidRPr="007F396D">
        <w:t xml:space="preserve">In addition, spot ablation produces deeper craters than line or raster modes, increasing the risk of intersecting adjacent phases if lead white particles are confined to shallow domains, and resulting in greater visible damage to the cross-section—an outcome generally considered undesirable in conservation practice. For these reasons, the method was </w:t>
      </w:r>
      <w:r w:rsidR="00414B07">
        <w:t>optimised</w:t>
      </w:r>
      <w:r w:rsidR="007F396D" w:rsidRPr="007F396D">
        <w:t xml:space="preserve"> around line and raster ablation geometries (Figure S</w:t>
      </w:r>
      <w:r w:rsidR="00753784">
        <w:t>4</w:t>
      </w:r>
      <w:r w:rsidR="007F396D" w:rsidRPr="007F396D">
        <w:t>; comparison of spot analyses with the 14.7 protocol).</w:t>
      </w:r>
    </w:p>
    <w:p w14:paraId="3EACFBEF" w14:textId="6F99401F" w:rsidR="00B87CE3" w:rsidRDefault="00753784">
      <w:r>
        <w:rPr>
          <w:noProof/>
        </w:rPr>
        <w:lastRenderedPageBreak/>
        <w:drawing>
          <wp:inline distT="0" distB="0" distL="0" distR="0" wp14:anchorId="61623E66" wp14:editId="3CA32046">
            <wp:extent cx="5382393" cy="8191500"/>
            <wp:effectExtent l="0" t="0" r="8890" b="0"/>
            <wp:docPr id="102418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88679" cy="8201067"/>
                    </a:xfrm>
                    <a:prstGeom prst="rect">
                      <a:avLst/>
                    </a:prstGeom>
                    <a:noFill/>
                  </pic:spPr>
                </pic:pic>
              </a:graphicData>
            </a:graphic>
          </wp:inline>
        </w:drawing>
      </w:r>
    </w:p>
    <w:p w14:paraId="3861EEAA" w14:textId="36810ACA" w:rsidR="00753784" w:rsidRDefault="00753784" w:rsidP="00753784">
      <w:r>
        <w:t xml:space="preserve">Figure S2: Accuracy and 2SE for each setting tested with the LA method on PDLW2 embedded in epoxy. The 0 on the </w:t>
      </w:r>
      <w:r w:rsidR="00414B07">
        <w:t>x-axis</w:t>
      </w:r>
      <w:r>
        <w:t xml:space="preserve"> is the value obtained </w:t>
      </w:r>
      <w:r w:rsidR="00414B07">
        <w:t xml:space="preserve">by </w:t>
      </w:r>
      <w:r>
        <w:t>analysing PDLW2 via solution</w:t>
      </w:r>
      <w:r w:rsidR="00414B07">
        <w:t>,</w:t>
      </w:r>
      <w:r>
        <w:t xml:space="preserve"> and the blue rectangle </w:t>
      </w:r>
      <w:r w:rsidR="00414B07">
        <w:t>represents</w:t>
      </w:r>
      <w:r>
        <w:t xml:space="preserve"> the 2SD of the solution analysis on the PDLW2.</w:t>
      </w:r>
    </w:p>
    <w:p w14:paraId="5540F774" w14:textId="77777777" w:rsidR="00753784" w:rsidRDefault="00753784"/>
    <w:p w14:paraId="08E489FB" w14:textId="77777777" w:rsidR="00753784" w:rsidRDefault="00753784"/>
    <w:p w14:paraId="4D10FD2E" w14:textId="5B666F6B" w:rsidR="00B57639" w:rsidRDefault="00B57639" w:rsidP="00523DC5">
      <w:pPr>
        <w:jc w:val="center"/>
      </w:pPr>
      <w:r>
        <w:rPr>
          <w:noProof/>
        </w:rPr>
        <w:drawing>
          <wp:anchor distT="0" distB="0" distL="114300" distR="114300" simplePos="0" relativeHeight="251658240" behindDoc="0" locked="0" layoutInCell="1" allowOverlap="1" wp14:anchorId="4BAF3426" wp14:editId="7DA91304">
            <wp:simplePos x="0" y="0"/>
            <wp:positionH relativeFrom="margin">
              <wp:posOffset>-342900</wp:posOffset>
            </wp:positionH>
            <wp:positionV relativeFrom="margin">
              <wp:align>top</wp:align>
            </wp:positionV>
            <wp:extent cx="6717665" cy="8077200"/>
            <wp:effectExtent l="0" t="0" r="6985" b="0"/>
            <wp:wrapSquare wrapText="bothSides"/>
            <wp:docPr id="21202194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17665" cy="8077200"/>
                    </a:xfrm>
                    <a:prstGeom prst="rect">
                      <a:avLst/>
                    </a:prstGeom>
                    <a:noFill/>
                  </pic:spPr>
                </pic:pic>
              </a:graphicData>
            </a:graphic>
            <wp14:sizeRelH relativeFrom="margin">
              <wp14:pctWidth>0</wp14:pctWidth>
            </wp14:sizeRelH>
            <wp14:sizeRelV relativeFrom="margin">
              <wp14:pctHeight>0</wp14:pctHeight>
            </wp14:sizeRelV>
          </wp:anchor>
        </w:drawing>
      </w:r>
    </w:p>
    <w:p w14:paraId="2E38B7A3" w14:textId="63A61C7D" w:rsidR="00B57639" w:rsidRDefault="00B57639">
      <w:r>
        <w:rPr>
          <w:noProof/>
        </w:rPr>
        <w:lastRenderedPageBreak/>
        <w:drawing>
          <wp:inline distT="0" distB="0" distL="0" distR="0" wp14:anchorId="3609CB75" wp14:editId="111B308E">
            <wp:extent cx="5763895" cy="2352323"/>
            <wp:effectExtent l="0" t="0" r="8255" b="0"/>
            <wp:docPr id="11369712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8042" cy="2358097"/>
                    </a:xfrm>
                    <a:prstGeom prst="rect">
                      <a:avLst/>
                    </a:prstGeom>
                    <a:noFill/>
                  </pic:spPr>
                </pic:pic>
              </a:graphicData>
            </a:graphic>
          </wp:inline>
        </w:drawing>
      </w:r>
    </w:p>
    <w:p w14:paraId="514FC38C" w14:textId="087250A6" w:rsidR="00B57639" w:rsidRDefault="00B57639">
      <w:r>
        <w:t>Fig</w:t>
      </w:r>
      <w:r w:rsidR="00753784">
        <w:t>ure</w:t>
      </w:r>
      <w:r>
        <w:t xml:space="preserve"> S</w:t>
      </w:r>
      <w:r w:rsidR="00312AF8">
        <w:t>3</w:t>
      </w:r>
      <w:r w:rsidR="00753784">
        <w:t xml:space="preserve">: </w:t>
      </w:r>
      <w:r w:rsidR="00753784" w:rsidRPr="002F27BB">
        <w:t xml:space="preserve">Summary of laser operating conditions and corresponding analytical performance for PDLW2, including mean LIR values, 2SD, and MSWD. </w:t>
      </w:r>
      <w:r w:rsidR="00FD1DE4">
        <w:t xml:space="preserve">PDLW2-pigment </w:t>
      </w:r>
      <w:r w:rsidR="00414B07">
        <w:t>represents</w:t>
      </w:r>
      <w:r w:rsidR="00FD1DE4">
        <w:t xml:space="preserve"> the analysis of the pigment done in solution and taken as true values of the PDLW2. </w:t>
      </w:r>
      <w:r w:rsidR="00753784">
        <w:t>E</w:t>
      </w:r>
      <w:r w:rsidR="00753784" w:rsidRPr="002F27BB">
        <w:t>llipses represent the method-specific covariance</w:t>
      </w:r>
      <w:r w:rsidR="00753784">
        <w:t xml:space="preserve"> (95%)</w:t>
      </w:r>
      <w:r w:rsidR="00753784" w:rsidRPr="002F27BB">
        <w:t>. Solution measurements show lower 2SD, while all three datasets agree within uncertainty.</w:t>
      </w:r>
    </w:p>
    <w:p w14:paraId="110A7AFF" w14:textId="3AA72AFE" w:rsidR="00066FFB" w:rsidRDefault="00FD1DE4" w:rsidP="00FD1DE4">
      <w:pPr>
        <w:jc w:val="center"/>
      </w:pPr>
      <w:r>
        <w:rPr>
          <w:noProof/>
        </w:rPr>
        <w:lastRenderedPageBreak/>
        <w:drawing>
          <wp:inline distT="0" distB="0" distL="0" distR="0" wp14:anchorId="5979E013" wp14:editId="71DCB56E">
            <wp:extent cx="4042430" cy="8258617"/>
            <wp:effectExtent l="0" t="0" r="0" b="9525"/>
            <wp:docPr id="11040639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2614" cy="8279422"/>
                    </a:xfrm>
                    <a:prstGeom prst="rect">
                      <a:avLst/>
                    </a:prstGeom>
                    <a:noFill/>
                  </pic:spPr>
                </pic:pic>
              </a:graphicData>
            </a:graphic>
          </wp:inline>
        </w:drawing>
      </w:r>
    </w:p>
    <w:p w14:paraId="6645862E" w14:textId="3E1FB995" w:rsidR="00870679" w:rsidRDefault="00B57639">
      <w:r>
        <w:lastRenderedPageBreak/>
        <w:t>Fig</w:t>
      </w:r>
      <w:r w:rsidR="00FD1DE4">
        <w:t>ure</w:t>
      </w:r>
      <w:r>
        <w:t xml:space="preserve"> S</w:t>
      </w:r>
      <w:r w:rsidR="00414B07">
        <w:t>4</w:t>
      </w:r>
      <w:r w:rsidR="00FD1DE4">
        <w:t>: Accuracy and 2SE for spot analysis setting tested with the LA method on PDLW2 embedded in epoxy and compared to the 14.7 LA settings. The 0 on the x axis is the value obtained analysing PDLW2 via solution.</w:t>
      </w:r>
    </w:p>
    <w:p w14:paraId="624DA3D0" w14:textId="070E7637" w:rsidR="00B94350" w:rsidRDefault="00B94350" w:rsidP="00FD1DE4">
      <w:pPr>
        <w:pStyle w:val="ListParagraph"/>
        <w:numPr>
          <w:ilvl w:val="0"/>
          <w:numId w:val="2"/>
        </w:numPr>
      </w:pPr>
      <w:r>
        <w:t>Material ablated and efficiency:</w:t>
      </w:r>
    </w:p>
    <w:p w14:paraId="4402FA23" w14:textId="27CFD5A2" w:rsidR="00B94350" w:rsidRDefault="00FB3CF1">
      <w:r w:rsidRPr="00FB3CF1">
        <w:t>The various LA parameters were evaluated using an Alpha</w:t>
      </w:r>
      <w:r w:rsidRPr="00FB3CF1">
        <w:noBreakHyphen/>
        <w:t>Step D</w:t>
      </w:r>
      <w:r w:rsidRPr="00FB3CF1">
        <w:noBreakHyphen/>
        <w:t>500 surface profilometer (KLA</w:t>
      </w:r>
      <w:r w:rsidRPr="00FB3CF1">
        <w:noBreakHyphen/>
        <w:t xml:space="preserve">Tencor stylus profilometer) to estimate the ablation depth produced under different conditions. Initial tests were carried out </w:t>
      </w:r>
      <w:r>
        <w:t xml:space="preserve">on LA spots </w:t>
      </w:r>
      <w:r w:rsidRPr="00FB3CF1">
        <w:t>using a 5 µm spot size, stage speeds of 1 and 2 µm/s, and laser energies of 0.42, 0.51, 0.77, and 2.14 J, each at dosages of 35 and 20. The profilometer is equipped with a 2 µm stylus tip, which proved too large relative to the 5 µm crater diameter to allow reliable depth measurements at that spot size. To overcome this limitation, the ablation tests were repeated using a 15 µm spot with the same combinations of speed, energy, and dosage to approximate the ablation depth under the analytical conditions. Although a 15 µm crater is larger than the stylus tip</w:t>
      </w:r>
      <w:r>
        <w:t xml:space="preserve"> spatial resolution</w:t>
      </w:r>
      <w:r w:rsidRPr="00FB3CF1">
        <w:t xml:space="preserve"> (and experiments were not extended to larger spot sizes to avoid excessive Pb removal and potential </w:t>
      </w:r>
      <w:r w:rsidR="00414B07">
        <w:t>long-lasting</w:t>
      </w:r>
      <w:r w:rsidRPr="00FB3CF1">
        <w:t xml:space="preserve"> matrix effects in the laser system and the Neoma MC</w:t>
      </w:r>
      <w:r w:rsidRPr="00FB3CF1">
        <w:noBreakHyphen/>
        <w:t>ICP</w:t>
      </w:r>
      <w:r w:rsidRPr="00FB3CF1">
        <w:noBreakHyphen/>
        <w:t xml:space="preserve">MS), the resulting profiles provided a reasonable estimate of crater depth. In particular, the 2.14 J setting produced a </w:t>
      </w:r>
      <w:r>
        <w:t xml:space="preserve">partial </w:t>
      </w:r>
      <w:r w:rsidR="00414B07">
        <w:t>flat-bottomed</w:t>
      </w:r>
      <w:r w:rsidRPr="00FB3CF1">
        <w:t xml:space="preserve"> profile at 15 µm spot size, indicating that the stylus tip was able to reach and track the base of the crater. As shown in Figure S</w:t>
      </w:r>
      <w:r>
        <w:t>4</w:t>
      </w:r>
      <w:r w:rsidRPr="00FB3CF1">
        <w:t>, the ablation depth for the tested conditions lies between approximately 4 and 8 µm, and these values are used to calculate the ablated volume for the efficiency assessment.</w:t>
      </w:r>
    </w:p>
    <w:p w14:paraId="3D1F12ED" w14:textId="5740A8BE" w:rsidR="00B94350" w:rsidRDefault="00DB11FA">
      <w:r>
        <w:rPr>
          <w:noProof/>
        </w:rPr>
        <w:drawing>
          <wp:inline distT="0" distB="0" distL="0" distR="0" wp14:anchorId="32A9756C" wp14:editId="402263A4">
            <wp:extent cx="3870052" cy="4457903"/>
            <wp:effectExtent l="0" t="0" r="0" b="0"/>
            <wp:docPr id="16867782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76040" cy="4464800"/>
                    </a:xfrm>
                    <a:prstGeom prst="rect">
                      <a:avLst/>
                    </a:prstGeom>
                    <a:noFill/>
                  </pic:spPr>
                </pic:pic>
              </a:graphicData>
            </a:graphic>
          </wp:inline>
        </w:drawing>
      </w:r>
    </w:p>
    <w:p w14:paraId="25541158" w14:textId="7AAF32EC" w:rsidR="00B94350" w:rsidRDefault="00463D11">
      <w:r>
        <w:t>Figure S4</w:t>
      </w:r>
      <w:r w:rsidR="00FD1DE4">
        <w:t>: Image of the ablation lines and raster at different LA settings and depth profile of the ablation lines.</w:t>
      </w:r>
    </w:p>
    <w:p w14:paraId="5BD69F4A" w14:textId="77777777" w:rsidR="00B94350" w:rsidRDefault="00B94350"/>
    <w:p w14:paraId="337D44BE" w14:textId="4613649B" w:rsidR="00DB11FA" w:rsidRPr="00FD1DE4" w:rsidRDefault="00463D11">
      <w:r w:rsidRPr="00FD1DE4">
        <w:t xml:space="preserve">Using these values, it was possible to </w:t>
      </w:r>
      <w:r w:rsidR="00FB37E1" w:rsidRPr="00FD1DE4">
        <w:t>estimate</w:t>
      </w:r>
      <w:r w:rsidRPr="00FD1DE4">
        <w:t xml:space="preserve"> the efficiency for ablating the lead white with N*Energy of 14.7 and 10.2 was around 0.</w:t>
      </w:r>
      <w:r w:rsidR="0009577B" w:rsidRPr="00FD1DE4">
        <w:t>0</w:t>
      </w:r>
      <w:r w:rsidRPr="00FD1DE4">
        <w:t>5-0.</w:t>
      </w:r>
      <w:r w:rsidR="0009577B" w:rsidRPr="00FD1DE4">
        <w:t>25</w:t>
      </w:r>
      <w:r w:rsidRPr="00FD1DE4">
        <w:t>%</w:t>
      </w:r>
      <w:r w:rsidR="00414B07">
        <w:t>. This range of efficiency is a function of day-to-day tuning conditions and</w:t>
      </w:r>
      <w:r w:rsidR="00DB11FA" w:rsidRPr="00FD1DE4">
        <w:t xml:space="preserve"> rheology of the carbonate during analysis.</w:t>
      </w:r>
    </w:p>
    <w:p w14:paraId="31A84323" w14:textId="77124DB9" w:rsidR="00B94350" w:rsidRPr="00C50076" w:rsidRDefault="00DB11FA">
      <w:r w:rsidRPr="00FD1DE4">
        <w:t>Considering an average ablation depth</w:t>
      </w:r>
      <w:r w:rsidR="00463D11" w:rsidRPr="00FD1DE4">
        <w:t xml:space="preserve"> </w:t>
      </w:r>
      <w:r w:rsidRPr="00FD1DE4">
        <w:t xml:space="preserve">of 5 </w:t>
      </w:r>
      <w:r w:rsidRPr="00FD1DE4">
        <w:rPr>
          <w:rFonts w:cstheme="minorHAnsi"/>
        </w:rPr>
        <w:t>µ</w:t>
      </w:r>
      <w:r w:rsidRPr="00FD1DE4">
        <w:t>m it is possible to calculate the average amount of</w:t>
      </w:r>
      <w:r w:rsidR="00463D11" w:rsidRPr="00FD1DE4">
        <w:t xml:space="preserve"> pigment ablated (considering a density of lead white of 6.7</w:t>
      </w:r>
      <w:r w:rsidR="00C50076" w:rsidRPr="00FD1DE4">
        <w:t xml:space="preserve"> g/cm</w:t>
      </w:r>
      <w:r w:rsidR="00C50076" w:rsidRPr="00FD1DE4">
        <w:rPr>
          <w:vertAlign w:val="superscript"/>
        </w:rPr>
        <w:t xml:space="preserve">-3 </w:t>
      </w:r>
      <w:r w:rsidR="00C50076" w:rsidRPr="00FD1DE4">
        <w:t xml:space="preserve">and an average </w:t>
      </w:r>
      <w:r w:rsidRPr="00FD1DE4">
        <w:t xml:space="preserve">length of ablation of 50 </w:t>
      </w:r>
      <w:r w:rsidRPr="00FD1DE4">
        <w:rPr>
          <w:rFonts w:cstheme="minorHAnsi"/>
        </w:rPr>
        <w:t>µ</w:t>
      </w:r>
      <w:r w:rsidRPr="00FD1DE4">
        <w:t>m</w:t>
      </w:r>
      <w:r w:rsidR="00C50076" w:rsidRPr="00FD1DE4">
        <w:t xml:space="preserve">) around of </w:t>
      </w:r>
      <w:r w:rsidRPr="00FD1DE4">
        <w:t>8.375</w:t>
      </w:r>
      <w:r w:rsidR="00C50076" w:rsidRPr="00FD1DE4">
        <w:t xml:space="preserve"> ng</w:t>
      </w:r>
      <w:r w:rsidRPr="00FD1DE4">
        <w:t xml:space="preserve">, which </w:t>
      </w:r>
      <w:r w:rsidR="00414B07">
        <w:t>decreases</w:t>
      </w:r>
      <w:r w:rsidRPr="00FD1DE4">
        <w:t xml:space="preserve"> to 3.35 ng for smaller </w:t>
      </w:r>
      <w:r w:rsidR="00414B07">
        <w:t>analyses</w:t>
      </w:r>
      <w:r w:rsidRPr="00FD1DE4">
        <w:t xml:space="preserve"> with 20 </w:t>
      </w:r>
      <w:r w:rsidRPr="00FD1DE4">
        <w:rPr>
          <w:rFonts w:cstheme="minorHAnsi"/>
        </w:rPr>
        <w:t>µ</w:t>
      </w:r>
      <w:r w:rsidRPr="00FD1DE4">
        <w:t>m length ablation areas</w:t>
      </w:r>
      <w:r w:rsidR="00C50076" w:rsidRPr="00FD1DE4">
        <w:t>.</w:t>
      </w:r>
    </w:p>
    <w:p w14:paraId="2E75FB8F" w14:textId="2FCFFEF5" w:rsidR="00870679" w:rsidRDefault="00870679" w:rsidP="00FD1DE4">
      <w:pPr>
        <w:pStyle w:val="ListParagraph"/>
        <w:numPr>
          <w:ilvl w:val="0"/>
          <w:numId w:val="2"/>
        </w:numPr>
      </w:pPr>
      <w:r>
        <w:t>Laser ablation: raster vs Line</w:t>
      </w:r>
    </w:p>
    <w:p w14:paraId="2B2CB8CB" w14:textId="2DB1E1CA" w:rsidR="003746F6" w:rsidRPr="003746F6" w:rsidRDefault="00870679" w:rsidP="003746F6">
      <w:r>
        <w:t xml:space="preserve">Painting samples stored as cross sections have different layers that vary in thickness and </w:t>
      </w:r>
      <w:r w:rsidR="00414B07">
        <w:t>contain</w:t>
      </w:r>
      <w:r>
        <w:t xml:space="preserve"> irregular particles of pigments. </w:t>
      </w:r>
      <w:r w:rsidR="00414B07">
        <w:t>To optimise the sampling procedure for a</w:t>
      </w:r>
      <w:r>
        <w:t xml:space="preserve"> </w:t>
      </w:r>
      <w:r w:rsidR="00414B07">
        <w:t>wider</w:t>
      </w:r>
      <w:r>
        <w:t xml:space="preserve"> variety of sample specimens</w:t>
      </w:r>
      <w:r w:rsidR="00414B07">
        <w:t>,</w:t>
      </w:r>
      <w:r>
        <w:t xml:space="preserve"> two different </w:t>
      </w:r>
      <w:r w:rsidR="00414B07">
        <w:t>approaches</w:t>
      </w:r>
      <w:r>
        <w:t xml:space="preserve"> were </w:t>
      </w:r>
      <w:r w:rsidR="00414B07">
        <w:t>tested</w:t>
      </w:r>
      <w:r>
        <w:t xml:space="preserve">: ablating following a raster (grid) or a line. The first approach is more suitable for rounded lead white particles with a diameter </w:t>
      </w:r>
      <w:r w:rsidR="00AA5329">
        <w:t xml:space="preserve">of </w:t>
      </w:r>
      <w:r>
        <w:t>around 10-</w:t>
      </w:r>
      <w:r w:rsidR="00414B07">
        <w:t>15</w:t>
      </w:r>
      <w:r>
        <w:t xml:space="preserve"> micrometres, while the second can be applied for sampling having </w:t>
      </w:r>
      <w:r w:rsidR="00414B07">
        <w:t xml:space="preserve">a </w:t>
      </w:r>
      <w:r>
        <w:t>thin layer of lead white</w:t>
      </w:r>
      <w:r w:rsidR="00414B07">
        <w:t xml:space="preserve"> homogenously dispersed</w:t>
      </w:r>
      <w:r>
        <w:t xml:space="preserve"> in </w:t>
      </w:r>
      <w:r w:rsidR="003F3DAE">
        <w:t>oil</w:t>
      </w:r>
      <w:r>
        <w:t xml:space="preserve"> paint (</w:t>
      </w:r>
      <w:r w:rsidR="003F3DAE">
        <w:t xml:space="preserve">ideal thickness of the layer around 6-8 </w:t>
      </w:r>
      <w:r w:rsidR="00414B07">
        <w:t>micrometres</w:t>
      </w:r>
      <w:r w:rsidR="003F3DAE">
        <w:t xml:space="preserve"> minimum</w:t>
      </w:r>
      <w:r w:rsidR="00FD1DE4">
        <w:t>)</w:t>
      </w:r>
      <w:r w:rsidR="003F3DAE">
        <w:t>.</w:t>
      </w:r>
      <w:r w:rsidR="00414B07">
        <w:t xml:space="preserve"> </w:t>
      </w:r>
      <w:r w:rsidR="00AA5329">
        <w:t>The line</w:t>
      </w:r>
      <w:r w:rsidR="003F3DAE">
        <w:t xml:space="preserve"> sampling signal</w:t>
      </w:r>
      <w:r w:rsidR="00414B07">
        <w:t xml:space="preserve"> (expressed in voltage for each isotope)</w:t>
      </w:r>
      <w:r w:rsidR="003F3DAE">
        <w:t xml:space="preserve"> is </w:t>
      </w:r>
      <w:r w:rsidR="00414B07">
        <w:t>more</w:t>
      </w:r>
      <w:r w:rsidR="003F3DAE">
        <w:t xml:space="preserve"> stable</w:t>
      </w:r>
      <w:r w:rsidR="00414B07">
        <w:t xml:space="preserve"> than </w:t>
      </w:r>
      <w:r w:rsidR="00AA5329">
        <w:t>grid sampling.</w:t>
      </w:r>
      <w:r w:rsidR="003F3DAE">
        <w:t xml:space="preserve"> </w:t>
      </w:r>
      <w:r w:rsidR="00AA5329">
        <w:t>Sampling</w:t>
      </w:r>
      <w:r w:rsidR="003F3DAE">
        <w:t xml:space="preserve"> carbonates </w:t>
      </w:r>
      <w:r w:rsidR="00AA5329">
        <w:t>results in</w:t>
      </w:r>
      <w:r w:rsidR="003F3DAE">
        <w:t xml:space="preserve"> signal </w:t>
      </w:r>
      <w:r w:rsidR="00AA5329">
        <w:t>intensity variation of</w:t>
      </w:r>
      <w:r w:rsidR="003F3DAE">
        <w:t xml:space="preserve"> 10-20% depending on the rheology of the sample</w:t>
      </w:r>
      <w:r w:rsidR="00AA5329">
        <w:t>. Moreover,</w:t>
      </w:r>
      <w:r w:rsidR="003F3DAE">
        <w:t xml:space="preserve"> the raster sampling can </w:t>
      </w:r>
      <w:r w:rsidR="00AA5329">
        <w:t>have even</w:t>
      </w:r>
      <w:r w:rsidR="003F3DAE">
        <w:t xml:space="preserve"> more </w:t>
      </w:r>
      <w:r w:rsidR="00AA5329">
        <w:t>variable signal</w:t>
      </w:r>
      <w:r w:rsidR="005D4F15">
        <w:t xml:space="preserve">, as the trajectory of the ablation is not linear, but it has 90 degrees turn, that can cause </w:t>
      </w:r>
      <w:r w:rsidR="00AA5329">
        <w:t>over</w:t>
      </w:r>
      <w:r w:rsidR="00FD1DE4">
        <w:t>-</w:t>
      </w:r>
      <w:r w:rsidR="005D4F15">
        <w:t xml:space="preserve">ablation of the </w:t>
      </w:r>
      <w:r w:rsidR="00AA5329">
        <w:t>same area</w:t>
      </w:r>
      <w:r w:rsidR="005D4F15">
        <w:t xml:space="preserve"> </w:t>
      </w:r>
      <w:r w:rsidR="00AA5329">
        <w:t>resulting in signal</w:t>
      </w:r>
      <w:r w:rsidR="005D4F15">
        <w:t xml:space="preserve"> drop</w:t>
      </w:r>
      <w:r w:rsidR="00AA5329">
        <w:t>s</w:t>
      </w:r>
      <w:r w:rsidR="005D4F15">
        <w:t xml:space="preserve"> (</w:t>
      </w:r>
      <w:r w:rsidR="007104E9">
        <w:t>as shown in Figure S</w:t>
      </w:r>
      <w:r w:rsidR="003746F6">
        <w:t>4</w:t>
      </w:r>
      <w:r w:rsidR="007104E9">
        <w:t xml:space="preserve"> on the </w:t>
      </w:r>
      <w:r w:rsidR="007104E9" w:rsidRPr="003746F6">
        <w:rPr>
          <w:vertAlign w:val="superscript"/>
        </w:rPr>
        <w:t>208</w:t>
      </w:r>
      <w:r w:rsidR="007104E9">
        <w:t>Pb voltage signal, which shows two drops in relation to the raster turning</w:t>
      </w:r>
      <w:r w:rsidR="005D4F15">
        <w:t xml:space="preserve">). </w:t>
      </w:r>
      <w:r w:rsidR="003746F6" w:rsidRPr="003746F6">
        <w:t xml:space="preserve">To evaluate whether these transient intensity </w:t>
      </w:r>
      <w:r w:rsidR="00AA5329">
        <w:t>affects</w:t>
      </w:r>
      <w:r w:rsidR="003746F6" w:rsidRPr="003746F6">
        <w:t xml:space="preserve"> isotope ratios, raster and line scans were directly compared in terms of both signal intensity and LIR. As shown in Figure S4, the raster turning-related signal drops do not measurably affect the calculated isotopic composition. The raster/line comparison supports the use of both geometries</w:t>
      </w:r>
      <w:r w:rsidR="00AA5329">
        <w:t>,</w:t>
      </w:r>
      <w:r w:rsidR="003746F6">
        <w:t xml:space="preserve"> which can be used according to the appearance of the sample.</w:t>
      </w:r>
    </w:p>
    <w:p w14:paraId="3720C2C5" w14:textId="77777777" w:rsidR="003746F6" w:rsidRDefault="003746F6"/>
    <w:p w14:paraId="591658C8" w14:textId="0E7FCBA8" w:rsidR="007104E9" w:rsidRDefault="00B94350">
      <w:r>
        <w:rPr>
          <w:noProof/>
        </w:rPr>
        <w:lastRenderedPageBreak/>
        <w:drawing>
          <wp:inline distT="0" distB="0" distL="0" distR="0" wp14:anchorId="217C7FA3" wp14:editId="32B10968">
            <wp:extent cx="5091967" cy="5207457"/>
            <wp:effectExtent l="0" t="0" r="0" b="0"/>
            <wp:docPr id="1482996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5671" cy="5211245"/>
                    </a:xfrm>
                    <a:prstGeom prst="rect">
                      <a:avLst/>
                    </a:prstGeom>
                    <a:noFill/>
                  </pic:spPr>
                </pic:pic>
              </a:graphicData>
            </a:graphic>
          </wp:inline>
        </w:drawing>
      </w:r>
    </w:p>
    <w:p w14:paraId="0CC4D0B7" w14:textId="6F6BD936" w:rsidR="00E63AE2" w:rsidRDefault="00E63AE2">
      <w:r>
        <w:t>Figure S</w:t>
      </w:r>
      <w:r w:rsidR="00463D11">
        <w:t>5</w:t>
      </w:r>
      <w:r w:rsidR="00FD1DE4">
        <w:t>: Voltage and LIR signal of the LA showing the differences between raster and line ablation. It is visible that while the Voltage in the raster analysis drops during the turnings, this doesn’t affect the Isotopic composition.</w:t>
      </w:r>
    </w:p>
    <w:p w14:paraId="1BBFCB19" w14:textId="77777777" w:rsidR="001A6916" w:rsidRDefault="001A6916"/>
    <w:p w14:paraId="3C45C10A" w14:textId="4DA55D7E" w:rsidR="001A6916" w:rsidRDefault="001A6916" w:rsidP="003E217E"/>
    <w:p w14:paraId="484AAB03" w14:textId="77777777" w:rsidR="003746F6" w:rsidRDefault="003746F6"/>
    <w:p w14:paraId="5F324662" w14:textId="77777777" w:rsidR="003746F6" w:rsidRDefault="003746F6"/>
    <w:p w14:paraId="2289E57B" w14:textId="77777777" w:rsidR="003746F6" w:rsidRDefault="003746F6"/>
    <w:p w14:paraId="5EB53BAE" w14:textId="77777777" w:rsidR="003746F6" w:rsidRDefault="003746F6"/>
    <w:p w14:paraId="7214F886" w14:textId="77777777" w:rsidR="003746F6" w:rsidRDefault="003746F6"/>
    <w:p w14:paraId="72528785" w14:textId="77777777" w:rsidR="003746F6" w:rsidRDefault="003746F6"/>
    <w:p w14:paraId="43CB0A83" w14:textId="77777777" w:rsidR="003746F6" w:rsidRDefault="003746F6"/>
    <w:p w14:paraId="609F639F" w14:textId="77777777" w:rsidR="003746F6" w:rsidRDefault="003746F6"/>
    <w:p w14:paraId="18249756" w14:textId="44EE42BF" w:rsidR="008E0A12" w:rsidRDefault="00E27B8E" w:rsidP="003746F6">
      <w:pPr>
        <w:pStyle w:val="ListParagraph"/>
        <w:numPr>
          <w:ilvl w:val="0"/>
          <w:numId w:val="2"/>
        </w:numPr>
      </w:pPr>
      <w:r w:rsidRPr="00F12CC4">
        <w:lastRenderedPageBreak/>
        <w:t>LA in oil samples</w:t>
      </w:r>
    </w:p>
    <w:p w14:paraId="1D92AE30" w14:textId="77777777" w:rsidR="00EB37D3" w:rsidRDefault="00EB37D3"/>
    <w:p w14:paraId="3D8B6A85" w14:textId="33B58873" w:rsidR="00EB37D3" w:rsidRDefault="00EB37D3">
      <w:r>
        <w:rPr>
          <w:noProof/>
        </w:rPr>
        <w:drawing>
          <wp:inline distT="0" distB="0" distL="0" distR="0" wp14:anchorId="0C51B008" wp14:editId="75270267">
            <wp:extent cx="4577628" cy="5302885"/>
            <wp:effectExtent l="0" t="0" r="0" b="0"/>
            <wp:docPr id="665878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1460" cy="5307325"/>
                    </a:xfrm>
                    <a:prstGeom prst="rect">
                      <a:avLst/>
                    </a:prstGeom>
                    <a:noFill/>
                  </pic:spPr>
                </pic:pic>
              </a:graphicData>
            </a:graphic>
          </wp:inline>
        </w:drawing>
      </w:r>
    </w:p>
    <w:p w14:paraId="7418DE67" w14:textId="6CEFB69A" w:rsidR="00EB37D3" w:rsidRDefault="00EB37D3">
      <w:r>
        <w:t>Figure S</w:t>
      </w:r>
      <w:r w:rsidR="003746F6">
        <w:t>5: Volt and LIR signal of the analysis of a line in the layer containing PDLW2 in oil in the mock-up sample. The picture shows the difference and alteration of LIR if areas containing high amount of Oil are analysed.</w:t>
      </w:r>
    </w:p>
    <w:p w14:paraId="0FCAE8B6" w14:textId="0107576F" w:rsidR="00E30D15" w:rsidRPr="00E30D15" w:rsidRDefault="00E30D15" w:rsidP="00E30D15">
      <w:r w:rsidRPr="00E30D15">
        <w:t>Figure S</w:t>
      </w:r>
      <w:r w:rsidR="003746F6">
        <w:t>5</w:t>
      </w:r>
      <w:r w:rsidRPr="00E30D15">
        <w:t xml:space="preserve"> shows two examples of time-resolved signals from the mock-up, processed in Iolite, where the ablation path crosses from a lead white particle into an area with more oil. A clear drop in the </w:t>
      </w:r>
      <w:r w:rsidRPr="00EB37D3">
        <w:rPr>
          <w:vertAlign w:val="superscript"/>
        </w:rPr>
        <w:t>208</w:t>
      </w:r>
      <w:r>
        <w:t>Pb</w:t>
      </w:r>
      <w:r w:rsidRPr="00E30D15">
        <w:t xml:space="preserve"> intensity marks this transition. This change in matrix composition also affects the measured isotope ratios, likely due to increased fractionation in the oil-rich phase.</w:t>
      </w:r>
    </w:p>
    <w:p w14:paraId="764E4F87" w14:textId="1731AAD4" w:rsidR="00E30D15" w:rsidRPr="00E30D15" w:rsidRDefault="00E30D15" w:rsidP="00E30D15">
      <w:r w:rsidRPr="00E30D15">
        <w:t>The impact varies between spots: in Figure S</w:t>
      </w:r>
      <w:r w:rsidR="003746F6">
        <w:t>5</w:t>
      </w:r>
      <w:r w:rsidRPr="00E30D15">
        <w:t>a, the LIR remains relatively stable across both phases, allowing the entire signal (dotted rectangle) to be used. However, in Figure S</w:t>
      </w:r>
      <w:r w:rsidR="00AA5329">
        <w:t>5</w:t>
      </w:r>
      <w:r w:rsidRPr="00E30D15">
        <w:t>b, the ratios drift significantly in the second, oil-rich part of the signal, resulting in poorer accuracy. In such cases, it is crucial to select only the first part of the signal</w:t>
      </w:r>
      <w:r w:rsidR="003746F6">
        <w:t xml:space="preserve">, </w:t>
      </w:r>
      <w:r w:rsidRPr="00E30D15">
        <w:t>corresponding to the pure lead white</w:t>
      </w:r>
      <w:r w:rsidR="003746F6">
        <w:t xml:space="preserve">, </w:t>
      </w:r>
      <w:r w:rsidRPr="00E30D15">
        <w:t>for the final calculation to obtain reliable results."</w:t>
      </w:r>
    </w:p>
    <w:p w14:paraId="3EAC84D3" w14:textId="35FF2529" w:rsidR="008501CF" w:rsidRPr="008501CF" w:rsidRDefault="008501CF">
      <w:pPr>
        <w:divId w:val="1360548171"/>
        <w:rPr>
          <w:rFonts w:ascii="Calibri" w:eastAsia="Times New Roman" w:hAnsi="Calibri" w:cs="Calibri"/>
          <w:color w:val="000000"/>
          <w:kern w:val="0"/>
          <w:szCs w:val="24"/>
          <w14:ligatures w14:val="none"/>
        </w:rPr>
      </w:pPr>
      <w:r w:rsidRPr="008501CF">
        <w:rPr>
          <w:rFonts w:ascii="Calibri" w:eastAsia="Times New Roman" w:hAnsi="Calibri" w:cs="Calibri"/>
          <w:color w:val="000000"/>
        </w:rPr>
        <w:lastRenderedPageBreak/>
        <w:t xml:space="preserve">1. D’imporzano P, Reiling HM, Merkel S, van Iperen JM, Garachon I, Keune K, et al. Lead isotope analysis of lead-tin-glaze via on-site portable laser ablation sampling of 17-18th century Delftware (earthenware). J Archaeol Sci. Elsevier; 2026;185:106443. </w:t>
      </w:r>
    </w:p>
    <w:p w14:paraId="7B706658" w14:textId="77777777" w:rsidR="008501CF" w:rsidRPr="008501CF" w:rsidRDefault="008501CF">
      <w:pPr>
        <w:divId w:val="1465343551"/>
        <w:rPr>
          <w:rFonts w:ascii="Calibri" w:eastAsia="Times New Roman" w:hAnsi="Calibri" w:cs="Calibri"/>
          <w:color w:val="000000"/>
        </w:rPr>
      </w:pPr>
      <w:r w:rsidRPr="008501CF">
        <w:rPr>
          <w:rFonts w:ascii="Calibri" w:eastAsia="Times New Roman" w:hAnsi="Calibri" w:cs="Calibri"/>
          <w:color w:val="000000"/>
        </w:rPr>
        <w:t xml:space="preserve">2. D’imporzano P, Batur K, Keune K, Koornneef JM, Hermens E, Noble P, et al. Lead isotope heterogeneity in lead white: From lead white raw pigment to canvas. Microchemical Journal. Elsevier; 2021;163:105897. </w:t>
      </w:r>
    </w:p>
    <w:p w14:paraId="22133A0D" w14:textId="77777777" w:rsidR="008501CF" w:rsidRPr="008501CF" w:rsidRDefault="008501CF">
      <w:pPr>
        <w:divId w:val="2016880319"/>
        <w:rPr>
          <w:rFonts w:ascii="Calibri" w:eastAsia="Times New Roman" w:hAnsi="Calibri" w:cs="Calibri"/>
          <w:color w:val="000000"/>
        </w:rPr>
      </w:pPr>
      <w:r w:rsidRPr="008501CF">
        <w:rPr>
          <w:rFonts w:ascii="Calibri" w:eastAsia="Times New Roman" w:hAnsi="Calibri" w:cs="Calibri"/>
          <w:color w:val="000000"/>
        </w:rPr>
        <w:t>3. D’Imporzano P, Davies GR. Lead Isotope Ratios of Lead White: From Provenance to Authentication. In: Colombini MP, Degano I, Nevin A, editors. Analytical Chemistry for the Study of Paintings and the Detection of Forgeries [Internet]. Cham: Springer International Publishing; 2022. p. 447–71. https://doi.org/10.1007/978-3-030-86865-9_14</w:t>
      </w:r>
    </w:p>
    <w:p w14:paraId="56A6D6C5" w14:textId="77777777" w:rsidR="008501CF" w:rsidRPr="008501CF" w:rsidRDefault="008501CF">
      <w:pPr>
        <w:divId w:val="84888164"/>
        <w:rPr>
          <w:rFonts w:ascii="Calibri" w:eastAsia="Times New Roman" w:hAnsi="Calibri" w:cs="Calibri"/>
          <w:color w:val="000000"/>
        </w:rPr>
      </w:pPr>
      <w:r w:rsidRPr="00D13CA7">
        <w:rPr>
          <w:rFonts w:ascii="Calibri" w:eastAsia="Times New Roman" w:hAnsi="Calibri" w:cs="Calibri"/>
          <w:color w:val="000000"/>
          <w:lang w:val="it-IT"/>
        </w:rPr>
        <w:t xml:space="preserve">4. D’Imporzano P, Keune K, Koornneef JM, Hermens E, Noble P, Vandivere ALS, et al. </w:t>
      </w:r>
      <w:r w:rsidRPr="008501CF">
        <w:rPr>
          <w:rFonts w:ascii="Calibri" w:eastAsia="Times New Roman" w:hAnsi="Calibri" w:cs="Calibri"/>
          <w:color w:val="000000"/>
        </w:rPr>
        <w:t xml:space="preserve">Time-dependent variation of lead isotopes of lead white in 17th century Dutch paintings. Sci Adv. American Association for the Advancement of Science; 2021;7:eabi5905. </w:t>
      </w:r>
    </w:p>
    <w:p w14:paraId="598A196F" w14:textId="77777777" w:rsidR="008501CF" w:rsidRPr="008501CF" w:rsidRDefault="008501CF">
      <w:pPr>
        <w:divId w:val="115565296"/>
        <w:rPr>
          <w:rFonts w:ascii="Calibri" w:eastAsia="Times New Roman" w:hAnsi="Calibri" w:cs="Calibri"/>
          <w:color w:val="000000"/>
        </w:rPr>
      </w:pPr>
      <w:r w:rsidRPr="008501CF">
        <w:rPr>
          <w:rFonts w:ascii="Calibri" w:eastAsia="Times New Roman" w:hAnsi="Calibri" w:cs="Calibri"/>
          <w:color w:val="000000"/>
        </w:rPr>
        <w:t>5. D’Imporzano P, Keune K, Koornneef JM, Hermens E, Noble P, van Zuilen K, et al. Micro-invasive method for studying lead isotopes in paintings*. Archaeometry. 2020; https://doi.org/10.1111/arcm.12549</w:t>
      </w:r>
    </w:p>
    <w:p w14:paraId="21FE974F" w14:textId="77777777" w:rsidR="008501CF" w:rsidRPr="008501CF" w:rsidRDefault="008501CF">
      <w:pPr>
        <w:divId w:val="865825113"/>
        <w:rPr>
          <w:rFonts w:ascii="Calibri" w:eastAsia="Times New Roman" w:hAnsi="Calibri" w:cs="Calibri"/>
          <w:color w:val="000000"/>
        </w:rPr>
      </w:pPr>
      <w:r w:rsidRPr="008501CF">
        <w:rPr>
          <w:rFonts w:ascii="Calibri" w:eastAsia="Times New Roman" w:hAnsi="Calibri" w:cs="Calibri"/>
          <w:color w:val="000000"/>
        </w:rPr>
        <w:t xml:space="preserve">6. Thirlwall MF. Multicollector ICP-MS analysis of Pb isotopes using a 207Pb-204Pb double spike demonstrates up to 400 ppm/amu systematic errors in Tl-normalization. Chem Geol. Elsevier; 2002;184:255–79. </w:t>
      </w:r>
    </w:p>
    <w:p w14:paraId="2EFEBCAF" w14:textId="3F3D8409" w:rsidR="00E30D15" w:rsidRDefault="008501CF" w:rsidP="008501CF">
      <w:pPr>
        <w:tabs>
          <w:tab w:val="left" w:pos="3218"/>
        </w:tabs>
      </w:pPr>
      <w:r w:rsidRPr="008501CF">
        <w:rPr>
          <w:rFonts w:ascii="Calibri" w:eastAsia="Times New Roman" w:hAnsi="Calibri" w:cs="Calibri"/>
          <w:color w:val="000000"/>
        </w:rPr>
        <w:t> </w:t>
      </w:r>
    </w:p>
    <w:sectPr w:rsidR="00E30D1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BB6E19"/>
    <w:multiLevelType w:val="hybridMultilevel"/>
    <w:tmpl w:val="F1586D1A"/>
    <w:lvl w:ilvl="0" w:tplc="6770C5F6">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201BC1"/>
    <w:multiLevelType w:val="hybridMultilevel"/>
    <w:tmpl w:val="4D7AA78C"/>
    <w:lvl w:ilvl="0" w:tplc="E79281FE">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D764B1"/>
    <w:multiLevelType w:val="hybridMultilevel"/>
    <w:tmpl w:val="26420B76"/>
    <w:lvl w:ilvl="0" w:tplc="D35ACFC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775468F"/>
    <w:multiLevelType w:val="hybridMultilevel"/>
    <w:tmpl w:val="3EAA60FE"/>
    <w:lvl w:ilvl="0" w:tplc="536CB03A">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E767F6"/>
    <w:multiLevelType w:val="hybridMultilevel"/>
    <w:tmpl w:val="A2C6F566"/>
    <w:lvl w:ilvl="0" w:tplc="5678B8E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0309925">
    <w:abstractNumId w:val="3"/>
  </w:num>
  <w:num w:numId="2" w16cid:durableId="971785716">
    <w:abstractNumId w:val="1"/>
  </w:num>
  <w:num w:numId="3" w16cid:durableId="1167330805">
    <w:abstractNumId w:val="4"/>
  </w:num>
  <w:num w:numId="4" w16cid:durableId="687609249">
    <w:abstractNumId w:val="2"/>
  </w:num>
  <w:num w:numId="5" w16cid:durableId="2619114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991"/>
    <w:rsid w:val="00066FFB"/>
    <w:rsid w:val="00084B52"/>
    <w:rsid w:val="00087D92"/>
    <w:rsid w:val="0009577B"/>
    <w:rsid w:val="000B6733"/>
    <w:rsid w:val="000D2E6B"/>
    <w:rsid w:val="00162EC8"/>
    <w:rsid w:val="001A6916"/>
    <w:rsid w:val="001F1583"/>
    <w:rsid w:val="002C183D"/>
    <w:rsid w:val="002C1B76"/>
    <w:rsid w:val="002E6991"/>
    <w:rsid w:val="00312AF8"/>
    <w:rsid w:val="003746F6"/>
    <w:rsid w:val="003A6ED4"/>
    <w:rsid w:val="003E217E"/>
    <w:rsid w:val="003E7BEA"/>
    <w:rsid w:val="003F3DAE"/>
    <w:rsid w:val="0040543F"/>
    <w:rsid w:val="00414B07"/>
    <w:rsid w:val="004210FD"/>
    <w:rsid w:val="00463D11"/>
    <w:rsid w:val="00523DC5"/>
    <w:rsid w:val="005D4F15"/>
    <w:rsid w:val="006C2554"/>
    <w:rsid w:val="006F296E"/>
    <w:rsid w:val="007104E9"/>
    <w:rsid w:val="007400E9"/>
    <w:rsid w:val="00753784"/>
    <w:rsid w:val="00770B33"/>
    <w:rsid w:val="007E650C"/>
    <w:rsid w:val="007F396D"/>
    <w:rsid w:val="00814131"/>
    <w:rsid w:val="008501CF"/>
    <w:rsid w:val="00870679"/>
    <w:rsid w:val="00872603"/>
    <w:rsid w:val="00881CE3"/>
    <w:rsid w:val="008E0A12"/>
    <w:rsid w:val="009679EA"/>
    <w:rsid w:val="009879E6"/>
    <w:rsid w:val="00AA5329"/>
    <w:rsid w:val="00AC15EC"/>
    <w:rsid w:val="00AC39B5"/>
    <w:rsid w:val="00AE777A"/>
    <w:rsid w:val="00B47284"/>
    <w:rsid w:val="00B57639"/>
    <w:rsid w:val="00B87CE3"/>
    <w:rsid w:val="00B94350"/>
    <w:rsid w:val="00BC574A"/>
    <w:rsid w:val="00BD1D43"/>
    <w:rsid w:val="00C50076"/>
    <w:rsid w:val="00CA580A"/>
    <w:rsid w:val="00D10ABC"/>
    <w:rsid w:val="00D13CA7"/>
    <w:rsid w:val="00D6541B"/>
    <w:rsid w:val="00DA6EE7"/>
    <w:rsid w:val="00DB11FA"/>
    <w:rsid w:val="00E03205"/>
    <w:rsid w:val="00E27B8E"/>
    <w:rsid w:val="00E30D15"/>
    <w:rsid w:val="00E332C9"/>
    <w:rsid w:val="00E63AE2"/>
    <w:rsid w:val="00EB37D3"/>
    <w:rsid w:val="00EF77AC"/>
    <w:rsid w:val="00F12CC4"/>
    <w:rsid w:val="00F670F8"/>
    <w:rsid w:val="00F76453"/>
    <w:rsid w:val="00FB37E1"/>
    <w:rsid w:val="00FB3CF1"/>
    <w:rsid w:val="00FB733B"/>
    <w:rsid w:val="00FD1DE4"/>
    <w:rsid w:val="00FF5A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7CFEF"/>
  <w15:chartTrackingRefBased/>
  <w15:docId w15:val="{AF7EBBEC-CAC7-4D85-A3D1-19C1A3779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699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E699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E699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E699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E699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E699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699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699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699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99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E699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E699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E699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E699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E699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699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699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6991"/>
    <w:rPr>
      <w:rFonts w:eastAsiaTheme="majorEastAsia" w:cstheme="majorBidi"/>
      <w:color w:val="272727" w:themeColor="text1" w:themeTint="D8"/>
    </w:rPr>
  </w:style>
  <w:style w:type="paragraph" w:styleId="Title">
    <w:name w:val="Title"/>
    <w:basedOn w:val="Normal"/>
    <w:next w:val="Normal"/>
    <w:link w:val="TitleChar"/>
    <w:uiPriority w:val="10"/>
    <w:qFormat/>
    <w:rsid w:val="002E699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699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699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699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6991"/>
    <w:pPr>
      <w:spacing w:before="160"/>
      <w:jc w:val="center"/>
    </w:pPr>
    <w:rPr>
      <w:i/>
      <w:iCs/>
      <w:color w:val="404040" w:themeColor="text1" w:themeTint="BF"/>
    </w:rPr>
  </w:style>
  <w:style w:type="character" w:customStyle="1" w:styleId="QuoteChar">
    <w:name w:val="Quote Char"/>
    <w:basedOn w:val="DefaultParagraphFont"/>
    <w:link w:val="Quote"/>
    <w:uiPriority w:val="29"/>
    <w:rsid w:val="002E6991"/>
    <w:rPr>
      <w:i/>
      <w:iCs/>
      <w:color w:val="404040" w:themeColor="text1" w:themeTint="BF"/>
    </w:rPr>
  </w:style>
  <w:style w:type="paragraph" w:styleId="ListParagraph">
    <w:name w:val="List Paragraph"/>
    <w:basedOn w:val="Normal"/>
    <w:uiPriority w:val="34"/>
    <w:qFormat/>
    <w:rsid w:val="002E6991"/>
    <w:pPr>
      <w:ind w:left="720"/>
      <w:contextualSpacing/>
    </w:pPr>
  </w:style>
  <w:style w:type="character" w:styleId="IntenseEmphasis">
    <w:name w:val="Intense Emphasis"/>
    <w:basedOn w:val="DefaultParagraphFont"/>
    <w:uiPriority w:val="21"/>
    <w:qFormat/>
    <w:rsid w:val="002E6991"/>
    <w:rPr>
      <w:i/>
      <w:iCs/>
      <w:color w:val="2F5496" w:themeColor="accent1" w:themeShade="BF"/>
    </w:rPr>
  </w:style>
  <w:style w:type="paragraph" w:styleId="IntenseQuote">
    <w:name w:val="Intense Quote"/>
    <w:basedOn w:val="Normal"/>
    <w:next w:val="Normal"/>
    <w:link w:val="IntenseQuoteChar"/>
    <w:uiPriority w:val="30"/>
    <w:qFormat/>
    <w:rsid w:val="002E699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E6991"/>
    <w:rPr>
      <w:i/>
      <w:iCs/>
      <w:color w:val="2F5496" w:themeColor="accent1" w:themeShade="BF"/>
    </w:rPr>
  </w:style>
  <w:style w:type="character" w:styleId="IntenseReference">
    <w:name w:val="Intense Reference"/>
    <w:basedOn w:val="DefaultParagraphFont"/>
    <w:uiPriority w:val="32"/>
    <w:qFormat/>
    <w:rsid w:val="002E6991"/>
    <w:rPr>
      <w:b/>
      <w:bCs/>
      <w:smallCaps/>
      <w:color w:val="2F5496" w:themeColor="accent1" w:themeShade="BF"/>
      <w:spacing w:val="5"/>
    </w:rPr>
  </w:style>
  <w:style w:type="paragraph" w:styleId="NormalWeb">
    <w:name w:val="Normal (Web)"/>
    <w:basedOn w:val="Normal"/>
    <w:uiPriority w:val="99"/>
    <w:semiHidden/>
    <w:unhideWhenUsed/>
    <w:rsid w:val="007F396D"/>
    <w:rPr>
      <w:rFonts w:ascii="Times New Roman" w:hAnsi="Times New Roman" w:cs="Times New Roman"/>
      <w:sz w:val="24"/>
      <w:szCs w:val="24"/>
    </w:rPr>
  </w:style>
  <w:style w:type="character" w:styleId="PlaceholderText">
    <w:name w:val="Placeholder Text"/>
    <w:basedOn w:val="DefaultParagraphFont"/>
    <w:uiPriority w:val="99"/>
    <w:semiHidden/>
    <w:rsid w:val="008501C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888164">
      <w:marLeft w:val="0"/>
      <w:marRight w:val="0"/>
      <w:marTop w:val="0"/>
      <w:marBottom w:val="0"/>
      <w:divBdr>
        <w:top w:val="none" w:sz="0" w:space="0" w:color="auto"/>
        <w:left w:val="none" w:sz="0" w:space="0" w:color="auto"/>
        <w:bottom w:val="none" w:sz="0" w:space="0" w:color="auto"/>
        <w:right w:val="none" w:sz="0" w:space="0" w:color="auto"/>
      </w:divBdr>
    </w:div>
    <w:div w:id="115565296">
      <w:marLeft w:val="0"/>
      <w:marRight w:val="0"/>
      <w:marTop w:val="0"/>
      <w:marBottom w:val="0"/>
      <w:divBdr>
        <w:top w:val="none" w:sz="0" w:space="0" w:color="auto"/>
        <w:left w:val="none" w:sz="0" w:space="0" w:color="auto"/>
        <w:bottom w:val="none" w:sz="0" w:space="0" w:color="auto"/>
        <w:right w:val="none" w:sz="0" w:space="0" w:color="auto"/>
      </w:divBdr>
    </w:div>
    <w:div w:id="865825113">
      <w:marLeft w:val="0"/>
      <w:marRight w:val="0"/>
      <w:marTop w:val="0"/>
      <w:marBottom w:val="0"/>
      <w:divBdr>
        <w:top w:val="none" w:sz="0" w:space="0" w:color="auto"/>
        <w:left w:val="none" w:sz="0" w:space="0" w:color="auto"/>
        <w:bottom w:val="none" w:sz="0" w:space="0" w:color="auto"/>
        <w:right w:val="none" w:sz="0" w:space="0" w:color="auto"/>
      </w:divBdr>
    </w:div>
    <w:div w:id="1360548171">
      <w:marLeft w:val="0"/>
      <w:marRight w:val="0"/>
      <w:marTop w:val="0"/>
      <w:marBottom w:val="0"/>
      <w:divBdr>
        <w:top w:val="none" w:sz="0" w:space="0" w:color="auto"/>
        <w:left w:val="none" w:sz="0" w:space="0" w:color="auto"/>
        <w:bottom w:val="none" w:sz="0" w:space="0" w:color="auto"/>
        <w:right w:val="none" w:sz="0" w:space="0" w:color="auto"/>
      </w:divBdr>
    </w:div>
    <w:div w:id="1465343551">
      <w:marLeft w:val="0"/>
      <w:marRight w:val="0"/>
      <w:marTop w:val="0"/>
      <w:marBottom w:val="0"/>
      <w:divBdr>
        <w:top w:val="none" w:sz="0" w:space="0" w:color="auto"/>
        <w:left w:val="none" w:sz="0" w:space="0" w:color="auto"/>
        <w:bottom w:val="none" w:sz="0" w:space="0" w:color="auto"/>
        <w:right w:val="none" w:sz="0" w:space="0" w:color="auto"/>
      </w:divBdr>
    </w:div>
    <w:div w:id="201688031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A2ECDC0-38D7-45BE-8343-15B7A43BACBF}">
  <we:reference id="wa104382081" version="1.55.1.0" store="en-GB" storeType="OMEX"/>
  <we:alternateReferences>
    <we:reference id="WA104382081" version="1.55.1.0" store="" storeType="OMEX"/>
  </we:alternateReferences>
  <we:properties>
    <we:property name="MENDELEY_BIBLIOGRAPHY_IS_DIRTY" value="true"/>
    <we:property name="MENDELEY_BIBLIOGRAPHY_LAST_MODIFIED" value="1773321910338"/>
    <we:property name="MENDELEY_CITATIONS" value="[]"/>
    <we:property name="MENDELEY_CITATIONS_STYLE" value="{&quot;id&quot;:&quot;https://www.zotero.org/styles/heritage-science&quot;,&quot;title&quot;:&quot;Heritage Scienc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092DA6-01EE-4306-BFDD-8AFC42E85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2314</Words>
  <Characters>13191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paolo D'Imporzano</dc:creator>
  <cp:keywords/>
  <dc:description/>
  <cp:lastModifiedBy>paolo D'Imporzano</cp:lastModifiedBy>
  <cp:revision>8</cp:revision>
  <dcterms:created xsi:type="dcterms:W3CDTF">2026-03-12T13:25:00Z</dcterms:created>
  <dcterms:modified xsi:type="dcterms:W3CDTF">2026-03-15T22:20:00Z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d92ecb9f-7d5f-4360-af00-0069a8d989fe</vt:lpwstr>
  </property>
</Properties>
</file>