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E9D" w:rsidRPr="00F4362A" w:rsidRDefault="00542E9D" w:rsidP="00542E9D">
      <w:pPr>
        <w:spacing w:line="480" w:lineRule="auto"/>
        <w:jc w:val="both"/>
        <w:rPr>
          <w:rFonts w:ascii="Arial" w:hAnsi="Arial" w:cs="Arial"/>
        </w:rPr>
      </w:pPr>
      <w:r w:rsidRPr="00F4362A">
        <w:rPr>
          <w:rFonts w:ascii="Arial" w:hAnsi="Arial" w:cs="Arial"/>
          <w:b/>
        </w:rPr>
        <w:t xml:space="preserve">Table 1. </w:t>
      </w:r>
      <w:r w:rsidRPr="00F4362A">
        <w:rPr>
          <w:rFonts w:ascii="Arial" w:hAnsi="Arial" w:cs="Arial"/>
        </w:rPr>
        <w:t>Distribution of internal XP tumors and complementation groups* among the four independent XP cohorts</w:t>
      </w:r>
    </w:p>
    <w:p w:rsidR="00542E9D" w:rsidRPr="00F4362A" w:rsidRDefault="00542E9D" w:rsidP="00542E9D">
      <w:pPr>
        <w:spacing w:line="480" w:lineRule="auto"/>
        <w:jc w:val="both"/>
        <w:rPr>
          <w:rFonts w:ascii="Arial" w:hAnsi="Arial" w:cs="Arial"/>
        </w:rPr>
      </w:pPr>
    </w:p>
    <w:p w:rsidR="00542E9D" w:rsidRPr="00F4362A" w:rsidRDefault="00542E9D" w:rsidP="00542E9D">
      <w:pPr>
        <w:spacing w:line="480" w:lineRule="auto"/>
        <w:jc w:val="both"/>
        <w:rPr>
          <w:rFonts w:ascii="Arial" w:hAnsi="Arial" w:cs="Arial"/>
          <w:b/>
          <w:sz w:val="20"/>
          <w:szCs w:val="20"/>
        </w:rPr>
      </w:pPr>
      <w:r w:rsidRPr="00F4362A">
        <w:rPr>
          <w:rFonts w:ascii="Arial" w:hAnsi="Arial" w:cs="Arial"/>
          <w:b/>
          <w:noProof/>
          <w:sz w:val="20"/>
          <w:szCs w:val="20"/>
          <w:lang w:eastAsia="en-US"/>
        </w:rPr>
        <w:drawing>
          <wp:inline distT="0" distB="0" distL="0" distR="0" wp14:anchorId="2A728388" wp14:editId="062CCC68">
            <wp:extent cx="5756910" cy="477710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56910" cy="4777105"/>
                    </a:xfrm>
                    <a:prstGeom prst="rect">
                      <a:avLst/>
                    </a:prstGeom>
                  </pic:spPr>
                </pic:pic>
              </a:graphicData>
            </a:graphic>
          </wp:inline>
        </w:drawing>
      </w:r>
    </w:p>
    <w:p w:rsidR="00542E9D" w:rsidRPr="00F4362A" w:rsidRDefault="00542E9D" w:rsidP="00542E9D">
      <w:pPr>
        <w:spacing w:line="480" w:lineRule="auto"/>
        <w:jc w:val="both"/>
      </w:pPr>
    </w:p>
    <w:p w:rsidR="00542E9D" w:rsidRPr="00F4362A" w:rsidRDefault="00542E9D" w:rsidP="00542E9D">
      <w:pPr>
        <w:spacing w:line="480" w:lineRule="auto"/>
        <w:jc w:val="both"/>
        <w:rPr>
          <w:rFonts w:ascii="Arial" w:hAnsi="Arial" w:cs="Arial"/>
        </w:rPr>
      </w:pPr>
      <w:r w:rsidRPr="00F4362A">
        <w:rPr>
          <w:rFonts w:ascii="Arial" w:hAnsi="Arial" w:cs="Arial"/>
        </w:rPr>
        <w:t>*All these internal tumors occurred in XP-C patients except for 4 patients indicated in the Table.</w:t>
      </w:r>
    </w:p>
    <w:p w:rsidR="00542E9D" w:rsidRPr="00F4362A" w:rsidRDefault="00542E9D" w:rsidP="00542E9D">
      <w:pPr>
        <w:spacing w:line="480" w:lineRule="auto"/>
        <w:jc w:val="both"/>
        <w:rPr>
          <w:rFonts w:ascii="Arial" w:hAnsi="Arial" w:cs="Arial"/>
        </w:rPr>
      </w:pPr>
      <w:r w:rsidRPr="00F4362A">
        <w:rPr>
          <w:rFonts w:ascii="Arial" w:hAnsi="Arial" w:cs="Arial"/>
        </w:rPr>
        <w:t>†A-XP, F-XP, B-XP and UK-XP refer to the American, French, Brazilian and English XP cohorts (See Methods)</w:t>
      </w:r>
    </w:p>
    <w:p w:rsidR="00542E9D" w:rsidRPr="00F4362A" w:rsidRDefault="00542E9D" w:rsidP="00542E9D">
      <w:pPr>
        <w:spacing w:line="480" w:lineRule="auto"/>
        <w:jc w:val="both"/>
        <w:rPr>
          <w:rFonts w:ascii="Arial" w:hAnsi="Arial" w:cs="Arial"/>
        </w:rPr>
      </w:pPr>
      <w:r w:rsidRPr="00F4362A">
        <w:rPr>
          <w:rFonts w:ascii="Arial" w:hAnsi="Arial" w:cs="Arial"/>
        </w:rPr>
        <w:lastRenderedPageBreak/>
        <w:t>‡CNS refers to central nervous system, GI to gastro-intestinal, HEM to hematological malignancies, KI to kidney, LU to lung, THY to thyroid tumors, “Female” means tumor of the woman reproductive system and “Male” tumor of the man reproductive system.</w:t>
      </w:r>
    </w:p>
    <w:p w:rsidR="00542E9D" w:rsidRPr="00F4362A" w:rsidRDefault="00542E9D" w:rsidP="00542E9D">
      <w:pPr>
        <w:spacing w:line="480" w:lineRule="auto"/>
        <w:jc w:val="both"/>
        <w:rPr>
          <w:rFonts w:ascii="Arial" w:hAnsi="Arial" w:cs="Arial"/>
        </w:rPr>
      </w:pPr>
      <w:r w:rsidRPr="00F4362A">
        <w:rPr>
          <w:rFonts w:ascii="Arial" w:hAnsi="Arial" w:cs="Arial"/>
        </w:rPr>
        <w:t>$Number of XP patients carrying the founder delTG</w:t>
      </w:r>
      <w:r w:rsidRPr="00F4362A">
        <w:rPr>
          <w:rFonts w:ascii="Arial" w:hAnsi="Arial" w:cs="Arial"/>
          <w:i/>
          <w:iCs/>
        </w:rPr>
        <w:t xml:space="preserve"> XPC</w:t>
      </w:r>
      <w:r w:rsidRPr="00F4362A">
        <w:rPr>
          <w:rFonts w:ascii="Arial" w:hAnsi="Arial" w:cs="Arial"/>
        </w:rPr>
        <w:t xml:space="preserve"> mutation from North Africa [13].</w:t>
      </w:r>
    </w:p>
    <w:p w:rsidR="00542E9D" w:rsidRPr="00F4362A" w:rsidRDefault="00542E9D" w:rsidP="00542E9D">
      <w:pPr>
        <w:spacing w:line="480" w:lineRule="auto"/>
        <w:jc w:val="both"/>
        <w:rPr>
          <w:rFonts w:ascii="Arial" w:hAnsi="Arial" w:cs="Arial"/>
        </w:rPr>
      </w:pPr>
    </w:p>
    <w:p w:rsidR="00542E9D" w:rsidRPr="00F4362A" w:rsidRDefault="00542E9D" w:rsidP="00542E9D">
      <w:pPr>
        <w:spacing w:line="480" w:lineRule="auto"/>
        <w:jc w:val="both"/>
      </w:pPr>
    </w:p>
    <w:p w:rsidR="00542E9D" w:rsidRPr="00F4362A" w:rsidRDefault="00542E9D" w:rsidP="00542E9D">
      <w:pPr>
        <w:spacing w:line="480" w:lineRule="auto"/>
        <w:jc w:val="both"/>
      </w:pPr>
      <w:r w:rsidRPr="00F4362A">
        <w:br w:type="page"/>
      </w:r>
    </w:p>
    <w:p w:rsidR="00542E9D" w:rsidRPr="00F4362A" w:rsidRDefault="00542E9D" w:rsidP="00542E9D">
      <w:pPr>
        <w:spacing w:line="480" w:lineRule="auto"/>
        <w:jc w:val="both"/>
        <w:rPr>
          <w:b/>
          <w:bCs/>
        </w:rPr>
      </w:pPr>
      <w:r w:rsidRPr="00F4362A">
        <w:rPr>
          <w:rFonts w:ascii="Arial" w:hAnsi="Arial" w:cs="Arial"/>
          <w:b/>
          <w:bCs/>
        </w:rPr>
        <w:lastRenderedPageBreak/>
        <w:t>Table 2.</w:t>
      </w:r>
      <w:r w:rsidRPr="00F4362A">
        <w:rPr>
          <w:rFonts w:ascii="Arial" w:hAnsi="Arial" w:cs="Arial"/>
        </w:rPr>
        <w:t xml:space="preserve"> Risk (OR) of internal tumors according to tumor types, ages and complementation groups following combined analysis of the 4 XP cohorts and of only 3 cohorts excluding the French one (biased for the delTG </w:t>
      </w:r>
      <w:r w:rsidRPr="00F4362A">
        <w:rPr>
          <w:rFonts w:ascii="Arial" w:hAnsi="Arial" w:cs="Arial"/>
          <w:i/>
          <w:iCs/>
        </w:rPr>
        <w:t>XPC</w:t>
      </w:r>
      <w:r w:rsidRPr="00F4362A">
        <w:rPr>
          <w:rFonts w:ascii="Arial" w:hAnsi="Arial" w:cs="Arial"/>
        </w:rPr>
        <w:t xml:space="preserve"> mutation) as well as the French cohort alone.</w:t>
      </w:r>
    </w:p>
    <w:p w:rsidR="00542E9D" w:rsidRPr="00F4362A" w:rsidRDefault="00542E9D" w:rsidP="00542E9D">
      <w:pPr>
        <w:spacing w:line="480" w:lineRule="auto"/>
        <w:jc w:val="both"/>
      </w:pPr>
      <w:r w:rsidRPr="00F4362A">
        <w:rPr>
          <w:noProof/>
          <w:lang w:eastAsia="en-US"/>
        </w:rPr>
        <w:drawing>
          <wp:inline distT="0" distB="0" distL="0" distR="0" wp14:anchorId="7FAA56A4" wp14:editId="44CADFDE">
            <wp:extent cx="5756910" cy="588382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56910" cy="5883826"/>
                    </a:xfrm>
                    <a:prstGeom prst="rect">
                      <a:avLst/>
                    </a:prstGeom>
                  </pic:spPr>
                </pic:pic>
              </a:graphicData>
            </a:graphic>
          </wp:inline>
        </w:drawing>
      </w:r>
    </w:p>
    <w:p w:rsidR="00542E9D" w:rsidRPr="00F4362A" w:rsidRDefault="00542E9D" w:rsidP="00542E9D">
      <w:pPr>
        <w:spacing w:line="480" w:lineRule="auto"/>
        <w:jc w:val="both"/>
        <w:rPr>
          <w:rFonts w:ascii="Arial" w:hAnsi="Arial" w:cs="Arial"/>
          <w:sz w:val="20"/>
          <w:szCs w:val="20"/>
        </w:rPr>
      </w:pPr>
      <w:r w:rsidRPr="00F4362A">
        <w:rPr>
          <w:rFonts w:ascii="Arial" w:hAnsi="Arial" w:cs="Arial"/>
          <w:sz w:val="20"/>
          <w:szCs w:val="20"/>
        </w:rPr>
        <w:t xml:space="preserve"> *We had no access to the gender of XP patients from the UK cohort. Calculations have been made by using the three other XP cohorts.</w:t>
      </w:r>
    </w:p>
    <w:p w:rsidR="00542E9D" w:rsidRPr="00F4362A" w:rsidRDefault="00542E9D" w:rsidP="00542E9D">
      <w:pPr>
        <w:spacing w:line="480" w:lineRule="auto"/>
        <w:jc w:val="both"/>
        <w:rPr>
          <w:rFonts w:ascii="Arial" w:hAnsi="Arial" w:cs="Arial"/>
          <w:sz w:val="20"/>
          <w:szCs w:val="20"/>
        </w:rPr>
      </w:pPr>
      <w:r w:rsidRPr="00F4362A">
        <w:rPr>
          <w:rFonts w:ascii="Arial" w:hAnsi="Arial" w:cs="Arial"/>
          <w:sz w:val="20"/>
          <w:szCs w:val="20"/>
        </w:rPr>
        <w:t>Same legend as in Table 1.</w:t>
      </w:r>
    </w:p>
    <w:p w:rsidR="00542E9D" w:rsidRPr="00F4362A" w:rsidRDefault="00542E9D" w:rsidP="00542E9D">
      <w:pPr>
        <w:spacing w:line="480" w:lineRule="auto"/>
        <w:jc w:val="both"/>
        <w:rPr>
          <w:rFonts w:ascii="Arial" w:hAnsi="Arial" w:cs="Arial"/>
          <w:sz w:val="20"/>
          <w:szCs w:val="20"/>
        </w:rPr>
      </w:pPr>
    </w:p>
    <w:p w:rsidR="00542E9D" w:rsidRPr="00F4362A" w:rsidRDefault="00542E9D" w:rsidP="00542E9D">
      <w:pPr>
        <w:spacing w:line="480" w:lineRule="auto"/>
        <w:jc w:val="both"/>
        <w:rPr>
          <w:rFonts w:ascii="Arial" w:hAnsi="Arial" w:cs="Arial"/>
          <w:sz w:val="20"/>
          <w:szCs w:val="20"/>
        </w:rPr>
      </w:pPr>
    </w:p>
    <w:p w:rsidR="00542E9D" w:rsidRPr="00F4362A" w:rsidRDefault="00542E9D" w:rsidP="00542E9D">
      <w:pPr>
        <w:spacing w:line="480" w:lineRule="auto"/>
        <w:jc w:val="both"/>
        <w:rPr>
          <w:rFonts w:ascii="Arial" w:hAnsi="Arial"/>
        </w:rPr>
      </w:pPr>
      <w:r w:rsidRPr="00F4362A">
        <w:rPr>
          <w:rFonts w:ascii="Arial" w:hAnsi="Arial"/>
          <w:b/>
        </w:rPr>
        <w:t>Table 3.</w:t>
      </w:r>
      <w:r w:rsidRPr="00F4362A">
        <w:rPr>
          <w:rFonts w:ascii="Arial" w:hAnsi="Arial"/>
        </w:rPr>
        <w:t xml:space="preserve"> All reported xeroderma pigmentosum patients with internal tumor*</w:t>
      </w:r>
    </w:p>
    <w:p w:rsidR="00542E9D" w:rsidRPr="00F4362A" w:rsidRDefault="00542E9D" w:rsidP="00542E9D">
      <w:pPr>
        <w:spacing w:line="480" w:lineRule="auto"/>
        <w:jc w:val="both"/>
        <w:rPr>
          <w:rFonts w:ascii="Arial" w:hAnsi="Arial"/>
        </w:rPr>
      </w:pPr>
    </w:p>
    <w:p w:rsidR="00542E9D" w:rsidRPr="00F4362A" w:rsidRDefault="00542E9D" w:rsidP="00542E9D">
      <w:pPr>
        <w:spacing w:line="480" w:lineRule="auto"/>
        <w:jc w:val="both"/>
      </w:pPr>
    </w:p>
    <w:p w:rsidR="00542E9D" w:rsidRPr="00F4362A" w:rsidRDefault="00542E9D" w:rsidP="00542E9D">
      <w:pPr>
        <w:spacing w:line="480" w:lineRule="auto"/>
        <w:jc w:val="both"/>
      </w:pPr>
      <w:r w:rsidRPr="00F4362A">
        <w:rPr>
          <w:noProof/>
          <w:lang w:eastAsia="en-US"/>
        </w:rPr>
        <w:drawing>
          <wp:inline distT="0" distB="0" distL="0" distR="0" wp14:anchorId="35FB1F17" wp14:editId="7DE48E38">
            <wp:extent cx="5831024" cy="3620753"/>
            <wp:effectExtent l="0" t="0" r="11430" b="0"/>
            <wp:docPr id="1108" name="Imag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32896" cy="3621915"/>
                    </a:xfrm>
                    <a:prstGeom prst="rect">
                      <a:avLst/>
                    </a:prstGeom>
                    <a:noFill/>
                    <a:ln>
                      <a:noFill/>
                    </a:ln>
                  </pic:spPr>
                </pic:pic>
              </a:graphicData>
            </a:graphic>
          </wp:inline>
        </w:drawing>
      </w:r>
    </w:p>
    <w:p w:rsidR="00542E9D" w:rsidRPr="00F4362A" w:rsidRDefault="00542E9D" w:rsidP="00542E9D">
      <w:pPr>
        <w:spacing w:line="480" w:lineRule="auto"/>
        <w:jc w:val="both"/>
      </w:pPr>
    </w:p>
    <w:p w:rsidR="00542E9D" w:rsidRPr="00F4362A" w:rsidRDefault="00542E9D" w:rsidP="00542E9D">
      <w:pPr>
        <w:spacing w:line="480" w:lineRule="auto"/>
        <w:jc w:val="both"/>
      </w:pPr>
      <w:r w:rsidRPr="00F4362A">
        <w:rPr>
          <w:noProof/>
          <w:lang w:eastAsia="en-US"/>
        </w:rPr>
        <w:lastRenderedPageBreak/>
        <w:drawing>
          <wp:inline distT="0" distB="0" distL="0" distR="0" wp14:anchorId="4430E484" wp14:editId="22BB84A1">
            <wp:extent cx="5734565" cy="2803019"/>
            <wp:effectExtent l="0" t="0" r="6350" b="0"/>
            <wp:docPr id="1109" name="Imag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7398" cy="2804404"/>
                    </a:xfrm>
                    <a:prstGeom prst="rect">
                      <a:avLst/>
                    </a:prstGeom>
                    <a:noFill/>
                    <a:ln>
                      <a:noFill/>
                    </a:ln>
                  </pic:spPr>
                </pic:pic>
              </a:graphicData>
            </a:graphic>
          </wp:inline>
        </w:drawing>
      </w:r>
    </w:p>
    <w:p w:rsidR="00542E9D" w:rsidRPr="00F4362A" w:rsidRDefault="00542E9D" w:rsidP="00542E9D">
      <w:pPr>
        <w:spacing w:line="480" w:lineRule="auto"/>
        <w:jc w:val="both"/>
        <w:rPr>
          <w:rFonts w:ascii="Arial" w:hAnsi="Arial"/>
          <w:b/>
        </w:rPr>
      </w:pPr>
    </w:p>
    <w:p w:rsidR="00542E9D" w:rsidRPr="00F4362A" w:rsidRDefault="00542E9D" w:rsidP="00542E9D">
      <w:pPr>
        <w:spacing w:line="480" w:lineRule="auto"/>
        <w:jc w:val="both"/>
        <w:rPr>
          <w:rFonts w:ascii="Arial" w:hAnsi="Arial"/>
          <w:b/>
        </w:rPr>
      </w:pPr>
    </w:p>
    <w:p w:rsidR="00542E9D" w:rsidRPr="00F4362A" w:rsidRDefault="00542E9D" w:rsidP="00542E9D">
      <w:pPr>
        <w:spacing w:line="480" w:lineRule="auto"/>
        <w:jc w:val="both"/>
        <w:rPr>
          <w:rFonts w:ascii="Arial" w:hAnsi="Arial"/>
        </w:rPr>
      </w:pPr>
      <w:r w:rsidRPr="00F4362A">
        <w:rPr>
          <w:rFonts w:ascii="Arial" w:hAnsi="Arial"/>
          <w:b/>
        </w:rPr>
        <w:t>Table 3.</w:t>
      </w:r>
      <w:r w:rsidRPr="00F4362A">
        <w:rPr>
          <w:rFonts w:ascii="Arial" w:hAnsi="Arial"/>
        </w:rPr>
        <w:t xml:space="preserve"> All reported xeroderma pigmentosum patients with internal tumor* (continued)</w:t>
      </w:r>
    </w:p>
    <w:p w:rsidR="00542E9D" w:rsidRPr="00F4362A" w:rsidRDefault="00542E9D" w:rsidP="00542E9D">
      <w:pPr>
        <w:spacing w:line="480" w:lineRule="auto"/>
        <w:jc w:val="both"/>
      </w:pPr>
    </w:p>
    <w:p w:rsidR="00542E9D" w:rsidRPr="00F4362A" w:rsidRDefault="00542E9D" w:rsidP="00542E9D">
      <w:pPr>
        <w:spacing w:line="480" w:lineRule="auto"/>
        <w:jc w:val="both"/>
      </w:pPr>
      <w:r w:rsidRPr="00F4362A">
        <w:rPr>
          <w:noProof/>
        </w:rPr>
        <w:t xml:space="preserve"> </w:t>
      </w:r>
      <w:r w:rsidRPr="00F4362A">
        <w:rPr>
          <w:noProof/>
          <w:lang w:eastAsia="en-US"/>
        </w:rPr>
        <w:drawing>
          <wp:inline distT="0" distB="0" distL="0" distR="0" wp14:anchorId="0EDBE4D1" wp14:editId="24E5CE9D">
            <wp:extent cx="5899191" cy="3753853"/>
            <wp:effectExtent l="0" t="0" r="0" b="571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05217" cy="3757687"/>
                    </a:xfrm>
                    <a:prstGeom prst="rect">
                      <a:avLst/>
                    </a:prstGeom>
                  </pic:spPr>
                </pic:pic>
              </a:graphicData>
            </a:graphic>
          </wp:inline>
        </w:drawing>
      </w:r>
    </w:p>
    <w:p w:rsidR="00542E9D" w:rsidRPr="00F4362A" w:rsidRDefault="00542E9D" w:rsidP="00542E9D">
      <w:pPr>
        <w:spacing w:line="480" w:lineRule="auto"/>
        <w:jc w:val="both"/>
      </w:pPr>
    </w:p>
    <w:p w:rsidR="00542E9D" w:rsidRPr="00F4362A" w:rsidRDefault="00542E9D" w:rsidP="00542E9D">
      <w:pPr>
        <w:spacing w:line="480" w:lineRule="auto"/>
        <w:jc w:val="both"/>
      </w:pPr>
      <w:r w:rsidRPr="00F4362A">
        <w:rPr>
          <w:noProof/>
          <w:lang w:eastAsia="en-US"/>
        </w:rPr>
        <w:drawing>
          <wp:inline distT="0" distB="0" distL="0" distR="0" wp14:anchorId="1F3428B7" wp14:editId="2F0AB97E">
            <wp:extent cx="5756910" cy="3297345"/>
            <wp:effectExtent l="0" t="0" r="8890" b="0"/>
            <wp:docPr id="1111" name="Imag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3297345"/>
                    </a:xfrm>
                    <a:prstGeom prst="rect">
                      <a:avLst/>
                    </a:prstGeom>
                    <a:noFill/>
                    <a:ln>
                      <a:noFill/>
                    </a:ln>
                  </pic:spPr>
                </pic:pic>
              </a:graphicData>
            </a:graphic>
          </wp:inline>
        </w:drawing>
      </w:r>
    </w:p>
    <w:p w:rsidR="00542E9D" w:rsidRPr="00F4362A" w:rsidRDefault="00542E9D" w:rsidP="00542E9D">
      <w:pPr>
        <w:spacing w:line="480" w:lineRule="auto"/>
        <w:jc w:val="both"/>
        <w:rPr>
          <w:rFonts w:ascii="Arial" w:hAnsi="Arial"/>
          <w:b/>
        </w:rPr>
      </w:pPr>
    </w:p>
    <w:p w:rsidR="00542E9D" w:rsidRPr="00F4362A" w:rsidRDefault="00542E9D" w:rsidP="00542E9D">
      <w:pPr>
        <w:spacing w:line="480" w:lineRule="auto"/>
        <w:jc w:val="both"/>
        <w:rPr>
          <w:rFonts w:ascii="Arial" w:hAnsi="Arial"/>
          <w:b/>
        </w:rPr>
      </w:pPr>
    </w:p>
    <w:p w:rsidR="00542E9D" w:rsidRPr="00F4362A" w:rsidRDefault="00542E9D" w:rsidP="00542E9D">
      <w:pPr>
        <w:spacing w:line="480" w:lineRule="auto"/>
        <w:jc w:val="both"/>
        <w:rPr>
          <w:rFonts w:ascii="Arial" w:hAnsi="Arial"/>
        </w:rPr>
      </w:pPr>
      <w:r w:rsidRPr="00F4362A">
        <w:rPr>
          <w:rFonts w:ascii="Arial" w:hAnsi="Arial"/>
          <w:b/>
        </w:rPr>
        <w:t>Table 3.</w:t>
      </w:r>
      <w:r w:rsidRPr="00F4362A">
        <w:rPr>
          <w:rFonts w:ascii="Arial" w:hAnsi="Arial"/>
        </w:rPr>
        <w:t xml:space="preserve"> All reported xeroderma pigmentosum patients with internal tumor* (continued)</w:t>
      </w:r>
    </w:p>
    <w:p w:rsidR="00542E9D" w:rsidRPr="00F4362A" w:rsidRDefault="00542E9D" w:rsidP="00542E9D">
      <w:pPr>
        <w:spacing w:line="480" w:lineRule="auto"/>
        <w:jc w:val="both"/>
      </w:pPr>
    </w:p>
    <w:p w:rsidR="00542E9D" w:rsidRPr="00F4362A" w:rsidRDefault="00542E9D" w:rsidP="00542E9D">
      <w:pPr>
        <w:spacing w:line="480" w:lineRule="auto"/>
        <w:jc w:val="both"/>
      </w:pPr>
      <w:r w:rsidRPr="00F4362A">
        <w:rPr>
          <w:noProof/>
          <w:lang w:eastAsia="en-US"/>
        </w:rPr>
        <w:drawing>
          <wp:inline distT="0" distB="0" distL="0" distR="0" wp14:anchorId="497AD56A" wp14:editId="085A17A8">
            <wp:extent cx="5756910" cy="2882899"/>
            <wp:effectExtent l="0" t="0" r="8890" b="0"/>
            <wp:docPr id="1112" name="Imag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2882899"/>
                    </a:xfrm>
                    <a:prstGeom prst="rect">
                      <a:avLst/>
                    </a:prstGeom>
                    <a:noFill/>
                    <a:ln>
                      <a:noFill/>
                    </a:ln>
                  </pic:spPr>
                </pic:pic>
              </a:graphicData>
            </a:graphic>
          </wp:inline>
        </w:drawing>
      </w:r>
    </w:p>
    <w:p w:rsidR="00542E9D" w:rsidRPr="00F4362A" w:rsidRDefault="00542E9D" w:rsidP="00542E9D">
      <w:pPr>
        <w:spacing w:line="480" w:lineRule="auto"/>
        <w:jc w:val="both"/>
        <w:rPr>
          <w:rFonts w:ascii="Arial" w:hAnsi="Arial" w:cs="Arial"/>
          <w:sz w:val="22"/>
        </w:rPr>
      </w:pPr>
      <w:r w:rsidRPr="00F4362A">
        <w:rPr>
          <w:rFonts w:ascii="Arial" w:hAnsi="Arial" w:cs="Arial"/>
          <w:sz w:val="22"/>
        </w:rPr>
        <w:lastRenderedPageBreak/>
        <w:t>Abbreviations: HSCT, hematopoietic stem cell transplant; RAEB, refractory anemia with excess of blasts; MDS, myelodysplasia (previously called RAEB); AML, acute myeloid leukemia; ALL, acute lymphoblastic leukemia; NR, not reported.</w:t>
      </w:r>
    </w:p>
    <w:p w:rsidR="00542E9D" w:rsidRPr="00F4362A" w:rsidRDefault="00542E9D" w:rsidP="00542E9D">
      <w:pPr>
        <w:spacing w:line="480" w:lineRule="auto"/>
        <w:jc w:val="both"/>
        <w:rPr>
          <w:rFonts w:ascii="Arial" w:hAnsi="Arial" w:cs="Arial"/>
          <w:sz w:val="22"/>
        </w:rPr>
      </w:pPr>
      <w:r w:rsidRPr="00F4362A">
        <w:rPr>
          <w:rFonts w:ascii="Arial" w:hAnsi="Arial" w:cs="Arial"/>
        </w:rPr>
        <w:t>*B</w:t>
      </w:r>
      <w:r w:rsidRPr="00F4362A">
        <w:rPr>
          <w:rFonts w:ascii="Arial" w:hAnsi="Arial" w:cs="Arial"/>
          <w:sz w:val="22"/>
        </w:rPr>
        <w:t>y definition, internal tumors are all tumors except skin tumors (Basal Cell Carcinoma, Squamous Cell Carcinoma, malignant melanoma) and their metastases as well as cutaneous angiosarcoma. We have excluded tongue and lip tumors, which are essentially caused by sun exposure in XP patients.</w:t>
      </w:r>
    </w:p>
    <w:p w:rsidR="00542E9D" w:rsidRPr="00F4362A" w:rsidRDefault="00542E9D" w:rsidP="00542E9D">
      <w:pPr>
        <w:spacing w:line="480" w:lineRule="auto"/>
        <w:jc w:val="both"/>
        <w:rPr>
          <w:rFonts w:ascii="Arial" w:hAnsi="Arial" w:cs="Arial"/>
          <w:sz w:val="22"/>
        </w:rPr>
      </w:pPr>
      <w:r w:rsidRPr="00F4362A">
        <w:rPr>
          <w:rFonts w:ascii="Arial" w:hAnsi="Arial"/>
        </w:rPr>
        <w:t>†T</w:t>
      </w:r>
      <w:r w:rsidRPr="00F4362A">
        <w:rPr>
          <w:rFonts w:ascii="Arial" w:hAnsi="Arial" w:cs="Arial"/>
          <w:sz w:val="22"/>
        </w:rPr>
        <w:t>he tumor type</w:t>
      </w:r>
      <w:r w:rsidRPr="00F4362A">
        <w:rPr>
          <w:rFonts w:ascii="Arial" w:hAnsi="Arial" w:cs="Arial"/>
        </w:rPr>
        <w:t>s</w:t>
      </w:r>
      <w:r w:rsidRPr="00F4362A">
        <w:rPr>
          <w:rFonts w:ascii="Arial" w:hAnsi="Arial" w:cs="Arial"/>
          <w:sz w:val="22"/>
        </w:rPr>
        <w:t xml:space="preserve"> </w:t>
      </w:r>
      <w:r w:rsidRPr="00F4362A">
        <w:rPr>
          <w:rFonts w:ascii="Arial" w:hAnsi="Arial" w:cs="Arial"/>
        </w:rPr>
        <w:t>are</w:t>
      </w:r>
      <w:r w:rsidRPr="00F4362A">
        <w:rPr>
          <w:rFonts w:ascii="Arial" w:hAnsi="Arial" w:cs="Arial"/>
          <w:sz w:val="22"/>
        </w:rPr>
        <w:t xml:space="preserve"> given as reported in the original publications.</w:t>
      </w:r>
    </w:p>
    <w:p w:rsidR="00542E9D" w:rsidRPr="00F4362A" w:rsidRDefault="00542E9D" w:rsidP="00542E9D">
      <w:pPr>
        <w:spacing w:line="480" w:lineRule="auto"/>
        <w:jc w:val="both"/>
        <w:rPr>
          <w:rFonts w:ascii="Arial" w:hAnsi="Arial" w:cs="Arial"/>
        </w:rPr>
      </w:pPr>
      <w:r w:rsidRPr="00F4362A">
        <w:rPr>
          <w:rFonts w:ascii="Arial" w:hAnsi="Arial"/>
        </w:rPr>
        <w:t>‡W</w:t>
      </w:r>
      <w:r w:rsidRPr="00F4362A">
        <w:rPr>
          <w:rFonts w:ascii="Arial" w:hAnsi="Arial" w:cs="Arial"/>
          <w:sz w:val="22"/>
        </w:rPr>
        <w:t>e called “Med Basin” XP patients originated from the south part of the Mediterranean see, characterized by early skin cancer development</w:t>
      </w:r>
      <w:r w:rsidRPr="00F4362A">
        <w:rPr>
          <w:rFonts w:ascii="Arial" w:hAnsi="Arial" w:cs="Arial"/>
        </w:rPr>
        <w:t xml:space="preserve"> </w:t>
      </w:r>
      <w:r w:rsidRPr="00F4362A">
        <w:rPr>
          <w:rFonts w:ascii="Arial" w:hAnsi="Arial" w:cs="Arial"/>
          <w:sz w:val="22"/>
        </w:rPr>
        <w:t xml:space="preserve">and an absence of neurological deterioration. These patients probably belong to the XP group C and have all chance to exhibit the North African </w:t>
      </w:r>
      <w:r w:rsidRPr="00F4362A">
        <w:rPr>
          <w:rFonts w:ascii="Arial" w:hAnsi="Arial" w:cs="Arial"/>
          <w:i/>
          <w:sz w:val="22"/>
        </w:rPr>
        <w:t>XPC</w:t>
      </w:r>
      <w:r w:rsidRPr="00F4362A">
        <w:rPr>
          <w:rFonts w:ascii="Arial" w:hAnsi="Arial" w:cs="Arial"/>
          <w:sz w:val="22"/>
        </w:rPr>
        <w:t xml:space="preserve"> founder mutation described as “delTG” </w:t>
      </w:r>
      <w:r w:rsidRPr="00F4362A">
        <w:rPr>
          <w:rFonts w:ascii="Arial" w:hAnsi="Arial" w:cs="Arial"/>
        </w:rPr>
        <w:t>(see below and [13]).</w:t>
      </w:r>
    </w:p>
    <w:p w:rsidR="00542E9D" w:rsidRPr="00F4362A" w:rsidRDefault="00542E9D" w:rsidP="00542E9D">
      <w:pPr>
        <w:spacing w:line="480" w:lineRule="auto"/>
        <w:jc w:val="both"/>
        <w:rPr>
          <w:rFonts w:ascii="Arial" w:hAnsi="Arial" w:cs="Arial"/>
          <w:sz w:val="22"/>
        </w:rPr>
      </w:pPr>
      <w:r w:rsidRPr="00F4362A">
        <w:rPr>
          <w:rFonts w:ascii="Arial" w:hAnsi="Arial" w:cs="Arial"/>
        </w:rPr>
        <w:t>$T</w:t>
      </w:r>
      <w:r w:rsidRPr="00F4362A">
        <w:rPr>
          <w:rFonts w:ascii="Arial" w:hAnsi="Arial" w:cs="Arial"/>
          <w:sz w:val="22"/>
        </w:rPr>
        <w:t>his patient was described as De Sanctis-Cacchione syndrome, which is mainly associated with</w:t>
      </w:r>
      <w:r w:rsidRPr="00F4362A">
        <w:rPr>
          <w:rFonts w:ascii="Arial" w:hAnsi="Arial" w:cs="Arial"/>
          <w:i/>
          <w:sz w:val="22"/>
        </w:rPr>
        <w:t xml:space="preserve"> XPA</w:t>
      </w:r>
      <w:r w:rsidRPr="00F4362A">
        <w:rPr>
          <w:rFonts w:ascii="Arial" w:hAnsi="Arial" w:cs="Arial"/>
          <w:sz w:val="22"/>
        </w:rPr>
        <w:t xml:space="preserve"> mutations but can be eventually mistaken with XP-D patient.</w:t>
      </w:r>
    </w:p>
    <w:p w:rsidR="00542E9D" w:rsidRPr="00F4362A" w:rsidRDefault="00542E9D" w:rsidP="00542E9D">
      <w:pPr>
        <w:spacing w:line="480" w:lineRule="auto"/>
        <w:jc w:val="both"/>
        <w:rPr>
          <w:rFonts w:ascii="Arial" w:hAnsi="Arial" w:cs="Arial"/>
          <w:sz w:val="22"/>
        </w:rPr>
      </w:pPr>
      <w:r w:rsidRPr="00F4362A">
        <w:rPr>
          <w:rFonts w:ascii="Arial" w:hAnsi="Arial" w:cs="Arial"/>
        </w:rPr>
        <w:t>||N</w:t>
      </w:r>
      <w:r w:rsidRPr="00F4362A">
        <w:rPr>
          <w:rFonts w:ascii="Arial" w:hAnsi="Arial" w:cs="Arial"/>
          <w:sz w:val="22"/>
        </w:rPr>
        <w:t>R: not reported. At the time of the publications, XP genes were unknown</w:t>
      </w:r>
    </w:p>
    <w:p w:rsidR="00542E9D" w:rsidRPr="00F4362A" w:rsidRDefault="00542E9D" w:rsidP="00542E9D">
      <w:pPr>
        <w:spacing w:line="480" w:lineRule="auto"/>
        <w:jc w:val="both"/>
        <w:rPr>
          <w:rFonts w:ascii="Arial" w:hAnsi="Arial" w:cs="Arial"/>
          <w:sz w:val="22"/>
        </w:rPr>
      </w:pPr>
      <w:r w:rsidRPr="00F4362A">
        <w:rPr>
          <w:rFonts w:ascii="Arial" w:hAnsi="Arial" w:cs="Arial"/>
        </w:rPr>
        <w:t>¶T</w:t>
      </w:r>
      <w:r w:rsidRPr="00F4362A">
        <w:rPr>
          <w:rFonts w:ascii="Arial" w:hAnsi="Arial" w:cs="Arial"/>
          <w:sz w:val="22"/>
        </w:rPr>
        <w:t>hese patients were seen at NIH (Bethesda, United States) by the group of K.</w:t>
      </w:r>
      <w:r w:rsidRPr="00F4362A">
        <w:rPr>
          <w:rFonts w:ascii="Arial" w:hAnsi="Arial" w:cs="Arial"/>
        </w:rPr>
        <w:t>H.</w:t>
      </w:r>
      <w:r w:rsidRPr="00F4362A">
        <w:rPr>
          <w:rFonts w:ascii="Arial" w:hAnsi="Arial" w:cs="Arial"/>
          <w:sz w:val="22"/>
        </w:rPr>
        <w:t xml:space="preserve"> Kraemer. They are probably of American origins but this is not explicitly indicated in the publications.</w:t>
      </w:r>
    </w:p>
    <w:p w:rsidR="00542E9D" w:rsidRPr="00F4362A" w:rsidRDefault="00542E9D" w:rsidP="00542E9D">
      <w:pPr>
        <w:spacing w:line="480" w:lineRule="auto"/>
        <w:jc w:val="both"/>
        <w:rPr>
          <w:rFonts w:ascii="Arial" w:hAnsi="Arial" w:cs="Arial"/>
          <w:sz w:val="22"/>
        </w:rPr>
      </w:pPr>
      <w:r w:rsidRPr="00F4362A">
        <w:rPr>
          <w:rFonts w:ascii="Arial" w:hAnsi="Arial" w:cs="Arial"/>
        </w:rPr>
        <w:t>#d</w:t>
      </w:r>
      <w:r w:rsidRPr="00F4362A">
        <w:rPr>
          <w:rFonts w:ascii="Arial" w:hAnsi="Arial" w:cs="Arial"/>
          <w:sz w:val="22"/>
        </w:rPr>
        <w:t>elTG refers to the founder mutation found in the vast majority of XP-C patients from North Africa (Morocco, Algeria, Tunisia, Libya): c.1643_1644delTG; p.Val548AlafsX572 [9, 13]</w:t>
      </w:r>
      <w:r w:rsidRPr="00F4362A">
        <w:rPr>
          <w:rFonts w:ascii="Arial" w:hAnsi="Arial" w:cs="Arial"/>
        </w:rPr>
        <w:t>.</w:t>
      </w:r>
    </w:p>
    <w:p w:rsidR="00542E9D" w:rsidRPr="00F4362A" w:rsidRDefault="00542E9D" w:rsidP="00542E9D">
      <w:pPr>
        <w:spacing w:line="480" w:lineRule="auto"/>
        <w:jc w:val="both"/>
        <w:rPr>
          <w:rFonts w:ascii="Arial" w:hAnsi="Arial" w:cs="Arial"/>
          <w:sz w:val="22"/>
        </w:rPr>
      </w:pPr>
      <w:r w:rsidRPr="00F4362A">
        <w:rPr>
          <w:rFonts w:ascii="Arial" w:hAnsi="Arial" w:cs="Arial"/>
        </w:rPr>
        <w:t>**S</w:t>
      </w:r>
      <w:r w:rsidRPr="00F4362A">
        <w:rPr>
          <w:rFonts w:ascii="Arial" w:hAnsi="Arial" w:cs="Arial"/>
          <w:sz w:val="22"/>
        </w:rPr>
        <w:t>isters.</w:t>
      </w:r>
    </w:p>
    <w:p w:rsidR="00542E9D" w:rsidRPr="00F4362A" w:rsidRDefault="00542E9D" w:rsidP="00542E9D">
      <w:pPr>
        <w:spacing w:line="480" w:lineRule="auto"/>
        <w:jc w:val="both"/>
        <w:rPr>
          <w:rFonts w:ascii="Arial" w:hAnsi="Arial" w:cs="Arial"/>
          <w:sz w:val="22"/>
        </w:rPr>
      </w:pPr>
      <w:r w:rsidRPr="00F4362A">
        <w:rPr>
          <w:rFonts w:ascii="Arial" w:hAnsi="Arial" w:cs="Arial"/>
        </w:rPr>
        <w:t>‡M</w:t>
      </w:r>
      <w:r w:rsidRPr="00F4362A">
        <w:rPr>
          <w:rFonts w:ascii="Arial" w:hAnsi="Arial" w:cs="Arial"/>
          <w:sz w:val="22"/>
        </w:rPr>
        <w:t>onozygotic twin</w:t>
      </w:r>
      <w:r w:rsidRPr="00F4362A">
        <w:rPr>
          <w:rFonts w:ascii="Arial" w:hAnsi="Arial" w:cs="Arial"/>
        </w:rPr>
        <w:t>s</w:t>
      </w:r>
      <w:r w:rsidRPr="00F4362A">
        <w:rPr>
          <w:rFonts w:ascii="Arial" w:hAnsi="Arial" w:cs="Arial"/>
          <w:sz w:val="22"/>
        </w:rPr>
        <w:t>.</w:t>
      </w:r>
    </w:p>
    <w:p w:rsidR="00542E9D" w:rsidRPr="00F4362A" w:rsidRDefault="00542E9D" w:rsidP="00542E9D">
      <w:pPr>
        <w:spacing w:line="480" w:lineRule="auto"/>
        <w:jc w:val="both"/>
        <w:rPr>
          <w:rFonts w:ascii="Arial" w:hAnsi="Arial" w:cs="Arial"/>
          <w:sz w:val="22"/>
        </w:rPr>
      </w:pPr>
      <w:r w:rsidRPr="00F4362A">
        <w:rPr>
          <w:rFonts w:ascii="Arial" w:hAnsi="Arial" w:cs="Arial"/>
        </w:rPr>
        <w:t>$$T</w:t>
      </w:r>
      <w:r w:rsidRPr="00F4362A">
        <w:rPr>
          <w:rFonts w:ascii="Arial" w:hAnsi="Arial" w:cs="Arial"/>
          <w:sz w:val="22"/>
        </w:rPr>
        <w:t>his patient developed two different unrelated internal tumors.</w:t>
      </w:r>
    </w:p>
    <w:p w:rsidR="00542E9D" w:rsidRPr="00F4362A" w:rsidRDefault="00542E9D" w:rsidP="00542E9D">
      <w:pPr>
        <w:spacing w:line="480" w:lineRule="auto"/>
        <w:jc w:val="both"/>
        <w:rPr>
          <w:rFonts w:ascii="Arial" w:hAnsi="Arial" w:cs="Arial"/>
          <w:sz w:val="22"/>
        </w:rPr>
      </w:pPr>
      <w:r w:rsidRPr="00F4362A">
        <w:rPr>
          <w:rFonts w:ascii="Arial" w:hAnsi="Arial" w:cs="Arial"/>
        </w:rPr>
        <w:t>|| ||M</w:t>
      </w:r>
      <w:r w:rsidRPr="00F4362A">
        <w:rPr>
          <w:rFonts w:ascii="Arial" w:hAnsi="Arial" w:cs="Arial"/>
          <w:sz w:val="22"/>
        </w:rPr>
        <w:t>onozygotic twin</w:t>
      </w:r>
      <w:r w:rsidRPr="00F4362A">
        <w:rPr>
          <w:rFonts w:ascii="Arial" w:hAnsi="Arial" w:cs="Arial"/>
        </w:rPr>
        <w:t>s</w:t>
      </w:r>
      <w:r w:rsidRPr="00F4362A">
        <w:rPr>
          <w:rFonts w:ascii="Arial" w:hAnsi="Arial" w:cs="Arial"/>
          <w:sz w:val="22"/>
        </w:rPr>
        <w:t>.</w:t>
      </w:r>
    </w:p>
    <w:p w:rsidR="00542E9D" w:rsidRPr="00F4362A" w:rsidRDefault="00542E9D" w:rsidP="00542E9D">
      <w:pPr>
        <w:spacing w:line="480" w:lineRule="auto"/>
        <w:jc w:val="both"/>
        <w:rPr>
          <w:rFonts w:ascii="Arial" w:hAnsi="Arial" w:cs="Arial"/>
        </w:rPr>
      </w:pPr>
      <w:bookmarkStart w:id="0" w:name="_GoBack"/>
      <w:r w:rsidRPr="00F4362A">
        <w:rPr>
          <w:rFonts w:ascii="Arial" w:hAnsi="Arial" w:cs="Arial"/>
        </w:rPr>
        <w:lastRenderedPageBreak/>
        <w:t>¶¶T</w:t>
      </w:r>
      <w:r w:rsidRPr="00F4362A">
        <w:rPr>
          <w:rFonts w:ascii="Arial" w:hAnsi="Arial" w:cs="Arial"/>
          <w:sz w:val="22"/>
        </w:rPr>
        <w:t xml:space="preserve">he total number of patients indicated here </w:t>
      </w:r>
      <w:r w:rsidRPr="00F4362A">
        <w:rPr>
          <w:rFonts w:ascii="Arial" w:hAnsi="Arial" w:cs="Arial"/>
          <w:sz w:val="22"/>
          <w:szCs w:val="22"/>
        </w:rPr>
        <w:t>(176)</w:t>
      </w:r>
      <w:r w:rsidRPr="00F4362A">
        <w:rPr>
          <w:rFonts w:ascii="Arial" w:hAnsi="Arial" w:cs="Arial"/>
          <w:sz w:val="22"/>
        </w:rPr>
        <w:t xml:space="preserve"> corresponds to 161 XP patients described </w:t>
      </w:r>
      <w:bookmarkEnd w:id="0"/>
      <w:r w:rsidRPr="00F4362A">
        <w:rPr>
          <w:rFonts w:ascii="Arial" w:hAnsi="Arial" w:cs="Arial"/>
          <w:sz w:val="22"/>
        </w:rPr>
        <w:t>already by us</w:t>
      </w:r>
      <w:r w:rsidRPr="00F4362A">
        <w:rPr>
          <w:rFonts w:ascii="Arial" w:hAnsi="Arial" w:cs="Arial"/>
        </w:rPr>
        <w:t xml:space="preserve"> (42)</w:t>
      </w:r>
      <w:r w:rsidRPr="00F4362A">
        <w:rPr>
          <w:rFonts w:ascii="Arial" w:hAnsi="Arial" w:cs="Arial"/>
          <w:sz w:val="22"/>
        </w:rPr>
        <w:t xml:space="preserve"> where only hematological malignancies were reported, but where some of these XP patients had also other internal tumors but not reported, plus 1</w:t>
      </w:r>
      <w:r w:rsidRPr="00F4362A">
        <w:rPr>
          <w:rFonts w:ascii="Arial" w:hAnsi="Arial" w:cs="Arial"/>
        </w:rPr>
        <w:t>5</w:t>
      </w:r>
      <w:r w:rsidRPr="00F4362A">
        <w:rPr>
          <w:rFonts w:ascii="Arial" w:hAnsi="Arial" w:cs="Arial"/>
          <w:sz w:val="22"/>
        </w:rPr>
        <w:t xml:space="preserve"> new XP patients since this last publication.</w:t>
      </w:r>
    </w:p>
    <w:p w:rsidR="00542E9D" w:rsidRPr="00F4362A" w:rsidRDefault="00542E9D" w:rsidP="00542E9D">
      <w:pPr>
        <w:spacing w:line="480" w:lineRule="auto"/>
        <w:jc w:val="both"/>
        <w:rPr>
          <w:rFonts w:ascii="Arial" w:hAnsi="Arial" w:cs="Arial"/>
          <w:sz w:val="22"/>
        </w:rPr>
      </w:pPr>
      <w:r w:rsidRPr="00F4362A">
        <w:rPr>
          <w:rFonts w:ascii="Arial" w:hAnsi="Arial" w:cs="Arial"/>
        </w:rPr>
        <w:t>##The NIH American cohort of 137 XP patients has 14 individuals with internal tumors. Thirteen were already published and the publications are indicated in the table. One new patient with lung cancer was indicated to us by Dr. K.H. Kraemer and his group as a personal communication.</w:t>
      </w:r>
    </w:p>
    <w:p w:rsidR="00000F57" w:rsidRDefault="00542E9D"/>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E9D"/>
    <w:rsid w:val="0007695B"/>
    <w:rsid w:val="00542E9D"/>
    <w:rsid w:val="005615C6"/>
    <w:rsid w:val="007D4061"/>
    <w:rsid w:val="008B4EED"/>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D7BD80-1B55-4AE8-ADEF-CC005951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E9D"/>
    <w:pPr>
      <w:spacing w:after="0" w:line="240" w:lineRule="auto"/>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537</Words>
  <Characters>3064</Characters>
  <Application>Microsoft Office Word</Application>
  <DocSecurity>0</DocSecurity>
  <Lines>25</Lines>
  <Paragraphs>7</Paragraphs>
  <ScaleCrop>false</ScaleCrop>
  <Company>Springer Nature IT</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2021-12-21T05:22:00Z</dcterms:created>
  <dcterms:modified xsi:type="dcterms:W3CDTF">2021-12-21T05:22:00Z</dcterms:modified>
</cp:coreProperties>
</file>