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DEB" w:rsidRDefault="00A36DEB" w:rsidP="00A36DEB">
      <w:pPr>
        <w:spacing w:line="480" w:lineRule="auto"/>
        <w:jc w:val="both"/>
      </w:pPr>
      <w:r>
        <w:t xml:space="preserve">Table 1. Clinical features of probands and molecular characterization of their variants in the </w:t>
      </w:r>
      <w:r>
        <w:rPr>
          <w:i/>
        </w:rPr>
        <w:t>MED13</w:t>
      </w:r>
      <w:r>
        <w:t xml:space="preserve"> gene. </w:t>
      </w:r>
    </w:p>
    <w:tbl>
      <w:tblPr>
        <w:tblW w:w="1017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4"/>
        <w:gridCol w:w="2055"/>
        <w:gridCol w:w="2065"/>
        <w:gridCol w:w="2231"/>
        <w:gridCol w:w="2231"/>
      </w:tblGrid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Patient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A36DEB" w:rsidTr="00C039A7">
        <w:trPr>
          <w:trHeight w:val="300"/>
        </w:trPr>
        <w:tc>
          <w:tcPr>
            <w:tcW w:w="10174" w:type="dxa"/>
            <w:gridSpan w:val="5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Genetic information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Karyotype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46,XY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46,ХY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46,ХY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46,XY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arrCGH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arr(1-22)x2,(X,Y)x1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arr(1-22)x2,(X,Y)x1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arr(1-22)x2,(X,Y)x1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arr[GRCh37]17q23.1q23.2(58066792_60315303)x1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FMR1 repeat expansion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32CGG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23CGG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33CGG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N/A</w:t>
            </w:r>
          </w:p>
          <w:p w:rsidR="00A36DEB" w:rsidRDefault="00A36DEB" w:rsidP="00C039A7">
            <w:pPr>
              <w:spacing w:line="480" w:lineRule="auto"/>
              <w:jc w:val="center"/>
            </w:pP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Genetic variation (hg 19)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chr17:g.60108939_60108944del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chr17:g.60107312C&gt;T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chr17:g.60024290G&gt;T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seq[GRCh37]del(17)(q23.2)</w:t>
            </w:r>
          </w:p>
          <w:p w:rsidR="00A36DEB" w:rsidRDefault="00A36DEB" w:rsidP="00C039A7">
            <w:pPr>
              <w:spacing w:line="480" w:lineRule="auto"/>
              <w:jc w:val="center"/>
            </w:pPr>
            <w:r>
              <w:t>chr17:g.58093980_60332766del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cDNA variant (NM_005121.2)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c.875_880del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c.1072G&gt;A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c.6380C&gt;A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Transcript ablation</w:t>
            </w:r>
          </w:p>
        </w:tc>
      </w:tr>
      <w:tr w:rsidR="00A36DEB" w:rsidTr="00C039A7">
        <w:trPr>
          <w:trHeight w:val="285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Predicted protein effect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p.T292_P293del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p.Asp358Asn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p.Ser2127Ter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Product ablation</w:t>
            </w:r>
          </w:p>
        </w:tc>
      </w:tr>
      <w:tr w:rsidR="00A36DEB" w:rsidTr="00C039A7">
        <w:trPr>
          <w:trHeight w:val="525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>Predicted pathogenicity (algorithm)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 (PROVEAN)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 (FATHMM, MetaSVM)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 (VEP)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+(VEP)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Conservation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N/A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Inheritance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Maternal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  <w:rPr>
                <w:i/>
              </w:rPr>
            </w:pPr>
            <w:r>
              <w:rPr>
                <w:i/>
              </w:rPr>
              <w:t>de novo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  <w:rPr>
                <w:i/>
              </w:rPr>
            </w:pPr>
            <w:r>
              <w:rPr>
                <w:i/>
              </w:rPr>
              <w:t>de novo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  <w:rPr>
                <w:i/>
              </w:rPr>
            </w:pPr>
            <w:r>
              <w:rPr>
                <w:i/>
              </w:rPr>
              <w:t>de novo</w:t>
            </w:r>
          </w:p>
        </w:tc>
      </w:tr>
      <w:tr w:rsidR="00A36DEB" w:rsidTr="00C039A7">
        <w:trPr>
          <w:trHeight w:val="300"/>
        </w:trPr>
        <w:tc>
          <w:tcPr>
            <w:tcW w:w="10174" w:type="dxa"/>
            <w:gridSpan w:val="5"/>
          </w:tcPr>
          <w:p w:rsidR="00A36DEB" w:rsidRDefault="00A36DEB" w:rsidP="00C039A7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Clinical characterization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Gender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M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Age at last visit (years)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4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3,5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Height*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+ 3.2 SD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+ 1.0 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+ 2.6 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-0.5 SD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Weight*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+ 1.9 SD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+ 0.5 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+ 3.2 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Normal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Head circumference*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+ 2.9 SD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N/A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+ 2.2 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+0.7 SD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Intellectual Disability (ID) / Developmental Delay (DD)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DD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DD /Borderline ID (IQ 92)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ID moderate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DD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>Speech delay/disorder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Delayed expressive language, absence of phrasal speech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Delayed expressive and receptive language, expressive speech problems are more severe than receptive language, dysarthria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t>Delayed expressive and receptive language, dysarthria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t>Delayed expressive and receptive language, expressive speech problems are more severe than receptive language, absence of phrasal speech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Delayed motor development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 (walked at 15 months)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 (walked on time)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 (walked on time)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 (walked on time)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Autism spectrum disorder (ASD) / Attention deficit hyperactivity disorder (ADHD)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ASD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ASD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ASD, ADHD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ADHD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Brain MRI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N/A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 xml:space="preserve">Ventricular asymmetry, low location of the </w:t>
            </w:r>
            <w:r>
              <w:lastRenderedPageBreak/>
              <w:t>tonsils of the cerebellum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 xml:space="preserve">Zones of leukopathy and the expanded perivascular spaces In the periventricular white matter of the </w:t>
            </w:r>
            <w:r>
              <w:lastRenderedPageBreak/>
              <w:t>parieto-occipital regions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lastRenderedPageBreak/>
              <w:t>N/A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EEG abnormalities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Normal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Generalized periodic epileptiform discharges in sleep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Normal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Normal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Epilepsy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Cryptogenic Focal Epilepsy (first episode at 2 years, remission since 2017)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Eye/vision abnormalities</w:t>
            </w:r>
          </w:p>
        </w:tc>
        <w:tc>
          <w:tcPr>
            <w:tcW w:w="2054" w:type="dxa"/>
          </w:tcPr>
          <w:p w:rsidR="00A36DEB" w:rsidRDefault="00A36DEB" w:rsidP="00C03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</w:pPr>
            <w:r>
              <w:t>Normal</w:t>
            </w:r>
          </w:p>
        </w:tc>
        <w:tc>
          <w:tcPr>
            <w:tcW w:w="2065" w:type="dxa"/>
          </w:tcPr>
          <w:p w:rsidR="00A36DEB" w:rsidRDefault="00A36DEB" w:rsidP="00C039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</w:pPr>
            <w:r>
              <w:t>N/A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N/A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Hypermetropia, Astigmatism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Heart abnormalities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Incomplete blockade of the right bundle branch block, a tendency to tachycardia, normal echoCG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Normal ultrasound and ECG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Facial dysmorphic features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</w:pPr>
            <w:r>
              <w:t xml:space="preserve">Deeply set eyes, wide nose, high anterior hairline, broad and flat </w:t>
            </w:r>
            <w:r>
              <w:lastRenderedPageBreak/>
              <w:t>philtrum, pointed chin, low set ears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 xml:space="preserve">Wide nose, high anterior hairline, broad and flat philtrum, pointed </w:t>
            </w:r>
            <w:r>
              <w:lastRenderedPageBreak/>
              <w:t>chin, short palpebral fissures, thin upper lip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 xml:space="preserve">Deeply set eyes, wide nose, high anterior hairline, broad philtrum, short </w:t>
            </w:r>
            <w:r>
              <w:lastRenderedPageBreak/>
              <w:t xml:space="preserve">palpebral fissures, epicanthus depressed nasal bridge 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 xml:space="preserve">Wide nose, high anterior hairline, high forehead, broad and flat philtrum, pointed </w:t>
            </w:r>
            <w:r>
              <w:lastRenderedPageBreak/>
              <w:t>chin, low set ears, thin lips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lastRenderedPageBreak/>
              <w:t>Skin abnormalities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One cafe-au-lait spot on the side of the neck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t>Locus of depigmentation on the neck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>Chronic obstipation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Occasionally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</w:tr>
      <w:tr w:rsidR="00A36DEB" w:rsidTr="00C039A7">
        <w:trPr>
          <w:trHeight w:val="300"/>
        </w:trPr>
        <w:tc>
          <w:tcPr>
            <w:tcW w:w="1593" w:type="dxa"/>
          </w:tcPr>
          <w:p w:rsidR="00A36DEB" w:rsidRDefault="00A36DEB" w:rsidP="00C039A7">
            <w:pPr>
              <w:spacing w:line="480" w:lineRule="auto"/>
            </w:pPr>
            <w:r>
              <w:t xml:space="preserve">Other features </w:t>
            </w:r>
          </w:p>
        </w:tc>
        <w:tc>
          <w:tcPr>
            <w:tcW w:w="2054" w:type="dxa"/>
          </w:tcPr>
          <w:p w:rsidR="00A36DEB" w:rsidRDefault="00A36DEB" w:rsidP="00C039A7">
            <w:pPr>
              <w:spacing w:line="480" w:lineRule="auto"/>
              <w:jc w:val="center"/>
            </w:pPr>
            <w:r>
              <w:t>No</w:t>
            </w:r>
          </w:p>
        </w:tc>
        <w:tc>
          <w:tcPr>
            <w:tcW w:w="2065" w:type="dxa"/>
          </w:tcPr>
          <w:p w:rsidR="00A36DEB" w:rsidRDefault="00A36DEB" w:rsidP="00C039A7">
            <w:pPr>
              <w:spacing w:line="480" w:lineRule="auto"/>
            </w:pPr>
            <w:r>
              <w:t>Immunodeficiency, acquired idiopathic neutropenia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t xml:space="preserve">Camptodactyly of 5th fingers. Cone-shaped fingers </w:t>
            </w:r>
          </w:p>
        </w:tc>
        <w:tc>
          <w:tcPr>
            <w:tcW w:w="2231" w:type="dxa"/>
          </w:tcPr>
          <w:p w:rsidR="00A36DEB" w:rsidRDefault="00A36DEB" w:rsidP="00C039A7">
            <w:pPr>
              <w:spacing w:line="480" w:lineRule="auto"/>
            </w:pPr>
            <w:r>
              <w:t>Sensorineural hearing loss</w:t>
            </w:r>
          </w:p>
        </w:tc>
      </w:tr>
    </w:tbl>
    <w:p w:rsidR="00A36DEB" w:rsidRDefault="00A36DEB" w:rsidP="00A36DE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</w:pPr>
      <w:r>
        <w:t>*According to WHO Child Growth Standards 2006.</w:t>
      </w:r>
    </w:p>
    <w:p w:rsidR="000A6673" w:rsidRDefault="000A6673">
      <w:bookmarkStart w:id="0" w:name="_GoBack"/>
      <w:bookmarkEnd w:id="0"/>
    </w:p>
    <w:sectPr w:rsidR="000A6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77"/>
    <w:rsid w:val="000A6673"/>
    <w:rsid w:val="0016198D"/>
    <w:rsid w:val="003E54F6"/>
    <w:rsid w:val="00743B77"/>
    <w:rsid w:val="00A3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6AB2"/>
  <w15:chartTrackingRefBased/>
  <w15:docId w15:val="{BB0A3C21-E4FD-4B04-AF4C-070D0C89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DEB"/>
    <w:rPr>
      <w:rFonts w:ascii="Calibri" w:eastAsia="Calibri" w:hAnsi="Calibri" w:cs="Calibri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2021-09-20T05:50:00Z</dcterms:created>
  <dcterms:modified xsi:type="dcterms:W3CDTF">2021-09-20T11:07:00Z</dcterms:modified>
</cp:coreProperties>
</file>