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07" w:rsidRDefault="00794E07" w:rsidP="00794E07">
      <w:pPr>
        <w:rPr>
          <w:rFonts w:ascii="Book Antiqua" w:eastAsiaTheme="minorEastAsia" w:hAnsi="Book Antiqua" w:cs="Arial"/>
          <w:bCs/>
          <w:color w:val="000000" w:themeColor="text1"/>
          <w:kern w:val="24"/>
          <w:lang w:val="en-US" w:eastAsia="fr-FR"/>
        </w:rPr>
      </w:pPr>
      <w:r w:rsidRPr="00794E07">
        <w:rPr>
          <w:rFonts w:ascii="Book Antiqua" w:eastAsiaTheme="minorEastAsia" w:hAnsi="Book Antiqua" w:cs="Arial"/>
          <w:b/>
          <w:bCs/>
          <w:color w:val="000000" w:themeColor="text1"/>
          <w:kern w:val="24"/>
          <w:u w:val="single"/>
          <w:lang w:val="en-US" w:eastAsia="fr-FR"/>
        </w:rPr>
        <w:t>Table n°1</w:t>
      </w:r>
      <w:r w:rsidRPr="00794E07">
        <w:rPr>
          <w:rFonts w:ascii="Book Antiqua" w:eastAsiaTheme="minorEastAsia" w:hAnsi="Book Antiqua" w:cs="Arial"/>
          <w:bCs/>
          <w:color w:val="000000" w:themeColor="text1"/>
          <w:kern w:val="24"/>
          <w:lang w:val="en-US" w:eastAsia="fr-FR"/>
        </w:rPr>
        <w:t xml:space="preserve"> Clinical and laboratory features of the study cohort at the time of MPN diagnosis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701"/>
        <w:gridCol w:w="850"/>
        <w:gridCol w:w="709"/>
      </w:tblGrid>
      <w:tr w:rsidR="00794E07" w:rsidRPr="007755C4" w:rsidTr="00E65BC0">
        <w:trPr>
          <w:trHeight w:val="5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  <w:t>Main characteristics at diagnosis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All patients </w:t>
            </w: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  <w:br/>
              <w:t>n=117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PV patients </w:t>
            </w: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  <w:br/>
              <w:t>n=76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ET patients </w:t>
            </w: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  <w:br/>
              <w:t>n=41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  <w:t>p</w:t>
            </w: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vertAlign w:val="superscript"/>
                <w:lang w:val="en-GB" w:eastAsia="fr-FR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  <w:t>p</w:t>
            </w: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vertAlign w:val="superscript"/>
                <w:lang w:val="en-GB" w:eastAsia="fr-FR"/>
              </w:rPr>
              <w:t>b</w:t>
            </w:r>
            <w:proofErr w:type="spellEnd"/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Female, n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63 (53.8)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37 (48.7)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26 (63.4)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/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Age, median (IQR)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64.0 (51.0-73.0)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66.5 (60.0-74.3)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51.0 (38.0-72.0)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/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Presence of JAK2V617F mutation, n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113 (97.4)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75 (100.0)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38 (92.7)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/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 xml:space="preserve">JAK2V617F allele burden, median (IQR)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32.0 (15.0-61.0)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39.0 (22.5-71.0)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13.0 (6.0-22.0)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&lt;0.0001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/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  <w:t>Blood count, median (IQR)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 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Hemoglobin</w:t>
            </w:r>
            <w:proofErr w:type="spellEnd"/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, g/</w:t>
            </w:r>
            <w:proofErr w:type="spellStart"/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dL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16.2 (14.7-17.7)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17.0 (15.9-18.5)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14.3 (13.5-15.2)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&lt;0.0001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/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Hematocrit</w:t>
            </w:r>
            <w:proofErr w:type="spellEnd"/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49.6 (45.3-54.9)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53.0 (49.0-57.6)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43.9 (41.5-45.5)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&lt;0.0001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/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Platelets, G/L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536.0 (358.0-679.0)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430.0 (283.0-562.0)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659.0 (567.0-815.0)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&lt;0.0001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/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Leukocytes, G/L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10.3 (8.4-13.6)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10.5 (8.4-13.9)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9.7 (8.4-11.0)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/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 xml:space="preserve">    Neutrophils, G/L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7.7 (5.5-10.1)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8.2 (6.1-11.0)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6.5 (5.2-8.2)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/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 xml:space="preserve">    Monocytes, G/L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0.6 (0.4-0.9)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0.6 (0.4-0.9)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0.6 (0.4-1.0)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/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 xml:space="preserve">    Lymphocytes, G/L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1.7 (1.2-2.3)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1.6 (1.0-2.2)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2.0 (1.6-2.6)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/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GB" w:eastAsia="fr-FR"/>
              </w:rPr>
              <w:t>VTE location, n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 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 xml:space="preserve">    Deep vein thrombosis, lower limb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53 (45.3)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38 (50.0)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15 (36.6)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0.23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 xml:space="preserve">    Pulmonary embolism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37 (31.6)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25 (32.9)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12 (29.3)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0.85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 xml:space="preserve">    Deep vein thrombosis, upper limb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6 (5.1)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5 (6.6)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 (2.4)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0.66</w:t>
            </w:r>
          </w:p>
        </w:tc>
      </w:tr>
      <w:tr w:rsidR="00794E07" w:rsidRPr="007755C4" w:rsidTr="00E65BC0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 xml:space="preserve">    Cerebral venous thrombosis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21 (17.9)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8 (10.5)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13 (31.7)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07" w:rsidRPr="00794E07" w:rsidRDefault="00794E07" w:rsidP="00E65BC0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07" w:rsidRPr="00794E07" w:rsidRDefault="00794E07" w:rsidP="00E65BC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</w:pPr>
            <w:r w:rsidRPr="00794E07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GB" w:eastAsia="fr-FR"/>
              </w:rPr>
              <w:t>0.01</w:t>
            </w:r>
          </w:p>
        </w:tc>
      </w:tr>
    </w:tbl>
    <w:p w:rsidR="00794E07" w:rsidRPr="00794E07" w:rsidRDefault="00794E07" w:rsidP="00794E07">
      <w:pPr>
        <w:rPr>
          <w:rFonts w:ascii="Book Antiqua" w:eastAsiaTheme="minorEastAsia" w:hAnsi="Book Antiqua" w:cs="Arial"/>
          <w:bCs/>
          <w:color w:val="000000" w:themeColor="text1"/>
          <w:kern w:val="24"/>
          <w:lang w:val="en-US" w:eastAsia="fr-FR"/>
        </w:rPr>
      </w:pPr>
    </w:p>
    <w:p w:rsidR="00794E07" w:rsidRPr="00794E07" w:rsidRDefault="00794E07" w:rsidP="00794E07">
      <w:pPr>
        <w:spacing w:after="0" w:line="240" w:lineRule="auto"/>
        <w:ind w:left="284"/>
        <w:jc w:val="both"/>
        <w:rPr>
          <w:rFonts w:ascii="Book Antiqua" w:eastAsia="Times New Roman" w:hAnsi="Book Antiqua" w:cs="Arial"/>
          <w:color w:val="000000"/>
          <w:kern w:val="24"/>
          <w:sz w:val="20"/>
          <w:szCs w:val="20"/>
          <w:lang w:val="en-US" w:eastAsia="fr-FR"/>
        </w:rPr>
      </w:pPr>
      <w:r w:rsidRPr="00794E07">
        <w:rPr>
          <w:rFonts w:ascii="Book Antiqua" w:eastAsia="Times New Roman" w:hAnsi="Book Antiqua" w:cs="Arial"/>
          <w:color w:val="000000"/>
          <w:kern w:val="24"/>
          <w:sz w:val="20"/>
          <w:szCs w:val="20"/>
          <w:lang w:val="en-US" w:eastAsia="fr-FR"/>
        </w:rPr>
        <w:t xml:space="preserve">Abbreviations: PV: Polycythemia Vera, ET: Essential </w:t>
      </w:r>
      <w:proofErr w:type="spellStart"/>
      <w:r w:rsidRPr="00794E07">
        <w:rPr>
          <w:rFonts w:ascii="Book Antiqua" w:eastAsia="Times New Roman" w:hAnsi="Book Antiqua" w:cs="Arial"/>
          <w:color w:val="000000"/>
          <w:kern w:val="24"/>
          <w:sz w:val="20"/>
          <w:szCs w:val="20"/>
          <w:lang w:val="en-US" w:eastAsia="fr-FR"/>
        </w:rPr>
        <w:t>thrombocythemia</w:t>
      </w:r>
      <w:proofErr w:type="spellEnd"/>
      <w:r w:rsidRPr="00794E07">
        <w:rPr>
          <w:rFonts w:ascii="Book Antiqua" w:eastAsia="Times New Roman" w:hAnsi="Book Antiqua" w:cs="Arial"/>
          <w:color w:val="000000"/>
          <w:kern w:val="24"/>
          <w:sz w:val="20"/>
          <w:szCs w:val="20"/>
          <w:lang w:val="en-US" w:eastAsia="fr-FR"/>
        </w:rPr>
        <w:t xml:space="preserve">, VTE: Venous Thromboembolism. </w:t>
      </w:r>
      <w:r w:rsidRPr="00794E07">
        <w:rPr>
          <w:rFonts w:ascii="Book Antiqua" w:eastAsia="Calibri" w:hAnsi="Book Antiqua" w:cs="Arial"/>
          <w:sz w:val="20"/>
          <w:szCs w:val="20"/>
          <w:lang w:val="en-US"/>
        </w:rPr>
        <w:t>IQR: interquartile range</w:t>
      </w:r>
    </w:p>
    <w:p w:rsidR="00794E07" w:rsidRPr="00794E07" w:rsidRDefault="00794E07" w:rsidP="00794E07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  <w:r w:rsidRPr="00794E07">
        <w:rPr>
          <w:rFonts w:ascii="Book Antiqua" w:eastAsia="Calibri" w:hAnsi="Book Antiqua" w:cs="Arial"/>
          <w:sz w:val="20"/>
          <w:szCs w:val="20"/>
          <w:vertAlign w:val="superscript"/>
          <w:lang w:val="en-US"/>
        </w:rPr>
        <w:t xml:space="preserve"> </w:t>
      </w:r>
      <w:proofErr w:type="gramStart"/>
      <w:r w:rsidRPr="00794E07">
        <w:rPr>
          <w:rFonts w:ascii="Book Antiqua" w:eastAsia="Calibri" w:hAnsi="Book Antiqua" w:cs="Arial"/>
          <w:sz w:val="20"/>
          <w:szCs w:val="20"/>
          <w:vertAlign w:val="superscript"/>
          <w:lang w:val="en-US"/>
        </w:rPr>
        <w:t>a</w:t>
      </w:r>
      <w:proofErr w:type="gramEnd"/>
      <w:r w:rsidRPr="00794E07">
        <w:rPr>
          <w:rFonts w:ascii="Book Antiqua" w:eastAsia="Calibri" w:hAnsi="Book Antiqua" w:cs="Arial"/>
          <w:sz w:val="20"/>
          <w:szCs w:val="20"/>
          <w:lang w:val="en-US"/>
        </w:rPr>
        <w:t xml:space="preserve"> PV vs. TE patients : Mann–Whitney test for quantitative variables; χ2 test or Fisher's exact test for qualitative  variables.</w:t>
      </w:r>
      <w:r w:rsidRPr="00794E07">
        <w:rPr>
          <w:rFonts w:ascii="Book Antiqua" w:hAnsi="Book Antiqua" w:cs="Arial"/>
          <w:lang w:val="en-US"/>
        </w:rPr>
        <w:t xml:space="preserve"> </w:t>
      </w:r>
      <w:r w:rsidRPr="00794E07">
        <w:rPr>
          <w:rFonts w:ascii="Book Antiqua" w:eastAsia="Calibri" w:hAnsi="Book Antiqua" w:cs="Arial"/>
          <w:sz w:val="20"/>
          <w:szCs w:val="20"/>
          <w:lang w:val="en-US"/>
        </w:rPr>
        <w:t>Statistical analyses were performed on available data.</w:t>
      </w:r>
    </w:p>
    <w:p w:rsidR="00794E07" w:rsidRPr="00794E07" w:rsidRDefault="00794E07" w:rsidP="00794E07">
      <w:pPr>
        <w:spacing w:after="0" w:line="240" w:lineRule="auto"/>
        <w:ind w:left="284"/>
        <w:jc w:val="both"/>
        <w:rPr>
          <w:rFonts w:ascii="Book Antiqua" w:eastAsia="Calibri" w:hAnsi="Book Antiqua" w:cs="Arial"/>
          <w:sz w:val="20"/>
          <w:szCs w:val="20"/>
          <w:lang w:val="en-US"/>
        </w:rPr>
      </w:pPr>
      <w:proofErr w:type="gramStart"/>
      <w:r w:rsidRPr="00794E07">
        <w:rPr>
          <w:rFonts w:ascii="Book Antiqua" w:eastAsia="Calibri" w:hAnsi="Book Antiqua" w:cs="Arial"/>
          <w:sz w:val="20"/>
          <w:szCs w:val="20"/>
          <w:vertAlign w:val="superscript"/>
          <w:lang w:val="en-US"/>
        </w:rPr>
        <w:t>b</w:t>
      </w:r>
      <w:proofErr w:type="gramEnd"/>
      <w:r w:rsidRPr="00794E07">
        <w:rPr>
          <w:rFonts w:ascii="Book Antiqua" w:eastAsia="Calibri" w:hAnsi="Book Antiqua" w:cs="Arial"/>
          <w:sz w:val="20"/>
          <w:szCs w:val="20"/>
          <w:lang w:val="en-US"/>
        </w:rPr>
        <w:t xml:space="preserve"> We performed an additional Mann–Whitney U test to compare VTE location two by two, since a significant difference in the distribution of thrombotic sites was observed between PV and TE. </w:t>
      </w:r>
    </w:p>
    <w:p w:rsidR="00794E07" w:rsidRPr="00794E07" w:rsidRDefault="00794E07" w:rsidP="00794E07">
      <w:pPr>
        <w:spacing w:after="0" w:line="240" w:lineRule="auto"/>
        <w:ind w:left="284"/>
        <w:jc w:val="both"/>
        <w:rPr>
          <w:rFonts w:ascii="Book Antiqua" w:hAnsi="Book Antiqua" w:cs="Arial"/>
          <w:lang w:val="en-US"/>
        </w:rPr>
      </w:pPr>
      <w:r w:rsidRPr="00794E07">
        <w:rPr>
          <w:rFonts w:ascii="Book Antiqua" w:eastAsia="Calibri" w:hAnsi="Book Antiqua" w:cs="Arial"/>
          <w:sz w:val="20"/>
          <w:szCs w:val="20"/>
          <w:lang w:val="en-US"/>
        </w:rPr>
        <w:t>Statistical analyses were performed on available data.</w:t>
      </w:r>
    </w:p>
    <w:p w:rsidR="00797C3A" w:rsidRPr="00794E07" w:rsidRDefault="00797C3A">
      <w:pPr>
        <w:rPr>
          <w:lang w:val="en-US"/>
        </w:rPr>
      </w:pPr>
      <w:bookmarkStart w:id="0" w:name="_GoBack"/>
      <w:bookmarkEnd w:id="0"/>
    </w:p>
    <w:sectPr w:rsidR="00797C3A" w:rsidRPr="0079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07"/>
    <w:rsid w:val="00794E07"/>
    <w:rsid w:val="0079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45CA-FEE2-4B8E-9508-B6BB00EE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E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VENTON Geoffroy</dc:creator>
  <cp:keywords/>
  <dc:description/>
  <cp:lastModifiedBy>VENTON Geoffroy</cp:lastModifiedBy>
  <cp:revision>1</cp:revision>
  <dcterms:created xsi:type="dcterms:W3CDTF">2026-03-11T15:39:00Z</dcterms:created>
  <dcterms:modified xsi:type="dcterms:W3CDTF">2026-03-11T15:41:00Z</dcterms:modified>
</cp:coreProperties>
</file>