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F48" w:rsidRPr="00DA1ECD" w:rsidRDefault="00C53F71" w:rsidP="00545C26">
      <w:pPr>
        <w:pStyle w:val="ListParagraph"/>
        <w:numPr>
          <w:ilvl w:val="0"/>
          <w:numId w:val="1"/>
        </w:numPr>
        <w:spacing w:before="200" w:after="0" w:line="360" w:lineRule="auto"/>
        <w:jc w:val="both"/>
        <w:rPr>
          <w:rFonts w:asciiTheme="majorBidi" w:eastAsia="Calibri" w:hAnsiTheme="majorBidi" w:cstheme="majorBidi"/>
          <w:b/>
          <w:bCs/>
          <w:color w:val="000000"/>
          <w:sz w:val="20"/>
          <w:szCs w:val="20"/>
          <w:lang w:bidi="ar-EG"/>
        </w:rPr>
      </w:pPr>
      <w:r w:rsidRPr="00DA1ECD">
        <w:rPr>
          <w:rFonts w:asciiTheme="majorBidi" w:eastAsia="Calibri" w:hAnsiTheme="majorBidi" w:cstheme="majorBidi"/>
          <w:b/>
          <w:bCs/>
          <w:color w:val="000000"/>
          <w:sz w:val="20"/>
          <w:szCs w:val="20"/>
          <w:lang w:bidi="ar-EG"/>
        </w:rPr>
        <w:t>Materials and methods</w:t>
      </w:r>
    </w:p>
    <w:p w:rsidR="005E1F81" w:rsidRPr="00DA1ECD" w:rsidRDefault="005E1F81" w:rsidP="005E1F81">
      <w:pPr>
        <w:spacing w:before="200" w:after="0" w:line="240" w:lineRule="auto"/>
        <w:ind w:firstLine="360"/>
        <w:jc w:val="both"/>
        <w:rPr>
          <w:rFonts w:asciiTheme="majorBidi" w:eastAsia="Calibri" w:hAnsiTheme="majorBidi" w:cstheme="majorBidi"/>
          <w:sz w:val="20"/>
          <w:szCs w:val="20"/>
          <w:lang w:bidi="ar-EG"/>
        </w:rPr>
      </w:pPr>
      <w:r w:rsidRPr="00DA1ECD">
        <w:rPr>
          <w:rFonts w:asciiTheme="majorBidi" w:eastAsia="Calibri" w:hAnsiTheme="majorBidi" w:cstheme="majorBidi"/>
          <w:sz w:val="20"/>
          <w:szCs w:val="20"/>
          <w:lang w:bidi="ar-EG"/>
        </w:rPr>
        <w:t>Glucose (CAT. NO. GL 1320), total protein (CAT. NO. TP 2020),</w:t>
      </w:r>
      <w:r w:rsidRPr="00DA1ECD">
        <w:rPr>
          <w:rFonts w:asciiTheme="majorBidi" w:eastAsia="Times New Roman" w:hAnsiTheme="majorBidi" w:cstheme="majorBidi"/>
          <w:sz w:val="20"/>
          <w:szCs w:val="20"/>
          <w:lang w:eastAsia="ar-SA" w:bidi="ar-EG"/>
        </w:rPr>
        <w:t xml:space="preserve"> total lipids (</w:t>
      </w:r>
      <w:r w:rsidRPr="00DA1ECD">
        <w:rPr>
          <w:rFonts w:asciiTheme="majorBidi" w:eastAsia="Calibri" w:hAnsiTheme="majorBidi" w:cstheme="majorBidi"/>
          <w:sz w:val="20"/>
          <w:szCs w:val="20"/>
          <w:lang w:bidi="ar-EG"/>
        </w:rPr>
        <w:t xml:space="preserve">CAT NO. TL 2010) triglyceride (CAT. NO. TR 2030), aspartate aminotransferase (CAT. NO. AS 1061 (45)), alanine aminotransferase (CAT. NO. AL 1031 (45)), alkaline phosphatase (CAT. NO. AP 1020), butyryl cholinesterase (CAT. NO. CE 1240), urea (CAT. NO. UR 2110), uric acid (CAT. NO. UA 2120), creatinine (CAT. NO. CR 1251) and nitric oxide </w:t>
      </w:r>
      <w:r w:rsidRPr="00DA1ECD">
        <w:rPr>
          <w:rFonts w:asciiTheme="majorBidi" w:eastAsia="Calibri" w:hAnsiTheme="majorBidi" w:cstheme="majorBidi"/>
          <w:sz w:val="20"/>
          <w:szCs w:val="20"/>
        </w:rPr>
        <w:t>(</w:t>
      </w:r>
      <w:r w:rsidRPr="00DA1ECD">
        <w:rPr>
          <w:rFonts w:asciiTheme="majorBidi" w:eastAsia="Calibri" w:hAnsiTheme="majorBidi" w:cstheme="majorBidi"/>
          <w:sz w:val="20"/>
          <w:szCs w:val="20"/>
          <w:lang w:bidi="ar-EG"/>
        </w:rPr>
        <w:t>CAT NO. 2533) were purchased from Bio diagnostic company (29 Tahreer St., Dokki, Giza, Egypt).</w:t>
      </w:r>
      <w:r w:rsidRPr="00DA1ECD">
        <w:rPr>
          <w:rFonts w:asciiTheme="majorBidi" w:eastAsia="Times New Roman" w:hAnsiTheme="majorBidi" w:cstheme="majorBidi"/>
          <w:spacing w:val="-2"/>
          <w:sz w:val="20"/>
          <w:szCs w:val="20"/>
          <w:lang w:eastAsia="ar-SA" w:bidi="ar-EG"/>
        </w:rPr>
        <w:t xml:space="preserve"> Total cholesterol </w:t>
      </w:r>
      <w:r w:rsidRPr="00DA1ECD">
        <w:rPr>
          <w:rFonts w:asciiTheme="majorBidi" w:eastAsia="Times New Roman" w:hAnsiTheme="majorBidi" w:cstheme="majorBidi"/>
          <w:sz w:val="20"/>
          <w:szCs w:val="20"/>
          <w:lang w:eastAsia="ar-SA" w:bidi="ar-EG"/>
        </w:rPr>
        <w:t>(</w:t>
      </w:r>
      <w:r w:rsidRPr="00DA1ECD">
        <w:rPr>
          <w:rFonts w:asciiTheme="majorBidi" w:eastAsia="Calibri" w:hAnsiTheme="majorBidi" w:cstheme="majorBidi"/>
          <w:sz w:val="20"/>
          <w:szCs w:val="20"/>
          <w:lang w:bidi="ar-EG"/>
        </w:rPr>
        <w:t>CAT. NO. 23001),</w:t>
      </w:r>
      <w:r w:rsidRPr="00DA1ECD">
        <w:rPr>
          <w:rFonts w:asciiTheme="majorBidi" w:eastAsia="Times New Roman" w:hAnsiTheme="majorBidi" w:cstheme="majorBidi"/>
          <w:spacing w:val="-2"/>
          <w:sz w:val="20"/>
          <w:szCs w:val="20"/>
          <w:lang w:eastAsia="ar-SA" w:bidi="ar-EG"/>
        </w:rPr>
        <w:t xml:space="preserve"> high-density lipoprotein-cholesterol</w:t>
      </w:r>
      <w:r w:rsidRPr="00DA1ECD">
        <w:rPr>
          <w:b/>
          <w:bCs/>
          <w:sz w:val="20"/>
          <w:szCs w:val="20"/>
        </w:rPr>
        <w:t xml:space="preserve"> </w:t>
      </w:r>
      <w:r w:rsidRPr="00DA1ECD">
        <w:rPr>
          <w:rFonts w:asciiTheme="majorBidi" w:eastAsia="Times New Roman" w:hAnsiTheme="majorBidi" w:cstheme="majorBidi"/>
          <w:sz w:val="20"/>
          <w:szCs w:val="20"/>
          <w:lang w:eastAsia="ar-SA" w:bidi="ar-EG"/>
        </w:rPr>
        <w:t>(</w:t>
      </w:r>
      <w:r w:rsidRPr="00DA1ECD">
        <w:rPr>
          <w:rFonts w:asciiTheme="majorBidi" w:eastAsia="Calibri" w:hAnsiTheme="majorBidi" w:cstheme="majorBidi"/>
          <w:sz w:val="20"/>
          <w:szCs w:val="20"/>
          <w:lang w:bidi="ar-EG"/>
        </w:rPr>
        <w:t xml:space="preserve">CAT. NO. 266001), </w:t>
      </w:r>
      <w:r w:rsidRPr="00DA1ECD">
        <w:rPr>
          <w:rFonts w:asciiTheme="majorBidi" w:eastAsia="Times New Roman" w:hAnsiTheme="majorBidi" w:cstheme="majorBidi"/>
          <w:spacing w:val="-2"/>
          <w:sz w:val="20"/>
          <w:szCs w:val="20"/>
          <w:lang w:eastAsia="ar-SA" w:bidi="ar-EG"/>
        </w:rPr>
        <w:t>low-density lipoprotein-cholesterol</w:t>
      </w:r>
      <w:r w:rsidRPr="00DA1ECD">
        <w:rPr>
          <w:b/>
          <w:bCs/>
          <w:sz w:val="20"/>
          <w:szCs w:val="20"/>
        </w:rPr>
        <w:t xml:space="preserve"> </w:t>
      </w:r>
      <w:r w:rsidRPr="00DA1ECD">
        <w:rPr>
          <w:rFonts w:asciiTheme="majorBidi" w:eastAsia="Times New Roman" w:hAnsiTheme="majorBidi" w:cstheme="majorBidi"/>
          <w:sz w:val="20"/>
          <w:szCs w:val="20"/>
          <w:lang w:eastAsia="ar-SA" w:bidi="ar-EG"/>
        </w:rPr>
        <w:t>concentration (CAT. NO. 280001), gamma-glutamyl transferase</w:t>
      </w:r>
      <w:r w:rsidRPr="00DA1ECD">
        <w:rPr>
          <w:b/>
          <w:bCs/>
          <w:sz w:val="20"/>
          <w:szCs w:val="20"/>
        </w:rPr>
        <w:t xml:space="preserve"> </w:t>
      </w:r>
      <w:r w:rsidRPr="00DA1ECD">
        <w:rPr>
          <w:rFonts w:asciiTheme="majorBidi" w:eastAsia="Times New Roman" w:hAnsiTheme="majorBidi" w:cstheme="majorBidi"/>
          <w:sz w:val="20"/>
          <w:szCs w:val="20"/>
          <w:lang w:eastAsia="ar-SA" w:bidi="ar-EG"/>
        </w:rPr>
        <w:t>(</w:t>
      </w:r>
      <w:r w:rsidRPr="00DA1ECD">
        <w:rPr>
          <w:rFonts w:asciiTheme="majorBidi" w:eastAsia="Calibri" w:hAnsiTheme="majorBidi" w:cstheme="majorBidi"/>
          <w:sz w:val="20"/>
          <w:szCs w:val="20"/>
          <w:lang w:bidi="ar-EG"/>
        </w:rPr>
        <w:t>CAT. NO. 247001) and albumin (</w:t>
      </w:r>
      <w:r w:rsidRPr="00DA1ECD">
        <w:rPr>
          <w:rFonts w:asciiTheme="majorBidi" w:eastAsia="Times New Roman" w:hAnsiTheme="majorBidi" w:cstheme="majorBidi"/>
          <w:sz w:val="20"/>
          <w:szCs w:val="20"/>
          <w:lang w:eastAsia="ar-SA" w:bidi="ar-EG"/>
        </w:rPr>
        <w:t>CAT. NO. 210001)</w:t>
      </w:r>
      <w:r w:rsidRPr="00DA1ECD">
        <w:rPr>
          <w:rFonts w:asciiTheme="majorBidi" w:eastAsia="Calibri" w:hAnsiTheme="majorBidi" w:cstheme="majorBidi"/>
          <w:sz w:val="20"/>
          <w:szCs w:val="20"/>
          <w:lang w:bidi="ar-EG"/>
        </w:rPr>
        <w:t xml:space="preserve"> were purchased from Spectrum.</w:t>
      </w:r>
    </w:p>
    <w:p w:rsidR="0032792B" w:rsidRPr="00DA1ECD" w:rsidRDefault="00FE74E9" w:rsidP="0032792B">
      <w:pPr>
        <w:pStyle w:val="ListParagraph"/>
        <w:numPr>
          <w:ilvl w:val="1"/>
          <w:numId w:val="1"/>
        </w:numPr>
        <w:spacing w:before="240" w:line="240" w:lineRule="auto"/>
        <w:rPr>
          <w:rFonts w:ascii="Times New Roman" w:eastAsia="Times New Roman" w:hAnsi="Times New Roman" w:cs="Times New Roman"/>
          <w:b/>
          <w:bCs/>
          <w:sz w:val="20"/>
          <w:szCs w:val="20"/>
          <w:lang w:eastAsia="ar-SA"/>
        </w:rPr>
      </w:pPr>
      <w:r w:rsidRPr="00DA1ECD">
        <w:rPr>
          <w:rFonts w:ascii="Times New Roman" w:eastAsia="Calibri" w:hAnsi="Times New Roman" w:cs="Times New Roman"/>
          <w:b/>
          <w:bCs/>
          <w:sz w:val="20"/>
          <w:szCs w:val="20"/>
          <w:lang w:bidi="ar-EG"/>
        </w:rPr>
        <w:t>Gas Chromatography-Mass Spectroscopy Condition</w:t>
      </w:r>
    </w:p>
    <w:p w:rsidR="004D46E9" w:rsidRPr="00DA1ECD" w:rsidRDefault="0032792B" w:rsidP="006B0186">
      <w:pPr>
        <w:spacing w:before="240" w:line="240" w:lineRule="auto"/>
        <w:ind w:firstLine="720"/>
        <w:jc w:val="both"/>
        <w:rPr>
          <w:rFonts w:ascii="Times New Roman" w:eastAsia="Times New Roman" w:hAnsi="Times New Roman" w:cs="Times New Roman"/>
          <w:b/>
          <w:bCs/>
          <w:sz w:val="20"/>
          <w:szCs w:val="20"/>
          <w:lang w:eastAsia="ar-SA"/>
        </w:rPr>
      </w:pPr>
      <w:r w:rsidRPr="00DA1ECD">
        <w:rPr>
          <w:rFonts w:ascii="Times New Roman" w:eastAsia="Times New Roman" w:hAnsi="Times New Roman" w:cs="Times New Roman"/>
          <w:sz w:val="20"/>
          <w:szCs w:val="20"/>
        </w:rPr>
        <w:t>Gas chromatography–mass spectrometry (GC-MS)</w:t>
      </w:r>
      <w:r w:rsidR="006B0186" w:rsidRPr="00DA1ECD">
        <w:rPr>
          <w:rFonts w:asciiTheme="majorBidi" w:eastAsia="Calibri" w:hAnsiTheme="majorBidi" w:cstheme="majorBidi"/>
          <w:sz w:val="20"/>
          <w:szCs w:val="20"/>
        </w:rPr>
        <w:t xml:space="preserve"> </w:t>
      </w:r>
      <w:r w:rsidR="006B0186" w:rsidRPr="00DA1ECD">
        <w:rPr>
          <w:rFonts w:ascii="Times New Roman" w:eastAsia="Times New Roman" w:hAnsi="Times New Roman" w:cs="Times New Roman"/>
          <w:sz w:val="20"/>
          <w:szCs w:val="20"/>
        </w:rPr>
        <w:t>1300 GC Ultra/Mass Spectrophotometer ISQ QD (Thermo Scientific) device with X-calibur 2.2 software.  A</w:t>
      </w:r>
      <w:r w:rsidRPr="00DA1ECD">
        <w:rPr>
          <w:rFonts w:ascii="Times New Roman" w:eastAsia="Times New Roman" w:hAnsi="Times New Roman" w:cs="Times New Roman"/>
          <w:sz w:val="20"/>
          <w:szCs w:val="20"/>
        </w:rPr>
        <w:t>nalysis was performed using helium as the carrier gas at an average velocity of 39 cm/s with a flow rate of 0.7 mL/min. The total run time was 43.67 minutes. The oven temperature program was initiated at 50 ºC for 1 min, followed by a ramp of 6 ºC/min to 200 ºC, and then further increased from 200 ºC to 270 ºC for 5 min at the same rate. Separation was achieved on a TG-5MS Zebron capillary column (30 m × 0.25 mm ID, 0.25 µm film thickness; Thermo). The injector temperature was set at 300 ºC, and a 1 µL sample was introduced in split mode with a split ratio of 20:1. Mass spectrometric detection was carried out using electron impact ionization (EI) at 70</w:t>
      </w:r>
      <w:r w:rsidR="005C6720" w:rsidRPr="00DA1ECD">
        <w:rPr>
          <w:rFonts w:ascii="Times New Roman" w:eastAsia="Times New Roman" w:hAnsi="Times New Roman" w:cs="Times New Roman"/>
          <w:sz w:val="20"/>
          <w:szCs w:val="20"/>
          <w:lang w:eastAsia="ar-SA" w:bidi="ar-EG"/>
        </w:rPr>
        <w:t xml:space="preserve"> </w:t>
      </w:r>
      <w:r w:rsidR="005C6720" w:rsidRPr="00DA1ECD">
        <w:rPr>
          <w:rFonts w:ascii="Times New Roman" w:eastAsia="Times New Roman" w:hAnsi="Times New Roman" w:cs="Times New Roman"/>
          <w:sz w:val="20"/>
          <w:szCs w:val="20"/>
        </w:rPr>
        <w:t>electrons volts’</w:t>
      </w:r>
      <w:r w:rsidRPr="00DA1ECD">
        <w:rPr>
          <w:rFonts w:ascii="Times New Roman" w:eastAsia="Times New Roman" w:hAnsi="Times New Roman" w:cs="Times New Roman"/>
          <w:sz w:val="20"/>
          <w:szCs w:val="20"/>
        </w:rPr>
        <w:t xml:space="preserve"> eV, with a scanning range of 50–600 m/z at a rate of five scans per second. Compound identification was performed using the NIST spectral library. Hexane was employed as the solvent.</w:t>
      </w:r>
    </w:p>
    <w:p w:rsidR="00F11C8B" w:rsidRPr="00DA1ECD" w:rsidRDefault="00F11C8B" w:rsidP="0032792B">
      <w:pPr>
        <w:pStyle w:val="Default"/>
        <w:numPr>
          <w:ilvl w:val="1"/>
          <w:numId w:val="1"/>
        </w:numPr>
        <w:rPr>
          <w:sz w:val="20"/>
          <w:szCs w:val="20"/>
        </w:rPr>
      </w:pPr>
      <w:r w:rsidRPr="00DA1ECD">
        <w:rPr>
          <w:b/>
          <w:bCs/>
          <w:sz w:val="20"/>
          <w:szCs w:val="20"/>
        </w:rPr>
        <w:t xml:space="preserve">Total antioxidant capacity assay phosphomolybdenum reduction potential (PRP) method </w:t>
      </w:r>
    </w:p>
    <w:p w:rsidR="00D12F1F" w:rsidRPr="00DA1ECD" w:rsidRDefault="00F11C8B" w:rsidP="00C1679E">
      <w:pPr>
        <w:spacing w:before="200" w:after="0" w:line="240" w:lineRule="auto"/>
        <w:ind w:firstLine="720"/>
        <w:jc w:val="both"/>
        <w:rPr>
          <w:rFonts w:asciiTheme="majorBidi" w:eastAsia="Times New Roman" w:hAnsiTheme="majorBidi" w:cstheme="majorBidi"/>
          <w:b/>
          <w:bCs/>
          <w:sz w:val="20"/>
          <w:szCs w:val="20"/>
          <w:lang w:eastAsia="ar-SA"/>
        </w:rPr>
      </w:pPr>
      <w:r w:rsidRPr="00DA1ECD">
        <w:rPr>
          <w:rFonts w:ascii="Times New Roman" w:eastAsia="Times New Roman" w:hAnsi="Times New Roman" w:cs="Times New Roman"/>
          <w:sz w:val="20"/>
          <w:szCs w:val="20"/>
        </w:rPr>
        <w:t>Total antioxidant capacity of WGO was monitored according to the method described by</w:t>
      </w:r>
      <w:r w:rsidRPr="00DA1ECD">
        <w:rPr>
          <w:sz w:val="20"/>
          <w:szCs w:val="20"/>
        </w:rPr>
        <w:t xml:space="preserve"> </w:t>
      </w:r>
      <w:r w:rsidRPr="00DA1ECD">
        <w:rPr>
          <w:rFonts w:asciiTheme="majorBidi" w:hAnsiTheme="majorBidi" w:cstheme="majorBidi"/>
          <w:b/>
          <w:bCs/>
          <w:sz w:val="20"/>
          <w:szCs w:val="20"/>
        </w:rPr>
        <w:t xml:space="preserve">Prieto </w:t>
      </w:r>
      <w:r w:rsidRPr="00DA1ECD">
        <w:rPr>
          <w:rFonts w:asciiTheme="majorBidi" w:hAnsiTheme="majorBidi" w:cstheme="majorBidi"/>
          <w:b/>
          <w:bCs/>
          <w:i/>
          <w:iCs/>
          <w:sz w:val="20"/>
          <w:szCs w:val="20"/>
        </w:rPr>
        <w:t xml:space="preserve">et al. </w:t>
      </w:r>
      <w:r w:rsidRPr="00DA1ECD">
        <w:rPr>
          <w:rFonts w:asciiTheme="majorBidi" w:hAnsiTheme="majorBidi" w:cstheme="majorBidi"/>
          <w:b/>
          <w:bCs/>
          <w:sz w:val="20"/>
          <w:szCs w:val="20"/>
        </w:rPr>
        <w:t xml:space="preserve">(1999) </w:t>
      </w:r>
      <w:r w:rsidRPr="00DA1ECD">
        <w:rPr>
          <w:rFonts w:asciiTheme="majorBidi" w:eastAsia="Times New Roman" w:hAnsiTheme="majorBidi" w:cstheme="majorBidi"/>
          <w:sz w:val="20"/>
          <w:szCs w:val="20"/>
        </w:rPr>
        <w:t>ammonium molybdate was reduced into an oxide known as the kegging ion under acidic condition</w:t>
      </w:r>
      <w:r w:rsidRPr="00DA1ECD">
        <w:rPr>
          <w:rFonts w:ascii="Times New Roman" w:eastAsia="Times New Roman" w:hAnsi="Times New Roman" w:cs="Times New Roman"/>
          <w:sz w:val="20"/>
          <w:szCs w:val="20"/>
        </w:rPr>
        <w:t>. Then the kegging ion was reduced by antioxidants of sample (WGO) to form greenish-blue colored complex.</w:t>
      </w:r>
      <w:r w:rsidR="00C1679E" w:rsidRPr="00DA1ECD">
        <w:rPr>
          <w:rFonts w:ascii="Times New Roman" w:eastAsia="Times New Roman" w:hAnsi="Times New Roman" w:cs="Times New Roman"/>
          <w:sz w:val="20"/>
          <w:szCs w:val="20"/>
        </w:rPr>
        <w:t xml:space="preserve"> The reduction</w:t>
      </w:r>
      <w:r w:rsidR="00C1679E" w:rsidRPr="00DA1ECD">
        <w:rPr>
          <w:rFonts w:asciiTheme="majorBidi" w:eastAsia="Calibri" w:hAnsiTheme="majorBidi" w:cstheme="majorBidi"/>
          <w:sz w:val="20"/>
          <w:szCs w:val="20"/>
          <w:lang w:bidi="ar-EG"/>
        </w:rPr>
        <w:t xml:space="preserve"> can be observed by formation of green phosphate molybdenum (V) complex at acidic pH</w:t>
      </w:r>
      <w:r w:rsidR="0082378F" w:rsidRPr="00DA1ECD">
        <w:rPr>
          <w:rFonts w:asciiTheme="majorBidi" w:eastAsia="Calibri" w:hAnsiTheme="majorBidi" w:cstheme="majorBidi"/>
          <w:sz w:val="20"/>
          <w:szCs w:val="20"/>
          <w:lang w:bidi="ar-EG"/>
        </w:rPr>
        <w:t>.</w:t>
      </w:r>
    </w:p>
    <w:p w:rsidR="00F11C8B" w:rsidRPr="00DA1ECD" w:rsidRDefault="00F11C8B" w:rsidP="005D3D62">
      <w:pPr>
        <w:pStyle w:val="Default"/>
        <w:spacing w:before="240" w:after="240"/>
        <w:rPr>
          <w:sz w:val="20"/>
          <w:szCs w:val="20"/>
        </w:rPr>
      </w:pPr>
      <w:r w:rsidRPr="00DA1ECD">
        <w:rPr>
          <w:b/>
          <w:bCs/>
          <w:sz w:val="20"/>
          <w:szCs w:val="20"/>
        </w:rPr>
        <w:t xml:space="preserve">Preparations </w:t>
      </w:r>
    </w:p>
    <w:p w:rsidR="00F11C8B" w:rsidRPr="00DA1ECD" w:rsidRDefault="00F11C8B" w:rsidP="00545C26">
      <w:pPr>
        <w:pStyle w:val="Default"/>
        <w:spacing w:after="129"/>
        <w:jc w:val="both"/>
        <w:rPr>
          <w:sz w:val="20"/>
          <w:szCs w:val="20"/>
        </w:rPr>
      </w:pPr>
      <w:r w:rsidRPr="00DA1ECD">
        <w:rPr>
          <w:b/>
          <w:bCs/>
          <w:sz w:val="20"/>
          <w:szCs w:val="20"/>
        </w:rPr>
        <w:t xml:space="preserve">Standard, sample: </w:t>
      </w:r>
      <w:r w:rsidRPr="00DA1ECD">
        <w:rPr>
          <w:sz w:val="20"/>
          <w:szCs w:val="20"/>
        </w:rPr>
        <w:t xml:space="preserve">vitamin E, WGO serial dilution (1,5,10, 15 and 20 %) were dissolved in methanol. </w:t>
      </w:r>
    </w:p>
    <w:p w:rsidR="00F11C8B" w:rsidRPr="00DA1ECD" w:rsidRDefault="00F11C8B" w:rsidP="00545C26">
      <w:pPr>
        <w:pStyle w:val="Default"/>
        <w:spacing w:after="129"/>
        <w:jc w:val="both"/>
        <w:rPr>
          <w:sz w:val="20"/>
          <w:szCs w:val="20"/>
        </w:rPr>
      </w:pPr>
      <w:r w:rsidRPr="00DA1ECD">
        <w:rPr>
          <w:b/>
          <w:bCs/>
          <w:sz w:val="20"/>
          <w:szCs w:val="20"/>
        </w:rPr>
        <w:t>Phosphomolybdenum reagent</w:t>
      </w:r>
      <w:r w:rsidRPr="00DA1ECD">
        <w:rPr>
          <w:sz w:val="20"/>
          <w:szCs w:val="20"/>
        </w:rPr>
        <w:t>: sulfuric acid H</w:t>
      </w:r>
      <w:r w:rsidRPr="00DA1ECD">
        <w:rPr>
          <w:sz w:val="20"/>
          <w:szCs w:val="20"/>
          <w:vertAlign w:val="subscript"/>
        </w:rPr>
        <w:t>2</w:t>
      </w:r>
      <w:r w:rsidRPr="00DA1ECD">
        <w:rPr>
          <w:sz w:val="20"/>
          <w:szCs w:val="20"/>
        </w:rPr>
        <w:t>SO</w:t>
      </w:r>
      <w:r w:rsidRPr="00DA1ECD">
        <w:rPr>
          <w:sz w:val="20"/>
          <w:szCs w:val="20"/>
          <w:vertAlign w:val="subscript"/>
        </w:rPr>
        <w:t>4</w:t>
      </w:r>
      <w:r w:rsidRPr="00DA1ECD">
        <w:rPr>
          <w:sz w:val="20"/>
          <w:szCs w:val="20"/>
        </w:rPr>
        <w:t>, 0.6 M; 94 mL distilled H</w:t>
      </w:r>
      <w:r w:rsidRPr="00DA1ECD">
        <w:rPr>
          <w:sz w:val="20"/>
          <w:szCs w:val="20"/>
          <w:vertAlign w:val="subscript"/>
        </w:rPr>
        <w:t>2</w:t>
      </w:r>
      <w:r w:rsidR="006B4725" w:rsidRPr="00DA1ECD">
        <w:rPr>
          <w:sz w:val="20"/>
          <w:szCs w:val="20"/>
        </w:rPr>
        <w:t>O+ 6 mL of conc.</w:t>
      </w:r>
      <w:r w:rsidR="0082378F" w:rsidRPr="00DA1ECD">
        <w:rPr>
          <w:sz w:val="20"/>
          <w:szCs w:val="20"/>
        </w:rPr>
        <w:t>H</w:t>
      </w:r>
      <w:r w:rsidR="0082378F" w:rsidRPr="00DA1ECD">
        <w:rPr>
          <w:sz w:val="20"/>
          <w:szCs w:val="20"/>
          <w:vertAlign w:val="subscript"/>
        </w:rPr>
        <w:t>2</w:t>
      </w:r>
      <w:r w:rsidR="0082378F" w:rsidRPr="00DA1ECD">
        <w:rPr>
          <w:sz w:val="20"/>
          <w:szCs w:val="20"/>
        </w:rPr>
        <w:t>SO</w:t>
      </w:r>
      <w:r w:rsidR="0082378F" w:rsidRPr="00DA1ECD">
        <w:rPr>
          <w:sz w:val="20"/>
          <w:szCs w:val="20"/>
          <w:vertAlign w:val="subscript"/>
        </w:rPr>
        <w:t>4</w:t>
      </w:r>
      <w:r w:rsidR="0082378F" w:rsidRPr="00DA1ECD">
        <w:rPr>
          <w:sz w:val="20"/>
          <w:szCs w:val="20"/>
        </w:rPr>
        <w:t>.</w:t>
      </w:r>
    </w:p>
    <w:p w:rsidR="00F11C8B" w:rsidRPr="00DA1ECD" w:rsidRDefault="00F11C8B" w:rsidP="00545C26">
      <w:pPr>
        <w:pStyle w:val="Default"/>
        <w:spacing w:after="129"/>
        <w:jc w:val="both"/>
        <w:rPr>
          <w:sz w:val="20"/>
          <w:szCs w:val="20"/>
        </w:rPr>
      </w:pPr>
      <w:r w:rsidRPr="00DA1ECD">
        <w:rPr>
          <w:b/>
          <w:bCs/>
          <w:sz w:val="20"/>
          <w:szCs w:val="20"/>
        </w:rPr>
        <w:t xml:space="preserve">Sodium dihydrogen phosphate: </w:t>
      </w:r>
      <w:r w:rsidRPr="00DA1ECD">
        <w:rPr>
          <w:sz w:val="20"/>
          <w:szCs w:val="20"/>
        </w:rPr>
        <w:t>NaH</w:t>
      </w:r>
      <w:r w:rsidRPr="00DA1ECD">
        <w:rPr>
          <w:sz w:val="20"/>
          <w:szCs w:val="20"/>
          <w:vertAlign w:val="subscript"/>
        </w:rPr>
        <w:t>2</w:t>
      </w:r>
      <w:r w:rsidRPr="00DA1ECD">
        <w:rPr>
          <w:sz w:val="20"/>
          <w:szCs w:val="20"/>
        </w:rPr>
        <w:t>PO</w:t>
      </w:r>
      <w:r w:rsidRPr="00DA1ECD">
        <w:rPr>
          <w:sz w:val="20"/>
          <w:szCs w:val="20"/>
          <w:vertAlign w:val="subscript"/>
        </w:rPr>
        <w:t>4</w:t>
      </w:r>
      <w:r w:rsidRPr="00DA1ECD">
        <w:rPr>
          <w:sz w:val="20"/>
          <w:szCs w:val="20"/>
        </w:rPr>
        <w:t xml:space="preserve">, 28 mM </w:t>
      </w:r>
    </w:p>
    <w:p w:rsidR="00F11C8B" w:rsidRPr="00DA1ECD" w:rsidRDefault="00F11C8B" w:rsidP="00545C26">
      <w:pPr>
        <w:pStyle w:val="Default"/>
        <w:spacing w:after="129"/>
        <w:jc w:val="both"/>
        <w:rPr>
          <w:sz w:val="20"/>
          <w:szCs w:val="20"/>
        </w:rPr>
      </w:pPr>
      <w:r w:rsidRPr="00DA1ECD">
        <w:rPr>
          <w:b/>
          <w:bCs/>
          <w:sz w:val="20"/>
          <w:szCs w:val="20"/>
        </w:rPr>
        <w:t xml:space="preserve">Ammonium orthomolybdate: </w:t>
      </w:r>
      <w:r w:rsidRPr="00DA1ECD">
        <w:rPr>
          <w:sz w:val="20"/>
          <w:szCs w:val="20"/>
        </w:rPr>
        <w:t>(NH</w:t>
      </w:r>
      <w:r w:rsidRPr="00DA1ECD">
        <w:rPr>
          <w:sz w:val="20"/>
          <w:szCs w:val="20"/>
          <w:vertAlign w:val="subscript"/>
        </w:rPr>
        <w:t>4</w:t>
      </w:r>
      <w:r w:rsidRPr="00DA1ECD">
        <w:rPr>
          <w:sz w:val="20"/>
          <w:szCs w:val="20"/>
        </w:rPr>
        <w:t>)2MoO</w:t>
      </w:r>
      <w:r w:rsidRPr="00DA1ECD">
        <w:rPr>
          <w:sz w:val="20"/>
          <w:szCs w:val="20"/>
          <w:vertAlign w:val="subscript"/>
        </w:rPr>
        <w:t>4</w:t>
      </w:r>
      <w:r w:rsidRPr="00DA1ECD">
        <w:rPr>
          <w:sz w:val="20"/>
          <w:szCs w:val="20"/>
        </w:rPr>
        <w:t xml:space="preserve">, 4 mM </w:t>
      </w:r>
    </w:p>
    <w:p w:rsidR="00057CB0" w:rsidRPr="00DA1ECD" w:rsidRDefault="00F11C8B" w:rsidP="00545C26">
      <w:pPr>
        <w:pStyle w:val="Default"/>
        <w:jc w:val="both"/>
        <w:rPr>
          <w:sz w:val="20"/>
          <w:szCs w:val="20"/>
        </w:rPr>
      </w:pPr>
      <w:r w:rsidRPr="00DA1ECD">
        <w:rPr>
          <w:b/>
          <w:bCs/>
          <w:sz w:val="20"/>
          <w:szCs w:val="20"/>
        </w:rPr>
        <w:t xml:space="preserve">0.43 g NaH2PO4 </w:t>
      </w:r>
      <w:r w:rsidRPr="00DA1ECD">
        <w:rPr>
          <w:sz w:val="20"/>
          <w:szCs w:val="20"/>
        </w:rPr>
        <w:t xml:space="preserve">and </w:t>
      </w:r>
      <w:r w:rsidRPr="00DA1ECD">
        <w:rPr>
          <w:b/>
          <w:bCs/>
          <w:sz w:val="20"/>
          <w:szCs w:val="20"/>
        </w:rPr>
        <w:t>0.078 g (NH4)2MoO4</w:t>
      </w:r>
      <w:r w:rsidRPr="00DA1ECD">
        <w:rPr>
          <w:sz w:val="20"/>
          <w:szCs w:val="20"/>
        </w:rPr>
        <w:t>: in 100 mL diluted H</w:t>
      </w:r>
      <w:r w:rsidRPr="00DA1ECD">
        <w:rPr>
          <w:sz w:val="20"/>
          <w:szCs w:val="20"/>
          <w:vertAlign w:val="subscript"/>
        </w:rPr>
        <w:t>2</w:t>
      </w:r>
      <w:r w:rsidRPr="00DA1ECD">
        <w:rPr>
          <w:sz w:val="20"/>
          <w:szCs w:val="20"/>
        </w:rPr>
        <w:t>SO</w:t>
      </w:r>
      <w:r w:rsidRPr="00DA1ECD">
        <w:rPr>
          <w:sz w:val="20"/>
          <w:szCs w:val="20"/>
          <w:vertAlign w:val="subscript"/>
        </w:rPr>
        <w:t>4</w:t>
      </w:r>
      <w:r w:rsidR="0082378F" w:rsidRPr="00DA1ECD">
        <w:rPr>
          <w:sz w:val="20"/>
          <w:szCs w:val="20"/>
        </w:rPr>
        <w:t>.</w:t>
      </w:r>
    </w:p>
    <w:p w:rsidR="00F11C8B" w:rsidRPr="00DA1ECD" w:rsidRDefault="00F11C8B" w:rsidP="0082378F">
      <w:pPr>
        <w:pStyle w:val="Default"/>
        <w:spacing w:before="240"/>
        <w:rPr>
          <w:sz w:val="20"/>
          <w:szCs w:val="20"/>
        </w:rPr>
      </w:pPr>
      <w:r w:rsidRPr="00DA1ECD">
        <w:rPr>
          <w:b/>
          <w:bCs/>
          <w:sz w:val="20"/>
          <w:szCs w:val="20"/>
        </w:rPr>
        <w:t xml:space="preserve">Procedure </w:t>
      </w:r>
    </w:p>
    <w:p w:rsidR="00F11C8B" w:rsidRPr="00DA1ECD" w:rsidRDefault="00F11C8B" w:rsidP="00545C26">
      <w:pPr>
        <w:pStyle w:val="Default"/>
        <w:spacing w:before="240"/>
        <w:ind w:firstLine="720"/>
        <w:jc w:val="both"/>
        <w:rPr>
          <w:sz w:val="20"/>
          <w:szCs w:val="20"/>
        </w:rPr>
      </w:pPr>
      <w:r w:rsidRPr="00DA1ECD">
        <w:rPr>
          <w:sz w:val="20"/>
          <w:szCs w:val="20"/>
        </w:rPr>
        <w:t>About 1.9 mL of prepared phosphomolybdenum reagent was added and mixed well by vortex with an aliquot (100 μL</w:t>
      </w:r>
      <w:r w:rsidRPr="00DA1ECD">
        <w:rPr>
          <w:b/>
          <w:bCs/>
          <w:sz w:val="20"/>
          <w:szCs w:val="20"/>
        </w:rPr>
        <w:t xml:space="preserve">) </w:t>
      </w:r>
      <w:r w:rsidRPr="00DA1ECD">
        <w:rPr>
          <w:sz w:val="20"/>
          <w:szCs w:val="20"/>
        </w:rPr>
        <w:t xml:space="preserve">of oil / standard (vitamin E). In oil blank tubes were prepared in a similar manner replacing phosphomolybdenum reagent by methanol. All mixture tubes were capped and incubated in a boiling water bath at 95 ℃ for 90 min (the test was carried out triplicate in each mixture using Wassermann tubes). Immediately, the absorbance of greenish-blue complex was measured at 695 nm using uv/vis spectrophotometer. </w:t>
      </w:r>
    </w:p>
    <w:p w:rsidR="00F11C8B" w:rsidRPr="00DA1ECD" w:rsidRDefault="008B1BEC" w:rsidP="003C236F">
      <w:pPr>
        <w:pStyle w:val="Default"/>
        <w:spacing w:before="240"/>
        <w:rPr>
          <w:sz w:val="20"/>
          <w:szCs w:val="20"/>
        </w:rPr>
      </w:pPr>
      <w:r w:rsidRPr="00DA1ECD">
        <w:rPr>
          <w:b/>
          <w:bCs/>
          <w:sz w:val="20"/>
          <w:szCs w:val="20"/>
        </w:rPr>
        <w:t>Calculation</w:t>
      </w:r>
    </w:p>
    <w:p w:rsidR="00F11C8B" w:rsidRPr="00DA1ECD" w:rsidRDefault="00F11C8B" w:rsidP="003C236F">
      <w:pPr>
        <w:pStyle w:val="Default"/>
        <w:spacing w:before="240"/>
        <w:ind w:firstLine="720"/>
        <w:rPr>
          <w:sz w:val="20"/>
          <w:szCs w:val="20"/>
        </w:rPr>
      </w:pPr>
      <w:r w:rsidRPr="00DA1ECD">
        <w:rPr>
          <w:sz w:val="20"/>
          <w:szCs w:val="20"/>
        </w:rPr>
        <w:t xml:space="preserve">Total antioxidant capacity of WGO was calculated using the standard curve of vitamin E. using linear regression equation (y= ax+b), then total antioxidant capacity was estimated from the following formula: </w:t>
      </w:r>
    </w:p>
    <w:p w:rsidR="00F11C8B" w:rsidRPr="00DA1ECD" w:rsidRDefault="00F11C8B" w:rsidP="003C236F">
      <w:pPr>
        <w:pStyle w:val="Default"/>
        <w:spacing w:before="240"/>
        <w:jc w:val="center"/>
        <w:rPr>
          <w:b/>
          <w:bCs/>
          <w:sz w:val="20"/>
          <w:szCs w:val="20"/>
        </w:rPr>
      </w:pPr>
      <w:r w:rsidRPr="00DA1ECD">
        <w:rPr>
          <w:b/>
          <w:bCs/>
          <w:sz w:val="20"/>
          <w:szCs w:val="20"/>
        </w:rPr>
        <w:lastRenderedPageBreak/>
        <w:t>Total antioxidant capacity of WGO (%) = [(AS- ASB)-b] / a</w:t>
      </w:r>
    </w:p>
    <w:p w:rsidR="00F11C8B" w:rsidRPr="00DA1ECD" w:rsidRDefault="00F11C8B" w:rsidP="00F11C8B">
      <w:pPr>
        <w:pStyle w:val="Default"/>
        <w:rPr>
          <w:sz w:val="20"/>
          <w:szCs w:val="20"/>
        </w:rPr>
      </w:pPr>
      <w:r w:rsidRPr="00DA1ECD">
        <w:rPr>
          <w:sz w:val="20"/>
          <w:szCs w:val="20"/>
        </w:rPr>
        <w:t xml:space="preserve">Where; </w:t>
      </w:r>
    </w:p>
    <w:p w:rsidR="00F11C8B" w:rsidRPr="00DA1ECD" w:rsidRDefault="00F11C8B" w:rsidP="00F11C8B">
      <w:pPr>
        <w:pStyle w:val="Default"/>
        <w:rPr>
          <w:sz w:val="20"/>
          <w:szCs w:val="20"/>
        </w:rPr>
      </w:pPr>
      <w:r w:rsidRPr="00DA1ECD">
        <w:rPr>
          <w:sz w:val="20"/>
          <w:szCs w:val="20"/>
        </w:rPr>
        <w:t xml:space="preserve">AS: The mean absorbance of oil. </w:t>
      </w:r>
    </w:p>
    <w:p w:rsidR="00F11C8B" w:rsidRPr="00DA1ECD" w:rsidRDefault="00F11C8B" w:rsidP="00F11C8B">
      <w:pPr>
        <w:pStyle w:val="Default"/>
        <w:rPr>
          <w:sz w:val="20"/>
          <w:szCs w:val="20"/>
        </w:rPr>
      </w:pPr>
      <w:r w:rsidRPr="00DA1ECD">
        <w:rPr>
          <w:sz w:val="20"/>
          <w:szCs w:val="20"/>
        </w:rPr>
        <w:t xml:space="preserve">ASB: The mean absorbance oil blank. </w:t>
      </w:r>
    </w:p>
    <w:p w:rsidR="00F11C8B" w:rsidRPr="00DA1ECD" w:rsidRDefault="00F11C8B" w:rsidP="00F11C8B">
      <w:pPr>
        <w:pStyle w:val="Default"/>
        <w:rPr>
          <w:sz w:val="20"/>
          <w:szCs w:val="20"/>
        </w:rPr>
      </w:pPr>
      <w:r w:rsidRPr="00DA1ECD">
        <w:rPr>
          <w:sz w:val="20"/>
          <w:szCs w:val="20"/>
        </w:rPr>
        <w:t xml:space="preserve">a: The slope of vitamin E standard curve. </w:t>
      </w:r>
    </w:p>
    <w:p w:rsidR="00F6792D" w:rsidRPr="00DA1ECD" w:rsidRDefault="00F11C8B" w:rsidP="00F6792D">
      <w:pPr>
        <w:pStyle w:val="Default"/>
        <w:rPr>
          <w:sz w:val="20"/>
          <w:szCs w:val="20"/>
        </w:rPr>
      </w:pPr>
      <w:r w:rsidRPr="00DA1ECD">
        <w:rPr>
          <w:sz w:val="20"/>
          <w:szCs w:val="20"/>
        </w:rPr>
        <w:t>b: The intercep</w:t>
      </w:r>
      <w:r w:rsidR="00F6792D" w:rsidRPr="00DA1ECD">
        <w:rPr>
          <w:sz w:val="20"/>
          <w:szCs w:val="20"/>
        </w:rPr>
        <w:t>t of vitamin E standard curve</w:t>
      </w:r>
      <w:r w:rsidR="003C236F" w:rsidRPr="00DA1ECD">
        <w:rPr>
          <w:sz w:val="20"/>
          <w:szCs w:val="20"/>
        </w:rPr>
        <w:t>.</w:t>
      </w:r>
    </w:p>
    <w:p w:rsidR="00E21F20" w:rsidRPr="00DA1ECD" w:rsidRDefault="00E21F20" w:rsidP="00F6792D">
      <w:pPr>
        <w:pStyle w:val="Default"/>
        <w:rPr>
          <w:sz w:val="20"/>
          <w:szCs w:val="20"/>
        </w:rPr>
      </w:pPr>
    </w:p>
    <w:p w:rsidR="00DA1ECD" w:rsidRPr="00DA1ECD" w:rsidRDefault="00DA1ECD" w:rsidP="00DA1ECD">
      <w:pPr>
        <w:pStyle w:val="Default"/>
        <w:numPr>
          <w:ilvl w:val="1"/>
          <w:numId w:val="1"/>
        </w:numPr>
        <w:spacing w:after="240"/>
        <w:rPr>
          <w:b/>
          <w:bCs/>
          <w:sz w:val="20"/>
          <w:szCs w:val="20"/>
        </w:rPr>
      </w:pPr>
      <w:r w:rsidRPr="00DA1ECD">
        <w:rPr>
          <w:b/>
          <w:bCs/>
          <w:sz w:val="20"/>
          <w:szCs w:val="20"/>
        </w:rPr>
        <w:t>Fabrication and physicochemical analysis of NLC loaded with wheat germ oil</w:t>
      </w:r>
    </w:p>
    <w:p w:rsidR="00C32B1E" w:rsidRPr="00DA1ECD" w:rsidRDefault="00E21F20" w:rsidP="00DA1ECD">
      <w:pPr>
        <w:pStyle w:val="Default"/>
        <w:ind w:firstLine="360"/>
        <w:jc w:val="both"/>
        <w:rPr>
          <w:sz w:val="20"/>
          <w:szCs w:val="20"/>
        </w:rPr>
      </w:pPr>
      <w:r w:rsidRPr="00DA1ECD">
        <w:rPr>
          <w:sz w:val="20"/>
          <w:szCs w:val="20"/>
        </w:rPr>
        <w:t>Nanostructured lipid carrier loaded with WGO was prepared by hot high shear homogenization method using High-shear homogenizer with different ratios of oily phase and different homogenization time. Initially, cetyl alcohol and Span 80 were co-melted at 60°C to achieve a homogenous oily phase, into which WGO was subsequently incorporated. Concurrently, an aqueous solution containing Cremophor RH40 was prepared and heated to an identical temperature. The heated aqueous phase was then progressively titrated into the oily phase under high-speed homogenization, commencing at 5,000 rpm and sustained at 60°C, followed by an intensified homogenization at 10,000 rpm for 10 minutes. Subsequent refinement of the selected formulation's dispersion was accomplished via ultra-sonication for 5 minutes, employing a pulsed 20/5 on/off cycle. To confer mucoadhesive characteristics upon the chosen formulation, chitosan, a widely recognized mucoadhesive polymer, was incorporated. A 0.5% chitosan dispersion was prepared by dissolving the polymer in 1% acetic acid with continuous magnetic stirring until complete solubilization. For the selected formulations (F6, F7), surface functionalization of the NLCs was achieved by blending 8 mL of the NLC dispersion with 2 mL of the chitosan solution via magnetic stirring for 30 minutes, followed by ambient cooling. A placebo formulation was prepared identically but without the inclusion of WGO.</w:t>
      </w:r>
    </w:p>
    <w:p w:rsidR="00C32B1E" w:rsidRPr="00DA1ECD" w:rsidRDefault="00C32B1E" w:rsidP="00DA1ECD">
      <w:pPr>
        <w:pStyle w:val="ListParagraph"/>
        <w:numPr>
          <w:ilvl w:val="2"/>
          <w:numId w:val="1"/>
        </w:numPr>
        <w:spacing w:before="200" w:after="0" w:line="240" w:lineRule="auto"/>
        <w:jc w:val="both"/>
        <w:rPr>
          <w:rFonts w:asciiTheme="majorBidi" w:eastAsia="Calibri" w:hAnsiTheme="majorBidi" w:cstheme="majorBidi"/>
          <w:b/>
          <w:bCs/>
          <w:sz w:val="20"/>
          <w:szCs w:val="20"/>
          <w:lang w:bidi="ar-EG"/>
        </w:rPr>
      </w:pPr>
      <w:r w:rsidRPr="00DA1ECD">
        <w:rPr>
          <w:rFonts w:asciiTheme="majorBidi" w:eastAsia="Calibri" w:hAnsiTheme="majorBidi" w:cstheme="majorBidi"/>
          <w:b/>
          <w:bCs/>
          <w:sz w:val="20"/>
          <w:szCs w:val="20"/>
          <w:lang w:bidi="ar-EG"/>
        </w:rPr>
        <w:t>Particle size analysis and polydispersity index (PDI)</w:t>
      </w:r>
    </w:p>
    <w:p w:rsidR="00C32B1E" w:rsidRPr="00DA1ECD" w:rsidRDefault="00C32B1E" w:rsidP="00C32B1E">
      <w:pPr>
        <w:spacing w:before="200" w:after="0" w:line="240" w:lineRule="auto"/>
        <w:ind w:firstLine="360"/>
        <w:jc w:val="both"/>
        <w:rPr>
          <w:rFonts w:asciiTheme="majorBidi" w:eastAsia="Times New Roman" w:hAnsiTheme="majorBidi" w:cstheme="majorBidi"/>
          <w:sz w:val="20"/>
          <w:szCs w:val="20"/>
          <w:lang w:eastAsia="ar-SA" w:bidi="ar-EG"/>
        </w:rPr>
      </w:pPr>
      <w:r w:rsidRPr="00DA1ECD">
        <w:rPr>
          <w:rFonts w:asciiTheme="majorBidi" w:eastAsia="Times New Roman" w:hAnsiTheme="majorBidi" w:cstheme="majorBidi"/>
          <w:color w:val="000000"/>
          <w:sz w:val="20"/>
          <w:szCs w:val="20"/>
          <w:lang w:eastAsia="ar-SA" w:bidi="ar-EG"/>
        </w:rPr>
        <w:t xml:space="preserve">Particle size and </w:t>
      </w:r>
      <w:r w:rsidRPr="00DA1ECD">
        <w:rPr>
          <w:rFonts w:asciiTheme="majorBidi" w:eastAsia="Calibri" w:hAnsiTheme="majorBidi" w:cstheme="majorBidi"/>
          <w:sz w:val="20"/>
          <w:szCs w:val="20"/>
          <w:lang w:bidi="ar-EG"/>
        </w:rPr>
        <w:t xml:space="preserve">PDI </w:t>
      </w:r>
      <w:r w:rsidRPr="00DA1ECD">
        <w:rPr>
          <w:rFonts w:asciiTheme="majorBidi" w:eastAsia="Times New Roman" w:hAnsiTheme="majorBidi" w:cstheme="majorBidi"/>
          <w:color w:val="000000"/>
          <w:sz w:val="20"/>
          <w:szCs w:val="20"/>
          <w:lang w:eastAsia="ar-SA" w:bidi="ar-EG"/>
        </w:rPr>
        <w:t>index of the prepared formulations were measured by dynamic light scattering using (Malvern Zeta Sizer Nano-ZS; UK). Samples were diluted 1:200 v/v with deionized water and bath sonicated for 10 min before</w:t>
      </w:r>
      <w:r w:rsidRPr="00DA1ECD">
        <w:rPr>
          <w:rFonts w:asciiTheme="majorBidi" w:eastAsia="Times New Roman" w:hAnsiTheme="majorBidi" w:cstheme="majorBidi"/>
          <w:sz w:val="20"/>
          <w:szCs w:val="20"/>
          <w:lang w:eastAsia="ar-SA" w:bidi="ar-EG"/>
        </w:rPr>
        <w:t xml:space="preserve"> measurements. The size and zeta tests were run in triplicates and results were represented as mean value ± standard deviation (SD).</w:t>
      </w:r>
    </w:p>
    <w:p w:rsidR="00C32B1E" w:rsidRPr="00DA1ECD" w:rsidRDefault="00C32B1E" w:rsidP="00DA1ECD">
      <w:pPr>
        <w:pStyle w:val="ListParagraph"/>
        <w:numPr>
          <w:ilvl w:val="2"/>
          <w:numId w:val="1"/>
        </w:numPr>
        <w:spacing w:before="200" w:after="0" w:line="240" w:lineRule="auto"/>
        <w:jc w:val="both"/>
        <w:rPr>
          <w:rFonts w:asciiTheme="majorBidi" w:eastAsia="Calibri" w:hAnsiTheme="majorBidi" w:cstheme="majorBidi"/>
          <w:b/>
          <w:bCs/>
          <w:sz w:val="20"/>
          <w:szCs w:val="20"/>
          <w:lang w:bidi="ar-EG"/>
        </w:rPr>
      </w:pPr>
      <w:r w:rsidRPr="00DA1ECD">
        <w:rPr>
          <w:rFonts w:asciiTheme="majorBidi" w:eastAsia="Calibri" w:hAnsiTheme="majorBidi" w:cstheme="majorBidi"/>
          <w:b/>
          <w:bCs/>
          <w:sz w:val="20"/>
          <w:szCs w:val="20"/>
          <w:lang w:bidi="ar-EG"/>
        </w:rPr>
        <w:t>Entrapment efficiency (EE%)</w:t>
      </w:r>
    </w:p>
    <w:p w:rsidR="00C32B1E" w:rsidRPr="00DA1ECD" w:rsidRDefault="00C32B1E" w:rsidP="00CF22F4">
      <w:pPr>
        <w:spacing w:before="200" w:after="0" w:line="240" w:lineRule="auto"/>
        <w:ind w:firstLine="360"/>
        <w:jc w:val="both"/>
        <w:rPr>
          <w:rFonts w:asciiTheme="majorBidi" w:eastAsia="Times New Roman" w:hAnsiTheme="majorBidi" w:cstheme="majorBidi"/>
          <w:sz w:val="20"/>
          <w:szCs w:val="20"/>
          <w:lang w:eastAsia="ar-SA" w:bidi="ar-EG"/>
        </w:rPr>
      </w:pPr>
      <w:r w:rsidRPr="00DA1ECD">
        <w:rPr>
          <w:rFonts w:asciiTheme="majorBidi" w:eastAsia="Times New Roman" w:hAnsiTheme="majorBidi" w:cstheme="majorBidi"/>
          <w:sz w:val="20"/>
          <w:szCs w:val="20"/>
          <w:lang w:eastAsia="ar-SA" w:bidi="ar-EG"/>
        </w:rPr>
        <w:t>The entrapment efficiency (EE%) was quantified us</w:t>
      </w:r>
      <w:r w:rsidR="00CF22F4" w:rsidRPr="00DA1ECD">
        <w:rPr>
          <w:rFonts w:asciiTheme="majorBidi" w:eastAsia="Times New Roman" w:hAnsiTheme="majorBidi" w:cstheme="majorBidi"/>
          <w:sz w:val="20"/>
          <w:szCs w:val="20"/>
          <w:lang w:eastAsia="ar-SA" w:bidi="ar-EG"/>
        </w:rPr>
        <w:t xml:space="preserve">ing an indirect method, adapted. </w:t>
      </w:r>
      <w:r w:rsidRPr="00DA1ECD">
        <w:rPr>
          <w:rFonts w:asciiTheme="majorBidi" w:eastAsia="Times New Roman" w:hAnsiTheme="majorBidi" w:cstheme="majorBidi"/>
          <w:sz w:val="20"/>
          <w:szCs w:val="20"/>
          <w:lang w:eastAsia="ar-SA" w:bidi="ar-EG"/>
        </w:rPr>
        <w:t>Briefly, 5 mL aliquots of the formulation were introduced into the upper chamber of Vivaspin 6™ ultrafiltration tubes (MWCO 100,000). Subsequent centrifugation was performed at 6,000 rpm for 1 hour at ambient temperature using a FINSEN-R high-speed centrifuge. An aliquot of the resulting filtrate was then subjected to UV-Visible spectrophotometry (Pg model T80+) to ascertain the concentration of unentrapped oil within the formulations. All measurements were conducted in triplicate and are expressed as mean ± standard deviation. The EE% was calculated utilizing the following equation:</w:t>
      </w:r>
    </w:p>
    <w:p w:rsidR="00C32B1E" w:rsidRPr="00DA1ECD" w:rsidRDefault="00C32B1E" w:rsidP="00C32B1E">
      <w:pPr>
        <w:spacing w:before="200" w:after="0" w:line="240" w:lineRule="auto"/>
        <w:ind w:firstLine="360"/>
        <w:jc w:val="both"/>
        <w:rPr>
          <w:rFonts w:asciiTheme="majorBidi" w:eastAsia="Times New Roman" w:hAnsiTheme="majorBidi" w:cstheme="majorBidi"/>
          <w:b/>
          <w:bCs/>
          <w:sz w:val="20"/>
          <w:szCs w:val="20"/>
          <w:lang w:eastAsia="ar-SA" w:bidi="ar-EG"/>
        </w:rPr>
      </w:pPr>
      <m:oMathPara>
        <m:oMath>
          <m:r>
            <m:rPr>
              <m:sty m:val="b"/>
            </m:rPr>
            <w:rPr>
              <w:rFonts w:ascii="Cambria Math" w:eastAsia="Times New Roman" w:hAnsi="Cambria Math" w:cstheme="majorBidi"/>
              <w:sz w:val="20"/>
              <w:szCs w:val="20"/>
              <w:lang w:eastAsia="ar-SA" w:bidi="ar-EG"/>
            </w:rPr>
            <m:t xml:space="preserve">EE%= </m:t>
          </m:r>
          <m:f>
            <m:fPr>
              <m:ctrlPr>
                <w:rPr>
                  <w:rFonts w:ascii="Cambria Math" w:eastAsia="Times New Roman" w:hAnsi="Cambria Math" w:cstheme="majorBidi"/>
                  <w:b/>
                  <w:bCs/>
                  <w:sz w:val="20"/>
                  <w:szCs w:val="20"/>
                  <w:lang w:eastAsia="ar-SA" w:bidi="ar-EG"/>
                </w:rPr>
              </m:ctrlPr>
            </m:fPr>
            <m:num>
              <m:sSub>
                <m:sSubPr>
                  <m:ctrlPr>
                    <w:rPr>
                      <w:rFonts w:ascii="Cambria Math" w:eastAsia="Times New Roman" w:hAnsi="Cambria Math" w:cstheme="majorBidi"/>
                      <w:b/>
                      <w:bCs/>
                      <w:i/>
                      <w:sz w:val="20"/>
                      <w:szCs w:val="20"/>
                      <w:lang w:eastAsia="ar-SA" w:bidi="ar-EG"/>
                    </w:rPr>
                  </m:ctrlPr>
                </m:sSubPr>
                <m:e>
                  <m:r>
                    <m:rPr>
                      <m:sty m:val="b"/>
                    </m:rPr>
                    <w:rPr>
                      <w:rFonts w:ascii="Cambria Math" w:eastAsia="Times New Roman" w:hAnsi="Cambria Math" w:cstheme="majorBidi"/>
                      <w:sz w:val="20"/>
                      <w:szCs w:val="20"/>
                      <w:lang w:eastAsia="ar-SA" w:bidi="ar-EG"/>
                    </w:rPr>
                    <m:t xml:space="preserve">W </m:t>
                  </m:r>
                </m:e>
                <m:sub>
                  <m:r>
                    <m:rPr>
                      <m:sty m:val="bi"/>
                    </m:rPr>
                    <w:rPr>
                      <w:rFonts w:ascii="Cambria Math" w:eastAsia="Times New Roman" w:hAnsi="Cambria Math" w:cstheme="majorBidi"/>
                      <w:sz w:val="20"/>
                      <w:szCs w:val="20"/>
                      <w:lang w:eastAsia="ar-SA" w:bidi="ar-EG"/>
                    </w:rPr>
                    <m:t>T</m:t>
                  </m:r>
                </m:sub>
              </m:sSub>
              <m:r>
                <m:rPr>
                  <m:sty m:val="bi"/>
                </m:rPr>
                <w:rPr>
                  <w:rFonts w:ascii="Cambria Math" w:eastAsia="Times New Roman" w:hAnsi="Cambria Math" w:cstheme="majorBidi"/>
                  <w:sz w:val="20"/>
                  <w:szCs w:val="20"/>
                  <w:lang w:eastAsia="ar-SA" w:bidi="ar-EG"/>
                </w:rPr>
                <m:t xml:space="preserve">- </m:t>
              </m:r>
              <m:sSub>
                <m:sSubPr>
                  <m:ctrlPr>
                    <w:rPr>
                      <w:rFonts w:ascii="Cambria Math" w:eastAsia="Times New Roman" w:hAnsi="Cambria Math" w:cstheme="majorBidi"/>
                      <w:b/>
                      <w:bCs/>
                      <w:i/>
                      <w:sz w:val="20"/>
                      <w:szCs w:val="20"/>
                      <w:lang w:eastAsia="ar-SA" w:bidi="ar-EG"/>
                    </w:rPr>
                  </m:ctrlPr>
                </m:sSubPr>
                <m:e>
                  <m:r>
                    <m:rPr>
                      <m:sty m:val="b"/>
                    </m:rPr>
                    <w:rPr>
                      <w:rFonts w:ascii="Cambria Math" w:eastAsia="Times New Roman" w:hAnsi="Cambria Math" w:cstheme="majorBidi"/>
                      <w:sz w:val="20"/>
                      <w:szCs w:val="20"/>
                      <w:lang w:eastAsia="ar-SA" w:bidi="ar-EG"/>
                    </w:rPr>
                    <m:t>W</m:t>
                  </m:r>
                </m:e>
                <m:sub>
                  <m:r>
                    <m:rPr>
                      <m:sty m:val="bi"/>
                    </m:rPr>
                    <w:rPr>
                      <w:rFonts w:ascii="Cambria Math" w:eastAsia="Times New Roman" w:hAnsi="Cambria Math" w:cstheme="majorBidi"/>
                      <w:sz w:val="20"/>
                      <w:szCs w:val="20"/>
                      <w:lang w:eastAsia="ar-SA" w:bidi="ar-EG"/>
                    </w:rPr>
                    <m:t>F</m:t>
                  </m:r>
                </m:sub>
              </m:sSub>
            </m:num>
            <m:den>
              <m:sSub>
                <m:sSubPr>
                  <m:ctrlPr>
                    <w:rPr>
                      <w:rFonts w:ascii="Cambria Math" w:eastAsia="Times New Roman" w:hAnsi="Cambria Math" w:cstheme="majorBidi"/>
                      <w:b/>
                      <w:bCs/>
                      <w:i/>
                      <w:sz w:val="20"/>
                      <w:szCs w:val="20"/>
                      <w:lang w:eastAsia="ar-SA" w:bidi="ar-EG"/>
                    </w:rPr>
                  </m:ctrlPr>
                </m:sSubPr>
                <m:e>
                  <m:r>
                    <m:rPr>
                      <m:sty m:val="b"/>
                    </m:rPr>
                    <w:rPr>
                      <w:rFonts w:ascii="Cambria Math" w:eastAsia="Times New Roman" w:hAnsi="Cambria Math" w:cstheme="majorBidi"/>
                      <w:sz w:val="20"/>
                      <w:szCs w:val="20"/>
                      <w:lang w:eastAsia="ar-SA" w:bidi="ar-EG"/>
                    </w:rPr>
                    <m:t xml:space="preserve">W </m:t>
                  </m:r>
                </m:e>
                <m:sub>
                  <m:r>
                    <m:rPr>
                      <m:sty m:val="bi"/>
                    </m:rPr>
                    <w:rPr>
                      <w:rFonts w:ascii="Cambria Math" w:eastAsia="Times New Roman" w:hAnsi="Cambria Math" w:cstheme="majorBidi"/>
                      <w:sz w:val="20"/>
                      <w:szCs w:val="20"/>
                      <w:lang w:eastAsia="ar-SA" w:bidi="ar-EG"/>
                    </w:rPr>
                    <m:t>T</m:t>
                  </m:r>
                </m:sub>
              </m:sSub>
            </m:den>
          </m:f>
          <m:r>
            <m:rPr>
              <m:sty m:val="bi"/>
            </m:rPr>
            <w:rPr>
              <w:rFonts w:ascii="Cambria Math" w:eastAsia="Times New Roman" w:hAnsi="Cambria Math" w:cstheme="majorBidi"/>
              <w:sz w:val="20"/>
              <w:szCs w:val="20"/>
              <w:lang w:eastAsia="ar-SA" w:bidi="ar-EG"/>
            </w:rPr>
            <m:t xml:space="preserve"> ×100</m:t>
          </m:r>
        </m:oMath>
      </m:oMathPara>
    </w:p>
    <w:p w:rsidR="00C32B1E" w:rsidRPr="00DA1ECD" w:rsidRDefault="00C32B1E" w:rsidP="00C32B1E">
      <w:pPr>
        <w:spacing w:after="0" w:line="240" w:lineRule="auto"/>
        <w:jc w:val="both"/>
        <w:rPr>
          <w:rFonts w:asciiTheme="majorBidi" w:eastAsia="Times New Roman" w:hAnsiTheme="majorBidi" w:cstheme="majorBidi"/>
          <w:sz w:val="20"/>
          <w:szCs w:val="20"/>
          <w:lang w:eastAsia="ar-SA" w:bidi="ar-EG"/>
        </w:rPr>
      </w:pPr>
      <w:r w:rsidRPr="00DA1ECD">
        <w:rPr>
          <w:rFonts w:asciiTheme="majorBidi" w:eastAsia="Times New Roman" w:hAnsiTheme="majorBidi" w:cstheme="majorBidi"/>
          <w:sz w:val="20"/>
          <w:szCs w:val="20"/>
          <w:lang w:eastAsia="ar-SA" w:bidi="ar-EG"/>
        </w:rPr>
        <w:t>where WT represents the total amount of oil added to the NLCs and WF the amount of free, unentrapped oil.</w:t>
      </w:r>
    </w:p>
    <w:p w:rsidR="00C32B1E" w:rsidRPr="00DA1ECD" w:rsidRDefault="00C32B1E" w:rsidP="00DA1ECD">
      <w:pPr>
        <w:pStyle w:val="ListParagraph"/>
        <w:numPr>
          <w:ilvl w:val="2"/>
          <w:numId w:val="1"/>
        </w:numPr>
        <w:spacing w:before="200" w:after="0" w:line="240" w:lineRule="auto"/>
        <w:jc w:val="both"/>
        <w:rPr>
          <w:rFonts w:asciiTheme="majorBidi" w:eastAsia="Calibri" w:hAnsiTheme="majorBidi" w:cstheme="majorBidi"/>
          <w:b/>
          <w:bCs/>
          <w:sz w:val="20"/>
          <w:szCs w:val="20"/>
          <w:lang w:bidi="ar-EG"/>
        </w:rPr>
      </w:pPr>
      <w:r w:rsidRPr="00DA1ECD">
        <w:rPr>
          <w:rFonts w:asciiTheme="majorBidi" w:eastAsia="Calibri" w:hAnsiTheme="majorBidi" w:cstheme="majorBidi"/>
          <w:b/>
          <w:bCs/>
          <w:sz w:val="20"/>
          <w:szCs w:val="20"/>
          <w:lang w:bidi="ar-EG"/>
        </w:rPr>
        <w:t>Morphological analysis TEM</w:t>
      </w:r>
    </w:p>
    <w:p w:rsidR="00C32B1E" w:rsidRPr="00DA1ECD" w:rsidRDefault="00C32B1E" w:rsidP="00CF22F4">
      <w:pPr>
        <w:autoSpaceDE w:val="0"/>
        <w:autoSpaceDN w:val="0"/>
        <w:adjustRightInd w:val="0"/>
        <w:spacing w:before="200" w:after="0" w:line="240" w:lineRule="auto"/>
        <w:ind w:firstLine="720"/>
        <w:jc w:val="both"/>
        <w:rPr>
          <w:rFonts w:asciiTheme="majorBidi" w:eastAsia="Times New Roman" w:hAnsiTheme="majorBidi" w:cstheme="majorBidi"/>
          <w:b/>
          <w:bCs/>
          <w:spacing w:val="-4"/>
          <w:sz w:val="20"/>
          <w:szCs w:val="20"/>
          <w:lang w:eastAsia="ar-SA" w:bidi="ar-EG"/>
        </w:rPr>
      </w:pPr>
      <w:r w:rsidRPr="00DA1ECD">
        <w:rPr>
          <w:rFonts w:asciiTheme="majorBidi" w:eastAsia="Times New Roman" w:hAnsiTheme="majorBidi" w:cstheme="majorBidi"/>
          <w:spacing w:val="-4"/>
          <w:sz w:val="20"/>
          <w:szCs w:val="20"/>
          <w:lang w:eastAsia="ar-SA" w:bidi="ar-EG"/>
        </w:rPr>
        <w:t>The morphology of the selected WGO-loaded NLCs was characterized using Transmission Electron Microscopy (TEM, Jeol JEM-1400 Plus, USA),</w:t>
      </w:r>
      <w:r w:rsidRPr="00DA1ECD">
        <w:rPr>
          <w:rFonts w:ascii="Times New Roman" w:eastAsia="Times New Roman" w:hAnsi="Times New Roman" w:cs="Times New Roman"/>
          <w:spacing w:val="-4"/>
          <w:sz w:val="20"/>
          <w:szCs w:val="20"/>
          <w:lang w:eastAsia="ar-SA" w:bidi="ar-EG"/>
        </w:rPr>
        <w:t xml:space="preserve"> (Faculty of Science, Alexandria University, Egypt)</w:t>
      </w:r>
      <w:r w:rsidRPr="00DA1ECD">
        <w:rPr>
          <w:rFonts w:asciiTheme="majorBidi" w:eastAsia="Times New Roman" w:hAnsiTheme="majorBidi" w:cstheme="majorBidi"/>
          <w:spacing w:val="-4"/>
          <w:sz w:val="20"/>
          <w:szCs w:val="20"/>
          <w:lang w:eastAsia="ar-SA" w:bidi="ar-EG"/>
        </w:rPr>
        <w:t>. Samples were initially diluted 50-fold with deionized water and briefly sonicated in a bath for 5 minutes. A single drop of the NLC dispersion was then applied to a carbon-coated copper grid and allowed to air dry, forming a thin film. Subsequently, a drop of 2% phosphotungstic acid was added to the film to enhance particle contrast, followed by a 10-minute drying period prior to observation. Images were captured at 40,000× magnification with an acceleration volt</w:t>
      </w:r>
      <w:r w:rsidR="00CF22F4" w:rsidRPr="00DA1ECD">
        <w:rPr>
          <w:rFonts w:asciiTheme="majorBidi" w:eastAsia="Times New Roman" w:hAnsiTheme="majorBidi" w:cstheme="majorBidi"/>
          <w:spacing w:val="-4"/>
          <w:sz w:val="20"/>
          <w:szCs w:val="20"/>
          <w:lang w:eastAsia="ar-SA" w:bidi="ar-EG"/>
        </w:rPr>
        <w:t>age of 120 kV.</w:t>
      </w:r>
    </w:p>
    <w:p w:rsidR="00C32B1E" w:rsidRPr="00DA1ECD" w:rsidRDefault="00C32B1E" w:rsidP="00F6792D">
      <w:pPr>
        <w:pStyle w:val="Default"/>
        <w:rPr>
          <w:sz w:val="20"/>
          <w:szCs w:val="20"/>
        </w:rPr>
      </w:pPr>
    </w:p>
    <w:p w:rsidR="00F6792D" w:rsidRPr="00DA1ECD" w:rsidRDefault="00F6792D" w:rsidP="00F6792D">
      <w:pPr>
        <w:spacing w:before="200" w:after="0" w:line="240" w:lineRule="auto"/>
        <w:jc w:val="center"/>
        <w:rPr>
          <w:rFonts w:asciiTheme="majorBidi" w:eastAsia="Times New Roman" w:hAnsiTheme="majorBidi" w:cstheme="majorBidi"/>
          <w:sz w:val="20"/>
          <w:szCs w:val="20"/>
          <w:lang w:bidi="en-US"/>
        </w:rPr>
      </w:pPr>
      <w:r w:rsidRPr="00DA1ECD">
        <w:rPr>
          <w:rFonts w:asciiTheme="majorBidi" w:hAnsiTheme="majorBidi" w:cstheme="majorBidi"/>
          <w:noProof/>
          <w:sz w:val="20"/>
          <w:szCs w:val="20"/>
        </w:rPr>
        <w:lastRenderedPageBreak/>
        <w:drawing>
          <wp:inline distT="0" distB="0" distL="0" distR="0" wp14:anchorId="05574FB2" wp14:editId="01990FD9">
            <wp:extent cx="4720590" cy="1709530"/>
            <wp:effectExtent l="0" t="0" r="381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57CB0" w:rsidRPr="00DA1ECD" w:rsidRDefault="006B4725" w:rsidP="006B4725">
      <w:pPr>
        <w:spacing w:before="200" w:line="240" w:lineRule="auto"/>
        <w:jc w:val="center"/>
        <w:rPr>
          <w:rFonts w:asciiTheme="majorBidi" w:hAnsiTheme="majorBidi" w:cstheme="majorBidi"/>
          <w:sz w:val="20"/>
          <w:szCs w:val="20"/>
          <w:lang w:bidi="ar-EG"/>
        </w:rPr>
      </w:pPr>
      <w:r w:rsidRPr="00DA1ECD">
        <w:rPr>
          <w:noProof/>
          <w:sz w:val="20"/>
          <w:szCs w:val="20"/>
        </w:rPr>
        <w:drawing>
          <wp:anchor distT="0" distB="0" distL="114300" distR="114300" simplePos="0" relativeHeight="251677696" behindDoc="0" locked="0" layoutInCell="1" allowOverlap="1" wp14:anchorId="78E0120C" wp14:editId="47214EC5">
            <wp:simplePos x="0" y="0"/>
            <wp:positionH relativeFrom="column">
              <wp:posOffset>540689</wp:posOffset>
            </wp:positionH>
            <wp:positionV relativeFrom="paragraph">
              <wp:posOffset>339615</wp:posOffset>
            </wp:positionV>
            <wp:extent cx="4834393" cy="2122805"/>
            <wp:effectExtent l="0" t="0" r="4445" b="10795"/>
            <wp:wrapNone/>
            <wp:docPr id="2" name="Chart 2">
              <a:extLst xmlns:a="http://schemas.openxmlformats.org/drawingml/2006/main">
                <a:ext uri="{FF2B5EF4-FFF2-40B4-BE49-F238E27FC236}">
                  <a16:creationId xmlns:a16="http://schemas.microsoft.com/office/drawing/2014/main" id="{9EF9BCB4-FEF3-571F-9A72-2B6721CCFE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545C26" w:rsidRPr="00DA1ECD">
        <w:rPr>
          <w:rFonts w:asciiTheme="majorBidi" w:hAnsiTheme="majorBidi" w:cstheme="majorBidi"/>
          <w:b/>
          <w:bCs/>
          <w:sz w:val="20"/>
          <w:szCs w:val="20"/>
          <w:lang w:bidi="ar-EG"/>
        </w:rPr>
        <w:t>Figure 1</w:t>
      </w:r>
      <w:r w:rsidR="00F6792D" w:rsidRPr="00DA1ECD">
        <w:rPr>
          <w:rFonts w:asciiTheme="majorBidi" w:hAnsiTheme="majorBidi" w:cstheme="majorBidi"/>
          <w:b/>
          <w:bCs/>
          <w:sz w:val="20"/>
          <w:szCs w:val="20"/>
          <w:lang w:bidi="ar-EG"/>
        </w:rPr>
        <w:t>:</w:t>
      </w:r>
      <w:r w:rsidR="00F6792D" w:rsidRPr="00DA1ECD">
        <w:rPr>
          <w:rFonts w:asciiTheme="majorBidi" w:hAnsiTheme="majorBidi" w:cstheme="majorBidi"/>
          <w:sz w:val="20"/>
          <w:szCs w:val="20"/>
          <w:lang w:bidi="ar-EG"/>
        </w:rPr>
        <w:t xml:space="preserve"> Standard curve of vitamin E</w:t>
      </w:r>
    </w:p>
    <w:p w:rsidR="00057CB0" w:rsidRPr="00DA1ECD" w:rsidRDefault="00057CB0" w:rsidP="00057CB0">
      <w:pPr>
        <w:spacing w:before="240"/>
        <w:rPr>
          <w:rFonts w:ascii="Times New Roman" w:eastAsia="Calibri" w:hAnsi="Times New Roman" w:cs="Times New Roman"/>
          <w:b/>
          <w:bCs/>
          <w:sz w:val="20"/>
          <w:szCs w:val="20"/>
          <w:lang w:bidi="ar-EG"/>
        </w:rPr>
      </w:pPr>
    </w:p>
    <w:p w:rsidR="00057CB0" w:rsidRPr="00DA1ECD" w:rsidRDefault="00057CB0" w:rsidP="00057CB0">
      <w:pPr>
        <w:spacing w:before="240"/>
        <w:jc w:val="center"/>
        <w:rPr>
          <w:rFonts w:ascii="Times New Roman" w:eastAsia="Calibri" w:hAnsi="Times New Roman" w:cs="Times New Roman"/>
          <w:b/>
          <w:bCs/>
          <w:sz w:val="20"/>
          <w:szCs w:val="20"/>
          <w:lang w:bidi="ar-EG"/>
        </w:rPr>
      </w:pPr>
    </w:p>
    <w:p w:rsidR="00057CB0" w:rsidRPr="00DA1ECD" w:rsidRDefault="00057CB0" w:rsidP="00057CB0">
      <w:pPr>
        <w:spacing w:before="240"/>
        <w:jc w:val="center"/>
        <w:rPr>
          <w:rFonts w:ascii="Times New Roman" w:eastAsia="Calibri" w:hAnsi="Times New Roman" w:cs="Times New Roman"/>
          <w:b/>
          <w:bCs/>
          <w:sz w:val="20"/>
          <w:szCs w:val="20"/>
          <w:lang w:bidi="ar-EG"/>
        </w:rPr>
      </w:pPr>
    </w:p>
    <w:p w:rsidR="006B4725" w:rsidRPr="00DA1ECD" w:rsidRDefault="006B4725" w:rsidP="006B4725">
      <w:pPr>
        <w:spacing w:before="240"/>
        <w:rPr>
          <w:rFonts w:ascii="Times New Roman" w:eastAsia="Calibri" w:hAnsi="Times New Roman" w:cs="Times New Roman"/>
          <w:b/>
          <w:bCs/>
          <w:sz w:val="20"/>
          <w:szCs w:val="20"/>
          <w:lang w:bidi="ar-EG"/>
        </w:rPr>
      </w:pPr>
    </w:p>
    <w:p w:rsidR="006B4725" w:rsidRPr="00DA1ECD" w:rsidRDefault="006B4725" w:rsidP="006B4725">
      <w:pPr>
        <w:spacing w:before="240"/>
        <w:rPr>
          <w:rFonts w:ascii="Times New Roman" w:eastAsia="Calibri" w:hAnsi="Times New Roman" w:cs="Times New Roman"/>
          <w:b/>
          <w:bCs/>
          <w:sz w:val="20"/>
          <w:szCs w:val="20"/>
          <w:lang w:bidi="ar-EG"/>
        </w:rPr>
      </w:pPr>
    </w:p>
    <w:p w:rsidR="006B4725" w:rsidRPr="00DA1ECD" w:rsidRDefault="006B4725" w:rsidP="006B4725">
      <w:pPr>
        <w:spacing w:before="240"/>
        <w:rPr>
          <w:rFonts w:ascii="Times New Roman" w:eastAsia="Calibri" w:hAnsi="Times New Roman" w:cs="Times New Roman"/>
          <w:b/>
          <w:bCs/>
          <w:sz w:val="20"/>
          <w:szCs w:val="20"/>
          <w:lang w:bidi="ar-EG"/>
        </w:rPr>
      </w:pPr>
    </w:p>
    <w:p w:rsidR="003A2EA2" w:rsidRPr="00DA1ECD" w:rsidRDefault="003A2EA2" w:rsidP="005D3D62">
      <w:pPr>
        <w:spacing w:before="240"/>
        <w:rPr>
          <w:rFonts w:ascii="Times New Roman" w:eastAsia="Calibri" w:hAnsi="Times New Roman" w:cs="Times New Roman"/>
          <w:b/>
          <w:bCs/>
          <w:sz w:val="20"/>
          <w:szCs w:val="20"/>
          <w:lang w:bidi="ar-EG"/>
        </w:rPr>
      </w:pPr>
    </w:p>
    <w:p w:rsidR="005D3D62" w:rsidRPr="00DA1ECD" w:rsidRDefault="005D3D62" w:rsidP="006B4725">
      <w:pPr>
        <w:spacing w:before="240"/>
        <w:jc w:val="center"/>
        <w:rPr>
          <w:rFonts w:ascii="Times New Roman" w:eastAsia="Calibri" w:hAnsi="Times New Roman" w:cs="Times New Roman"/>
          <w:b/>
          <w:bCs/>
          <w:sz w:val="20"/>
          <w:szCs w:val="20"/>
          <w:lang w:bidi="ar-EG"/>
        </w:rPr>
      </w:pPr>
    </w:p>
    <w:p w:rsidR="005D3D62" w:rsidRPr="00DA1ECD" w:rsidRDefault="003A2EA2" w:rsidP="00D26359">
      <w:pPr>
        <w:spacing w:before="240"/>
        <w:jc w:val="center"/>
        <w:rPr>
          <w:rFonts w:ascii="Times New Roman" w:eastAsia="Calibri" w:hAnsi="Times New Roman" w:cs="Times New Roman"/>
          <w:b/>
          <w:bCs/>
          <w:sz w:val="20"/>
          <w:szCs w:val="20"/>
          <w:lang w:bidi="ar-EG"/>
        </w:rPr>
      </w:pPr>
      <w:r w:rsidRPr="00DA1ECD">
        <w:rPr>
          <w:rFonts w:ascii="Times New Roman" w:eastAsia="Calibri" w:hAnsi="Times New Roman" w:cs="Times New Roman"/>
          <w:b/>
          <w:bCs/>
          <w:sz w:val="20"/>
          <w:szCs w:val="20"/>
          <w:lang w:bidi="ar-EG"/>
        </w:rPr>
        <w:t>Figure 2</w:t>
      </w:r>
      <w:r w:rsidR="0082378F" w:rsidRPr="00DA1ECD">
        <w:rPr>
          <w:rFonts w:ascii="Times New Roman" w:eastAsia="Calibri" w:hAnsi="Times New Roman" w:cs="Times New Roman"/>
          <w:b/>
          <w:bCs/>
          <w:sz w:val="20"/>
          <w:szCs w:val="20"/>
          <w:lang w:bidi="ar-EG"/>
        </w:rPr>
        <w:t>: Standard curve of AST</w:t>
      </w:r>
    </w:p>
    <w:p w:rsidR="0082378F" w:rsidRPr="00DA1ECD" w:rsidRDefault="0082378F" w:rsidP="0082378F">
      <w:pPr>
        <w:rPr>
          <w:sz w:val="20"/>
          <w:szCs w:val="20"/>
        </w:rPr>
      </w:pPr>
      <w:r w:rsidRPr="00DA1ECD">
        <w:rPr>
          <w:noProof/>
          <w:sz w:val="20"/>
          <w:szCs w:val="20"/>
        </w:rPr>
        <w:drawing>
          <wp:anchor distT="0" distB="0" distL="114300" distR="114300" simplePos="0" relativeHeight="251678720" behindDoc="0" locked="0" layoutInCell="1" allowOverlap="1" wp14:anchorId="0A6E0F6E" wp14:editId="3B52B339">
            <wp:simplePos x="0" y="0"/>
            <wp:positionH relativeFrom="column">
              <wp:posOffset>449221</wp:posOffset>
            </wp:positionH>
            <wp:positionV relativeFrom="paragraph">
              <wp:posOffset>31750</wp:posOffset>
            </wp:positionV>
            <wp:extent cx="5003800" cy="2084832"/>
            <wp:effectExtent l="0" t="0" r="6350" b="10795"/>
            <wp:wrapNone/>
            <wp:docPr id="3" name="Chart 3">
              <a:extLst xmlns:a="http://schemas.openxmlformats.org/drawingml/2006/main">
                <a:ext uri="{FF2B5EF4-FFF2-40B4-BE49-F238E27FC236}">
                  <a16:creationId xmlns:a16="http://schemas.microsoft.com/office/drawing/2014/main" id="{B651B1F6-7645-2B72-1C5F-115643822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82378F" w:rsidRPr="00DA1ECD" w:rsidRDefault="0082378F" w:rsidP="0082378F">
      <w:pPr>
        <w:rPr>
          <w:sz w:val="20"/>
          <w:szCs w:val="20"/>
        </w:rPr>
      </w:pPr>
    </w:p>
    <w:p w:rsidR="0082378F" w:rsidRPr="00DA1ECD" w:rsidRDefault="0082378F" w:rsidP="0082378F">
      <w:pPr>
        <w:rPr>
          <w:sz w:val="20"/>
          <w:szCs w:val="20"/>
        </w:rPr>
      </w:pPr>
    </w:p>
    <w:p w:rsidR="0082378F" w:rsidRPr="00DA1ECD" w:rsidRDefault="0082378F" w:rsidP="0082378F">
      <w:pPr>
        <w:rPr>
          <w:sz w:val="20"/>
          <w:szCs w:val="20"/>
        </w:rPr>
      </w:pPr>
    </w:p>
    <w:p w:rsidR="0082378F" w:rsidRPr="00DA1ECD" w:rsidRDefault="0082378F" w:rsidP="0082378F">
      <w:pPr>
        <w:rPr>
          <w:sz w:val="20"/>
          <w:szCs w:val="20"/>
        </w:rPr>
      </w:pPr>
    </w:p>
    <w:p w:rsidR="0082378F" w:rsidRPr="00DA1ECD" w:rsidRDefault="0082378F" w:rsidP="0082378F">
      <w:pPr>
        <w:rPr>
          <w:sz w:val="20"/>
          <w:szCs w:val="20"/>
        </w:rPr>
      </w:pPr>
    </w:p>
    <w:p w:rsidR="00057CB0" w:rsidRPr="00DA1ECD" w:rsidRDefault="00057CB0" w:rsidP="00EA191D">
      <w:pPr>
        <w:spacing w:before="240"/>
        <w:jc w:val="center"/>
        <w:rPr>
          <w:rFonts w:ascii="Times New Roman" w:eastAsia="Calibri" w:hAnsi="Times New Roman" w:cs="Times New Roman"/>
          <w:b/>
          <w:bCs/>
          <w:sz w:val="20"/>
          <w:szCs w:val="20"/>
          <w:lang w:bidi="ar-EG"/>
        </w:rPr>
      </w:pPr>
    </w:p>
    <w:p w:rsidR="003A2EA2" w:rsidRPr="00DA1ECD" w:rsidRDefault="003A2EA2" w:rsidP="00EA191D">
      <w:pPr>
        <w:spacing w:before="240"/>
        <w:jc w:val="center"/>
        <w:rPr>
          <w:rFonts w:ascii="Times New Roman" w:eastAsia="Calibri" w:hAnsi="Times New Roman" w:cs="Times New Roman"/>
          <w:b/>
          <w:bCs/>
          <w:sz w:val="20"/>
          <w:szCs w:val="20"/>
          <w:lang w:bidi="ar-EG"/>
        </w:rPr>
      </w:pPr>
    </w:p>
    <w:p w:rsidR="0082378F" w:rsidRDefault="003A2EA2" w:rsidP="00EA191D">
      <w:pPr>
        <w:spacing w:before="240"/>
        <w:jc w:val="center"/>
        <w:rPr>
          <w:rFonts w:ascii="Times New Roman" w:eastAsia="Calibri" w:hAnsi="Times New Roman" w:cs="Times New Roman"/>
          <w:b/>
          <w:bCs/>
          <w:sz w:val="20"/>
          <w:szCs w:val="20"/>
          <w:lang w:bidi="ar-EG"/>
        </w:rPr>
      </w:pPr>
      <w:r w:rsidRPr="00DA1ECD">
        <w:rPr>
          <w:rFonts w:ascii="Times New Roman" w:eastAsia="Calibri" w:hAnsi="Times New Roman" w:cs="Times New Roman"/>
          <w:b/>
          <w:bCs/>
          <w:sz w:val="20"/>
          <w:szCs w:val="20"/>
          <w:lang w:bidi="ar-EG"/>
        </w:rPr>
        <w:t>Figure 3</w:t>
      </w:r>
      <w:r w:rsidR="0082378F" w:rsidRPr="00DA1ECD">
        <w:rPr>
          <w:rFonts w:ascii="Times New Roman" w:eastAsia="Calibri" w:hAnsi="Times New Roman" w:cs="Times New Roman"/>
          <w:b/>
          <w:bCs/>
          <w:sz w:val="20"/>
          <w:szCs w:val="20"/>
          <w:lang w:bidi="ar-EG"/>
        </w:rPr>
        <w:t>: Standard curve of ALT</w:t>
      </w:r>
    </w:p>
    <w:p w:rsidR="00DA1ECD" w:rsidRDefault="00DA1ECD" w:rsidP="00EA191D">
      <w:pPr>
        <w:spacing w:before="240"/>
        <w:jc w:val="center"/>
        <w:rPr>
          <w:rFonts w:ascii="Times New Roman" w:eastAsia="Calibri" w:hAnsi="Times New Roman" w:cs="Times New Roman"/>
          <w:b/>
          <w:bCs/>
          <w:sz w:val="20"/>
          <w:szCs w:val="20"/>
          <w:lang w:bidi="ar-EG"/>
        </w:rPr>
      </w:pPr>
    </w:p>
    <w:p w:rsidR="00DA1ECD" w:rsidRDefault="00DA1ECD" w:rsidP="00EA191D">
      <w:pPr>
        <w:spacing w:before="240"/>
        <w:jc w:val="center"/>
        <w:rPr>
          <w:rFonts w:ascii="Times New Roman" w:eastAsia="Calibri" w:hAnsi="Times New Roman" w:cs="Times New Roman"/>
          <w:b/>
          <w:bCs/>
          <w:sz w:val="20"/>
          <w:szCs w:val="20"/>
          <w:lang w:bidi="ar-EG"/>
        </w:rPr>
      </w:pPr>
    </w:p>
    <w:p w:rsidR="00DA1ECD" w:rsidRPr="00DA1ECD" w:rsidRDefault="00DA1ECD" w:rsidP="00EA191D">
      <w:pPr>
        <w:spacing w:before="240"/>
        <w:jc w:val="center"/>
        <w:rPr>
          <w:sz w:val="20"/>
          <w:szCs w:val="20"/>
        </w:rPr>
      </w:pPr>
    </w:p>
    <w:p w:rsidR="0082378F" w:rsidRPr="00DA1ECD" w:rsidRDefault="003C236F" w:rsidP="0082378F">
      <w:pPr>
        <w:rPr>
          <w:sz w:val="20"/>
          <w:szCs w:val="20"/>
        </w:rPr>
      </w:pPr>
      <w:r w:rsidRPr="00DA1ECD">
        <w:rPr>
          <w:noProof/>
          <w:sz w:val="20"/>
          <w:szCs w:val="20"/>
        </w:rPr>
        <w:drawing>
          <wp:anchor distT="0" distB="0" distL="114300" distR="114300" simplePos="0" relativeHeight="251679744" behindDoc="0" locked="0" layoutInCell="1" allowOverlap="1" wp14:anchorId="4F262F58" wp14:editId="06F319BD">
            <wp:simplePos x="0" y="0"/>
            <wp:positionH relativeFrom="column">
              <wp:posOffset>246490</wp:posOffset>
            </wp:positionH>
            <wp:positionV relativeFrom="paragraph">
              <wp:posOffset>115156</wp:posOffset>
            </wp:positionV>
            <wp:extent cx="5072380" cy="1995777"/>
            <wp:effectExtent l="0" t="0" r="13970" b="508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82378F" w:rsidRPr="00DA1ECD" w:rsidRDefault="0082378F" w:rsidP="0082378F">
      <w:pPr>
        <w:rPr>
          <w:sz w:val="20"/>
          <w:szCs w:val="20"/>
        </w:rPr>
      </w:pPr>
    </w:p>
    <w:p w:rsidR="0082378F" w:rsidRPr="00DA1ECD" w:rsidRDefault="0082378F" w:rsidP="0082378F">
      <w:pPr>
        <w:rPr>
          <w:sz w:val="20"/>
          <w:szCs w:val="20"/>
        </w:rPr>
      </w:pPr>
    </w:p>
    <w:p w:rsidR="0082378F" w:rsidRPr="00DA1ECD" w:rsidRDefault="0082378F" w:rsidP="0082378F">
      <w:pPr>
        <w:rPr>
          <w:sz w:val="20"/>
          <w:szCs w:val="20"/>
        </w:rPr>
      </w:pPr>
    </w:p>
    <w:p w:rsidR="0082378F" w:rsidRPr="00DA1ECD" w:rsidRDefault="0082378F" w:rsidP="0082378F">
      <w:pPr>
        <w:rPr>
          <w:sz w:val="20"/>
          <w:szCs w:val="20"/>
        </w:rPr>
      </w:pPr>
    </w:p>
    <w:p w:rsidR="0082378F" w:rsidRPr="00DA1ECD" w:rsidRDefault="0082378F" w:rsidP="0082378F">
      <w:pPr>
        <w:jc w:val="center"/>
        <w:rPr>
          <w:rFonts w:ascii="Times New Roman" w:eastAsia="Calibri" w:hAnsi="Times New Roman" w:cs="Times New Roman"/>
          <w:b/>
          <w:bCs/>
          <w:sz w:val="20"/>
          <w:szCs w:val="20"/>
          <w:lang w:bidi="ar-EG"/>
        </w:rPr>
      </w:pPr>
    </w:p>
    <w:p w:rsidR="006B4725" w:rsidRPr="00DA1ECD" w:rsidRDefault="006B4725" w:rsidP="00EE2297">
      <w:pPr>
        <w:rPr>
          <w:rFonts w:ascii="Times New Roman" w:eastAsia="Calibri" w:hAnsi="Times New Roman" w:cs="Times New Roman"/>
          <w:b/>
          <w:bCs/>
          <w:sz w:val="20"/>
          <w:szCs w:val="20"/>
          <w:lang w:bidi="ar-EG"/>
        </w:rPr>
      </w:pPr>
    </w:p>
    <w:p w:rsidR="003A2EA2" w:rsidRPr="00DA1ECD" w:rsidRDefault="003A2EA2" w:rsidP="0082378F">
      <w:pPr>
        <w:jc w:val="center"/>
        <w:rPr>
          <w:rFonts w:ascii="Times New Roman" w:eastAsia="Calibri" w:hAnsi="Times New Roman" w:cs="Times New Roman"/>
          <w:b/>
          <w:bCs/>
          <w:sz w:val="20"/>
          <w:szCs w:val="20"/>
          <w:lang w:bidi="ar-EG"/>
        </w:rPr>
      </w:pPr>
    </w:p>
    <w:p w:rsidR="0082378F" w:rsidRPr="00DA1ECD" w:rsidRDefault="003A2EA2" w:rsidP="0082378F">
      <w:pPr>
        <w:jc w:val="center"/>
        <w:rPr>
          <w:rFonts w:ascii="Times New Roman" w:eastAsia="Calibri" w:hAnsi="Times New Roman" w:cs="Times New Roman"/>
          <w:b/>
          <w:bCs/>
          <w:sz w:val="20"/>
          <w:szCs w:val="20"/>
          <w:lang w:bidi="ar-EG"/>
        </w:rPr>
      </w:pPr>
      <w:r w:rsidRPr="00DA1ECD">
        <w:rPr>
          <w:rFonts w:ascii="Times New Roman" w:eastAsia="Calibri" w:hAnsi="Times New Roman" w:cs="Times New Roman"/>
          <w:b/>
          <w:bCs/>
          <w:sz w:val="20"/>
          <w:szCs w:val="20"/>
          <w:lang w:bidi="ar-EG"/>
        </w:rPr>
        <w:t>Figure 4</w:t>
      </w:r>
      <w:r w:rsidR="0082378F" w:rsidRPr="00DA1ECD">
        <w:rPr>
          <w:rFonts w:ascii="Times New Roman" w:eastAsia="Calibri" w:hAnsi="Times New Roman" w:cs="Times New Roman"/>
          <w:b/>
          <w:bCs/>
          <w:sz w:val="20"/>
          <w:szCs w:val="20"/>
          <w:lang w:bidi="ar-EG"/>
        </w:rPr>
        <w:t>: Standard curve of formaldehyde</w:t>
      </w:r>
    </w:p>
    <w:p w:rsidR="0082378F" w:rsidRPr="00DA1ECD" w:rsidRDefault="00EA191D" w:rsidP="0082378F">
      <w:pPr>
        <w:jc w:val="center"/>
        <w:rPr>
          <w:rFonts w:ascii="Times New Roman" w:eastAsia="Calibri" w:hAnsi="Times New Roman" w:cs="Times New Roman"/>
          <w:b/>
          <w:bCs/>
          <w:sz w:val="20"/>
          <w:szCs w:val="20"/>
          <w:lang w:bidi="ar-EG"/>
        </w:rPr>
      </w:pPr>
      <w:r w:rsidRPr="00DA1ECD">
        <w:rPr>
          <w:noProof/>
          <w:sz w:val="20"/>
          <w:szCs w:val="20"/>
        </w:rPr>
        <w:drawing>
          <wp:anchor distT="0" distB="0" distL="114300" distR="114300" simplePos="0" relativeHeight="251680768" behindDoc="0" locked="0" layoutInCell="1" allowOverlap="1" wp14:anchorId="6CDA5C6E" wp14:editId="1018DEA7">
            <wp:simplePos x="0" y="0"/>
            <wp:positionH relativeFrom="column">
              <wp:posOffset>197510</wp:posOffset>
            </wp:positionH>
            <wp:positionV relativeFrom="paragraph">
              <wp:posOffset>26872</wp:posOffset>
            </wp:positionV>
            <wp:extent cx="5167630" cy="2172615"/>
            <wp:effectExtent l="0" t="0" r="13970" b="18415"/>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82378F" w:rsidRPr="00DA1ECD" w:rsidRDefault="0082378F" w:rsidP="0082378F">
      <w:pPr>
        <w:jc w:val="center"/>
        <w:rPr>
          <w:rFonts w:ascii="Times New Roman" w:eastAsia="Calibri" w:hAnsi="Times New Roman" w:cs="Times New Roman"/>
          <w:b/>
          <w:bCs/>
          <w:sz w:val="20"/>
          <w:szCs w:val="20"/>
          <w:lang w:bidi="ar-EG"/>
        </w:rPr>
      </w:pPr>
    </w:p>
    <w:p w:rsidR="0082378F" w:rsidRPr="00DA1ECD" w:rsidRDefault="0082378F" w:rsidP="0082378F">
      <w:pPr>
        <w:jc w:val="center"/>
        <w:rPr>
          <w:sz w:val="20"/>
          <w:szCs w:val="20"/>
        </w:rPr>
      </w:pPr>
    </w:p>
    <w:p w:rsidR="0082378F" w:rsidRPr="00DA1ECD" w:rsidRDefault="0082378F" w:rsidP="0082378F">
      <w:pPr>
        <w:rPr>
          <w:sz w:val="20"/>
          <w:szCs w:val="20"/>
        </w:rPr>
      </w:pPr>
    </w:p>
    <w:p w:rsidR="0082378F" w:rsidRPr="00DA1ECD" w:rsidRDefault="0082378F" w:rsidP="0082378F">
      <w:pPr>
        <w:spacing w:before="120" w:after="0" w:line="240" w:lineRule="auto"/>
        <w:jc w:val="center"/>
        <w:rPr>
          <w:sz w:val="20"/>
          <w:szCs w:val="20"/>
        </w:rPr>
      </w:pPr>
      <w:r w:rsidRPr="00DA1ECD">
        <w:rPr>
          <w:sz w:val="20"/>
          <w:szCs w:val="20"/>
        </w:rPr>
        <w:tab/>
      </w:r>
    </w:p>
    <w:p w:rsidR="006B4725" w:rsidRDefault="006B4725" w:rsidP="00EE2297">
      <w:pPr>
        <w:spacing w:before="120" w:line="240" w:lineRule="auto"/>
        <w:rPr>
          <w:rFonts w:ascii="Times New Roman" w:eastAsia="Calibri" w:hAnsi="Times New Roman" w:cs="Times New Roman"/>
          <w:b/>
          <w:bCs/>
          <w:sz w:val="20"/>
          <w:szCs w:val="20"/>
          <w:lang w:bidi="ar-EG"/>
        </w:rPr>
      </w:pPr>
    </w:p>
    <w:p w:rsidR="00DA1ECD" w:rsidRPr="00DA1ECD" w:rsidRDefault="00DA1ECD" w:rsidP="00EE2297">
      <w:pPr>
        <w:spacing w:before="120" w:line="240" w:lineRule="auto"/>
        <w:rPr>
          <w:rFonts w:ascii="Times New Roman" w:eastAsia="Calibri" w:hAnsi="Times New Roman" w:cs="Times New Roman"/>
          <w:b/>
          <w:bCs/>
          <w:sz w:val="20"/>
          <w:szCs w:val="20"/>
          <w:lang w:bidi="ar-EG"/>
        </w:rPr>
      </w:pPr>
    </w:p>
    <w:p w:rsidR="003A2EA2" w:rsidRPr="00DA1ECD" w:rsidRDefault="003A2EA2" w:rsidP="00D26359">
      <w:pPr>
        <w:spacing w:before="120" w:line="240" w:lineRule="auto"/>
        <w:rPr>
          <w:rFonts w:ascii="Times New Roman" w:eastAsia="Calibri" w:hAnsi="Times New Roman" w:cs="Times New Roman"/>
          <w:b/>
          <w:bCs/>
          <w:sz w:val="20"/>
          <w:szCs w:val="20"/>
          <w:lang w:bidi="ar-EG"/>
        </w:rPr>
      </w:pPr>
    </w:p>
    <w:p w:rsidR="009C2CD4" w:rsidRDefault="009C2CD4" w:rsidP="00DA1ECD">
      <w:pPr>
        <w:spacing w:before="120" w:line="240" w:lineRule="auto"/>
        <w:jc w:val="center"/>
        <w:rPr>
          <w:rFonts w:ascii="Times New Roman" w:eastAsia="Calibri" w:hAnsi="Times New Roman" w:cs="Times New Roman"/>
          <w:b/>
          <w:bCs/>
          <w:sz w:val="20"/>
          <w:szCs w:val="20"/>
          <w:lang w:bidi="ar-EG"/>
        </w:rPr>
      </w:pPr>
    </w:p>
    <w:p w:rsidR="00AF72EE" w:rsidRPr="00DA1ECD" w:rsidRDefault="003A2EA2" w:rsidP="00DA1ECD">
      <w:pPr>
        <w:spacing w:before="120" w:line="240" w:lineRule="auto"/>
        <w:jc w:val="center"/>
        <w:rPr>
          <w:rFonts w:ascii="Times New Roman" w:eastAsia="Calibri" w:hAnsi="Times New Roman" w:cs="Times New Roman"/>
          <w:b/>
          <w:bCs/>
          <w:sz w:val="20"/>
          <w:szCs w:val="20"/>
          <w:lang w:bidi="ar-EG"/>
        </w:rPr>
      </w:pPr>
      <w:r w:rsidRPr="00DA1ECD">
        <w:rPr>
          <w:rFonts w:ascii="Times New Roman" w:eastAsia="Calibri" w:hAnsi="Times New Roman" w:cs="Times New Roman"/>
          <w:b/>
          <w:bCs/>
          <w:sz w:val="20"/>
          <w:szCs w:val="20"/>
          <w:lang w:bidi="ar-EG"/>
        </w:rPr>
        <w:t>Figure 5</w:t>
      </w:r>
      <w:r w:rsidR="0082378F" w:rsidRPr="00DA1ECD">
        <w:rPr>
          <w:rFonts w:ascii="Times New Roman" w:eastAsia="Calibri" w:hAnsi="Times New Roman" w:cs="Times New Roman"/>
          <w:b/>
          <w:bCs/>
          <w:sz w:val="20"/>
          <w:szCs w:val="20"/>
          <w:lang w:bidi="ar-EG"/>
        </w:rPr>
        <w:t xml:space="preserve">: </w:t>
      </w:r>
      <w:r w:rsidR="00DA1ECD">
        <w:rPr>
          <w:rFonts w:ascii="Times New Roman" w:eastAsia="Calibri" w:hAnsi="Times New Roman" w:cs="Times New Roman"/>
          <w:b/>
          <w:bCs/>
          <w:sz w:val="20"/>
          <w:szCs w:val="20"/>
          <w:lang w:bidi="ar-EG"/>
        </w:rPr>
        <w:t>Graph</w:t>
      </w:r>
      <w:r w:rsidR="0082378F" w:rsidRPr="00DA1ECD">
        <w:rPr>
          <w:rFonts w:ascii="Times New Roman" w:eastAsia="Calibri" w:hAnsi="Times New Roman" w:cs="Times New Roman"/>
          <w:b/>
          <w:bCs/>
          <w:sz w:val="20"/>
          <w:szCs w:val="20"/>
          <w:lang w:bidi="ar-EG"/>
        </w:rPr>
        <w:t xml:space="preserve"> of p-aminophenol</w:t>
      </w:r>
    </w:p>
    <w:p w:rsidR="0082378F" w:rsidRPr="00DA1ECD" w:rsidRDefault="006A6DD8" w:rsidP="006A6DD8">
      <w:pPr>
        <w:pStyle w:val="ListParagraph"/>
        <w:numPr>
          <w:ilvl w:val="1"/>
          <w:numId w:val="1"/>
        </w:numPr>
        <w:autoSpaceDE w:val="0"/>
        <w:autoSpaceDN w:val="0"/>
        <w:adjustRightInd w:val="0"/>
        <w:spacing w:after="0" w:line="240" w:lineRule="auto"/>
        <w:rPr>
          <w:rFonts w:ascii="Times New Roman" w:hAnsi="Times New Roman" w:cs="Times New Roman"/>
          <w:color w:val="000000"/>
          <w:sz w:val="20"/>
          <w:szCs w:val="20"/>
        </w:rPr>
      </w:pPr>
      <w:r w:rsidRPr="00DA1ECD">
        <w:rPr>
          <w:rFonts w:ascii="Times New Roman" w:hAnsi="Times New Roman" w:cs="Times New Roman"/>
          <w:b/>
          <w:bCs/>
          <w:color w:val="000000"/>
          <w:sz w:val="20"/>
          <w:szCs w:val="20"/>
        </w:rPr>
        <w:t xml:space="preserve"> </w:t>
      </w:r>
      <w:r w:rsidR="0082378F" w:rsidRPr="00DA1ECD">
        <w:rPr>
          <w:rFonts w:ascii="Times New Roman" w:hAnsi="Times New Roman" w:cs="Times New Roman"/>
          <w:b/>
          <w:bCs/>
          <w:color w:val="000000"/>
          <w:sz w:val="20"/>
          <w:szCs w:val="20"/>
        </w:rPr>
        <w:t xml:space="preserve">Determination of DNA breakages with diphenylamine reaction in </w:t>
      </w:r>
      <w:r w:rsidR="00DA1ECD">
        <w:rPr>
          <w:rFonts w:ascii="Times New Roman" w:hAnsi="Times New Roman" w:cs="Times New Roman"/>
          <w:b/>
          <w:bCs/>
          <w:color w:val="000000"/>
          <w:sz w:val="20"/>
          <w:szCs w:val="20"/>
        </w:rPr>
        <w:t xml:space="preserve">the </w:t>
      </w:r>
      <w:r w:rsidR="0082378F" w:rsidRPr="00DA1ECD">
        <w:rPr>
          <w:rFonts w:ascii="Times New Roman" w:hAnsi="Times New Roman" w:cs="Times New Roman"/>
          <w:b/>
          <w:bCs/>
          <w:color w:val="000000"/>
          <w:sz w:val="20"/>
          <w:szCs w:val="20"/>
        </w:rPr>
        <w:t xml:space="preserve">tissues homogenate of male rats </w:t>
      </w:r>
    </w:p>
    <w:p w:rsidR="0082378F" w:rsidRPr="00DA1ECD" w:rsidRDefault="0082378F" w:rsidP="00410FC7">
      <w:pPr>
        <w:autoSpaceDE w:val="0"/>
        <w:autoSpaceDN w:val="0"/>
        <w:adjustRightInd w:val="0"/>
        <w:spacing w:before="240" w:after="0" w:line="240" w:lineRule="auto"/>
        <w:ind w:firstLine="720"/>
        <w:jc w:val="both"/>
        <w:rPr>
          <w:rFonts w:ascii="Times New Roman" w:hAnsi="Times New Roman" w:cs="Times New Roman"/>
          <w:color w:val="000000"/>
          <w:sz w:val="20"/>
          <w:szCs w:val="20"/>
        </w:rPr>
      </w:pPr>
      <w:r w:rsidRPr="00DA1ECD">
        <w:rPr>
          <w:rFonts w:ascii="Times New Roman" w:hAnsi="Times New Roman" w:cs="Times New Roman"/>
          <w:color w:val="000000"/>
          <w:sz w:val="20"/>
          <w:szCs w:val="20"/>
        </w:rPr>
        <w:t xml:space="preserve">The diphenylamine DNA fragmentation percentage assay is a very useful method for measuring apoptosis by determining the percentage of fragmentation of DNA into oligosomal-sized fragments. </w:t>
      </w:r>
      <w:r w:rsidR="00DA1ECD">
        <w:rPr>
          <w:rFonts w:ascii="Times New Roman" w:hAnsi="Times New Roman" w:cs="Times New Roman"/>
          <w:color w:val="000000"/>
          <w:sz w:val="20"/>
          <w:szCs w:val="20"/>
        </w:rPr>
        <w:t>The measure</w:t>
      </w:r>
      <w:r w:rsidRPr="00DA1ECD">
        <w:rPr>
          <w:rFonts w:ascii="Times New Roman" w:hAnsi="Times New Roman" w:cs="Times New Roman"/>
          <w:color w:val="000000"/>
          <w:sz w:val="20"/>
          <w:szCs w:val="20"/>
        </w:rPr>
        <w:t xml:space="preserve"> of soluble DNA released from apoptotic nuclei into the cytoplasm constitutes a quantitative measure of cellular response. Another advantage of the diphenylamine assay is that apoptotic DNA fragmentation can be analyzed in both adherent and floating cells following treatment with chemotherapeutic or other agents. Data obtained from the experiment are expressed as a percentage relative to </w:t>
      </w:r>
      <w:r w:rsidR="00DA1ECD">
        <w:rPr>
          <w:rFonts w:ascii="Times New Roman" w:hAnsi="Times New Roman" w:cs="Times New Roman"/>
          <w:color w:val="000000"/>
          <w:sz w:val="20"/>
          <w:szCs w:val="20"/>
        </w:rPr>
        <w:t>uninduced</w:t>
      </w:r>
      <w:r w:rsidRPr="00DA1ECD">
        <w:rPr>
          <w:rFonts w:ascii="Times New Roman" w:hAnsi="Times New Roman" w:cs="Times New Roman"/>
          <w:color w:val="000000"/>
          <w:sz w:val="20"/>
          <w:szCs w:val="20"/>
        </w:rPr>
        <w:t xml:space="preserve"> or untreated controls</w:t>
      </w:r>
      <w:r w:rsidR="00410FC7">
        <w:rPr>
          <w:rFonts w:ascii="Times New Roman" w:hAnsi="Times New Roman" w:cs="Times New Roman"/>
          <w:color w:val="000000"/>
          <w:sz w:val="20"/>
          <w:szCs w:val="20"/>
        </w:rPr>
        <w:t>. DNA fragmentation% assay</w:t>
      </w:r>
      <w:r w:rsidRPr="00DA1ECD">
        <w:rPr>
          <w:rFonts w:ascii="Times New Roman" w:hAnsi="Times New Roman" w:cs="Times New Roman"/>
          <w:color w:val="000000"/>
          <w:sz w:val="20"/>
          <w:szCs w:val="20"/>
        </w:rPr>
        <w:t xml:space="preserve">. The tissue (50 mg) was homogenized in 10 volumes of a TE solution pH 8.0 (5 mmol/L Tris–HCl, 20 mmol/L EDTA) and 0.2% triton X-100. 1.0 ml aliquot of each sample was centrifuged at 27,000 </w:t>
      </w:r>
      <w:r w:rsidR="00386F86" w:rsidRPr="00DA1ECD">
        <w:rPr>
          <w:rFonts w:ascii="Times New Roman" w:hAnsi="Times New Roman" w:cs="Times New Roman"/>
          <w:color w:val="000000"/>
          <w:sz w:val="20"/>
          <w:szCs w:val="20"/>
        </w:rPr>
        <w:t>rpm</w:t>
      </w:r>
      <w:r w:rsidRPr="00DA1ECD">
        <w:rPr>
          <w:rFonts w:ascii="Times New Roman" w:hAnsi="Times New Roman" w:cs="Times New Roman"/>
          <w:color w:val="000000"/>
          <w:sz w:val="20"/>
          <w:szCs w:val="20"/>
        </w:rPr>
        <w:t xml:space="preserve"> for 20 min to separate the intact chromatin (pellet, B) from the fragmented DNA (supernatant, T). The pellet and supernatant fractions were assayed for DNA content using a freshly prepared DPA (Diphenylamine) solution for reaction. Optical density was read </w:t>
      </w:r>
      <w:r w:rsidR="00DA1ECD">
        <w:rPr>
          <w:rFonts w:ascii="Times New Roman" w:hAnsi="Times New Roman" w:cs="Times New Roman"/>
          <w:color w:val="000000"/>
          <w:sz w:val="20"/>
          <w:szCs w:val="20"/>
        </w:rPr>
        <w:t xml:space="preserve">using </w:t>
      </w:r>
      <w:r w:rsidRPr="00DA1ECD">
        <w:rPr>
          <w:rFonts w:ascii="Times New Roman" w:hAnsi="Times New Roman" w:cs="Times New Roman"/>
          <w:color w:val="000000"/>
          <w:sz w:val="20"/>
          <w:szCs w:val="20"/>
        </w:rPr>
        <w:t xml:space="preserve">spectrophotometry at 620 nm. The results were expressed as </w:t>
      </w:r>
      <w:r w:rsidR="00DA1ECD">
        <w:rPr>
          <w:rFonts w:ascii="Times New Roman" w:hAnsi="Times New Roman" w:cs="Times New Roman"/>
          <w:color w:val="000000"/>
          <w:sz w:val="20"/>
          <w:szCs w:val="20"/>
        </w:rPr>
        <w:t>the percentage</w:t>
      </w:r>
      <w:r w:rsidRPr="00DA1ECD">
        <w:rPr>
          <w:rFonts w:ascii="Times New Roman" w:hAnsi="Times New Roman" w:cs="Times New Roman"/>
          <w:color w:val="000000"/>
          <w:sz w:val="20"/>
          <w:szCs w:val="20"/>
        </w:rPr>
        <w:t xml:space="preserve"> of % fragmented DNA by the following formula: </w:t>
      </w:r>
    </w:p>
    <w:p w:rsidR="0082378F" w:rsidRPr="00DA1ECD" w:rsidRDefault="0082378F" w:rsidP="0082378F">
      <w:pPr>
        <w:autoSpaceDE w:val="0"/>
        <w:autoSpaceDN w:val="0"/>
        <w:adjustRightInd w:val="0"/>
        <w:spacing w:before="240" w:after="0" w:line="240" w:lineRule="auto"/>
        <w:jc w:val="both"/>
        <w:rPr>
          <w:rFonts w:ascii="Times New Roman" w:hAnsi="Times New Roman" w:cs="Times New Roman"/>
          <w:color w:val="000000"/>
          <w:sz w:val="20"/>
          <w:szCs w:val="20"/>
        </w:rPr>
      </w:pPr>
      <w:r w:rsidRPr="00DA1ECD">
        <w:rPr>
          <w:rFonts w:ascii="Times New Roman" w:hAnsi="Times New Roman" w:cs="Times New Roman"/>
          <w:color w:val="000000"/>
          <w:sz w:val="20"/>
          <w:szCs w:val="20"/>
        </w:rPr>
        <w:t xml:space="preserve">Fragmented DNA (%) = T X 100/ (T + B) </w:t>
      </w:r>
    </w:p>
    <w:p w:rsidR="0082378F" w:rsidRPr="00DA1ECD" w:rsidRDefault="0082378F" w:rsidP="0082378F">
      <w:pPr>
        <w:autoSpaceDE w:val="0"/>
        <w:autoSpaceDN w:val="0"/>
        <w:adjustRightInd w:val="0"/>
        <w:spacing w:after="0" w:line="240" w:lineRule="auto"/>
        <w:jc w:val="both"/>
        <w:rPr>
          <w:rFonts w:ascii="Times New Roman" w:hAnsi="Times New Roman" w:cs="Times New Roman"/>
          <w:color w:val="000000"/>
          <w:sz w:val="20"/>
          <w:szCs w:val="20"/>
        </w:rPr>
      </w:pPr>
      <w:r w:rsidRPr="00DA1ECD">
        <w:rPr>
          <w:rFonts w:ascii="Times New Roman" w:hAnsi="Times New Roman" w:cs="Times New Roman"/>
          <w:color w:val="000000"/>
          <w:sz w:val="20"/>
          <w:szCs w:val="20"/>
        </w:rPr>
        <w:t xml:space="preserve">T: Measure absorbance of Supernatant </w:t>
      </w:r>
    </w:p>
    <w:p w:rsidR="0082378F" w:rsidRDefault="0082378F" w:rsidP="00DA1ECD">
      <w:pPr>
        <w:spacing w:line="240" w:lineRule="auto"/>
        <w:jc w:val="both"/>
        <w:rPr>
          <w:sz w:val="20"/>
          <w:szCs w:val="20"/>
        </w:rPr>
      </w:pPr>
      <w:r w:rsidRPr="00DA1ECD">
        <w:rPr>
          <w:sz w:val="20"/>
          <w:szCs w:val="20"/>
        </w:rPr>
        <w:t xml:space="preserve">B: Measure </w:t>
      </w:r>
      <w:r w:rsidR="00DA1ECD">
        <w:rPr>
          <w:sz w:val="20"/>
          <w:szCs w:val="20"/>
        </w:rPr>
        <w:t xml:space="preserve">the </w:t>
      </w:r>
      <w:r w:rsidRPr="00DA1ECD">
        <w:rPr>
          <w:sz w:val="20"/>
          <w:szCs w:val="20"/>
        </w:rPr>
        <w:t xml:space="preserve">absorbance of </w:t>
      </w:r>
      <w:r w:rsidR="00DA1ECD">
        <w:rPr>
          <w:sz w:val="20"/>
          <w:szCs w:val="20"/>
        </w:rPr>
        <w:t>the pellet</w:t>
      </w:r>
    </w:p>
    <w:p w:rsidR="00DA1ECD" w:rsidRPr="00DA1ECD" w:rsidRDefault="00DA1ECD" w:rsidP="00DA1ECD">
      <w:pPr>
        <w:spacing w:line="240" w:lineRule="auto"/>
        <w:jc w:val="both"/>
        <w:rPr>
          <w:sz w:val="20"/>
          <w:szCs w:val="20"/>
        </w:rPr>
      </w:pPr>
    </w:p>
    <w:p w:rsidR="0082378F" w:rsidRPr="00DA1ECD" w:rsidRDefault="006A6DD8" w:rsidP="006A6DD8">
      <w:pPr>
        <w:pStyle w:val="ListParagraph"/>
        <w:numPr>
          <w:ilvl w:val="1"/>
          <w:numId w:val="1"/>
        </w:numPr>
        <w:spacing w:line="240" w:lineRule="auto"/>
        <w:rPr>
          <w:rFonts w:ascii="Times New Roman" w:hAnsi="Times New Roman" w:cs="Times New Roman"/>
          <w:b/>
          <w:bCs/>
          <w:color w:val="000000"/>
          <w:sz w:val="20"/>
          <w:szCs w:val="20"/>
        </w:rPr>
      </w:pPr>
      <w:r w:rsidRPr="00DA1ECD">
        <w:rPr>
          <w:rFonts w:ascii="Times New Roman" w:hAnsi="Times New Roman" w:cs="Times New Roman"/>
          <w:b/>
          <w:bCs/>
          <w:color w:val="000000"/>
          <w:sz w:val="20"/>
          <w:szCs w:val="20"/>
        </w:rPr>
        <w:lastRenderedPageBreak/>
        <w:t xml:space="preserve"> </w:t>
      </w:r>
      <w:r w:rsidR="0082378F" w:rsidRPr="00DA1ECD">
        <w:rPr>
          <w:rFonts w:ascii="Times New Roman" w:hAnsi="Times New Roman" w:cs="Times New Roman"/>
          <w:b/>
          <w:bCs/>
          <w:color w:val="000000"/>
          <w:sz w:val="20"/>
          <w:szCs w:val="20"/>
        </w:rPr>
        <w:t xml:space="preserve">Determination of catalase activity in </w:t>
      </w:r>
      <w:r w:rsidR="00DA1ECD">
        <w:rPr>
          <w:rFonts w:ascii="Times New Roman" w:hAnsi="Times New Roman" w:cs="Times New Roman"/>
          <w:b/>
          <w:bCs/>
          <w:color w:val="000000"/>
          <w:sz w:val="20"/>
          <w:szCs w:val="20"/>
        </w:rPr>
        <w:t xml:space="preserve">the </w:t>
      </w:r>
      <w:r w:rsidR="0082378F" w:rsidRPr="00DA1ECD">
        <w:rPr>
          <w:rFonts w:ascii="Times New Roman" w:hAnsi="Times New Roman" w:cs="Times New Roman"/>
          <w:b/>
          <w:bCs/>
          <w:color w:val="000000"/>
          <w:sz w:val="20"/>
          <w:szCs w:val="20"/>
        </w:rPr>
        <w:t>tissues homogenate of male rats</w:t>
      </w:r>
    </w:p>
    <w:p w:rsidR="00145E18" w:rsidRPr="00DA1ECD" w:rsidRDefault="0082378F" w:rsidP="00DA1ECD">
      <w:pPr>
        <w:spacing w:line="240" w:lineRule="auto"/>
        <w:ind w:firstLine="720"/>
        <w:jc w:val="both"/>
        <w:rPr>
          <w:rFonts w:ascii="Times New Roman" w:hAnsi="Times New Roman" w:cs="Times New Roman"/>
          <w:color w:val="000000"/>
          <w:sz w:val="20"/>
          <w:szCs w:val="20"/>
        </w:rPr>
      </w:pPr>
      <w:bookmarkStart w:id="0" w:name="_GoBack"/>
      <w:bookmarkEnd w:id="0"/>
      <w:r w:rsidRPr="00DA1ECD">
        <w:rPr>
          <w:rFonts w:ascii="Times New Roman" w:hAnsi="Times New Roman" w:cs="Times New Roman"/>
          <w:color w:val="000000"/>
          <w:sz w:val="20"/>
          <w:szCs w:val="20"/>
        </w:rPr>
        <w:t>The test principle is based on dichromate in acetic acid is reduced to chromic acetate when heated in the presence of hydrogen peroxide (H</w:t>
      </w:r>
      <w:r w:rsidRPr="00DA1ECD">
        <w:rPr>
          <w:rFonts w:ascii="Times New Roman" w:hAnsi="Times New Roman" w:cs="Times New Roman"/>
          <w:color w:val="000000"/>
          <w:sz w:val="20"/>
          <w:szCs w:val="20"/>
          <w:vertAlign w:val="subscript"/>
        </w:rPr>
        <w:t>2</w:t>
      </w:r>
      <w:r w:rsidRPr="00DA1ECD">
        <w:rPr>
          <w:rFonts w:ascii="Times New Roman" w:hAnsi="Times New Roman" w:cs="Times New Roman"/>
          <w:color w:val="000000"/>
          <w:sz w:val="20"/>
          <w:szCs w:val="20"/>
        </w:rPr>
        <w:t>O</w:t>
      </w:r>
      <w:r w:rsidRPr="00DA1ECD">
        <w:rPr>
          <w:rFonts w:ascii="Times New Roman" w:hAnsi="Times New Roman" w:cs="Times New Roman"/>
          <w:color w:val="000000"/>
          <w:sz w:val="20"/>
          <w:szCs w:val="20"/>
          <w:vertAlign w:val="subscript"/>
        </w:rPr>
        <w:t>2</w:t>
      </w:r>
      <w:r w:rsidRPr="00DA1ECD">
        <w:rPr>
          <w:rFonts w:ascii="Times New Roman" w:hAnsi="Times New Roman" w:cs="Times New Roman"/>
          <w:color w:val="000000"/>
          <w:sz w:val="20"/>
          <w:szCs w:val="20"/>
        </w:rPr>
        <w:t>), with the formation of blue perchromic acid as an unstable intermediate</w:t>
      </w:r>
      <w:r w:rsidR="00DA1ECD">
        <w:rPr>
          <w:rFonts w:ascii="Times New Roman" w:hAnsi="Times New Roman" w:cs="Times New Roman"/>
          <w:color w:val="000000"/>
          <w:sz w:val="20"/>
          <w:szCs w:val="20"/>
        </w:rPr>
        <w:t>.</w:t>
      </w:r>
      <w:r w:rsidRPr="00DA1ECD">
        <w:rPr>
          <w:rFonts w:ascii="Times New Roman" w:hAnsi="Times New Roman" w:cs="Times New Roman"/>
          <w:color w:val="000000"/>
          <w:sz w:val="20"/>
          <w:szCs w:val="20"/>
        </w:rPr>
        <w:t xml:space="preserve"> </w:t>
      </w:r>
    </w:p>
    <w:p w:rsidR="00145E18" w:rsidRPr="00DA1ECD" w:rsidRDefault="0082378F" w:rsidP="00145E18">
      <w:pPr>
        <w:spacing w:line="240" w:lineRule="auto"/>
        <w:ind w:firstLine="720"/>
        <w:jc w:val="center"/>
        <w:rPr>
          <w:rFonts w:ascii="Times New Roman" w:hAnsi="Times New Roman" w:cs="Times New Roman"/>
          <w:b/>
          <w:bCs/>
          <w:color w:val="000000"/>
          <w:sz w:val="20"/>
          <w:szCs w:val="20"/>
        </w:rPr>
      </w:pPr>
      <w:r w:rsidRPr="00DA1ECD">
        <w:rPr>
          <w:rFonts w:ascii="Times New Roman" w:hAnsi="Times New Roman" w:cs="Times New Roman"/>
          <w:b/>
          <w:bCs/>
          <w:color w:val="000000"/>
          <w:sz w:val="20"/>
          <w:szCs w:val="20"/>
        </w:rPr>
        <w:t>Cr</w:t>
      </w:r>
      <w:r w:rsidRPr="00DA1ECD">
        <w:rPr>
          <w:rFonts w:ascii="Times New Roman" w:hAnsi="Times New Roman" w:cs="Times New Roman"/>
          <w:b/>
          <w:bCs/>
          <w:color w:val="000000"/>
          <w:sz w:val="20"/>
          <w:szCs w:val="20"/>
          <w:vertAlign w:val="subscript"/>
        </w:rPr>
        <w:t>2</w:t>
      </w:r>
      <w:r w:rsidRPr="00DA1ECD">
        <w:rPr>
          <w:rFonts w:ascii="Times New Roman" w:hAnsi="Times New Roman" w:cs="Times New Roman"/>
          <w:b/>
          <w:bCs/>
          <w:color w:val="000000"/>
          <w:sz w:val="20"/>
          <w:szCs w:val="20"/>
        </w:rPr>
        <w:t>O</w:t>
      </w:r>
      <w:r w:rsidRPr="00DA1ECD">
        <w:rPr>
          <w:rFonts w:ascii="Times New Roman" w:hAnsi="Times New Roman" w:cs="Times New Roman"/>
          <w:b/>
          <w:bCs/>
          <w:color w:val="000000"/>
          <w:sz w:val="20"/>
          <w:szCs w:val="20"/>
          <w:vertAlign w:val="subscript"/>
        </w:rPr>
        <w:t>7</w:t>
      </w:r>
      <w:r w:rsidRPr="00DA1ECD">
        <w:rPr>
          <w:rFonts w:ascii="Times New Roman" w:hAnsi="Times New Roman" w:cs="Times New Roman"/>
          <w:b/>
          <w:bCs/>
          <w:color w:val="000000"/>
          <w:sz w:val="20"/>
          <w:szCs w:val="20"/>
          <w:vertAlign w:val="superscript"/>
        </w:rPr>
        <w:t>–2</w:t>
      </w:r>
      <w:r w:rsidRPr="00DA1ECD">
        <w:rPr>
          <w:rFonts w:ascii="Times New Roman" w:hAnsi="Times New Roman" w:cs="Times New Roman"/>
          <w:b/>
          <w:bCs/>
          <w:color w:val="000000"/>
          <w:sz w:val="20"/>
          <w:szCs w:val="20"/>
        </w:rPr>
        <w:t>+ 7H</w:t>
      </w:r>
      <w:r w:rsidRPr="00DA1ECD">
        <w:rPr>
          <w:rFonts w:ascii="Times New Roman" w:hAnsi="Times New Roman" w:cs="Times New Roman"/>
          <w:b/>
          <w:bCs/>
          <w:color w:val="000000"/>
          <w:sz w:val="20"/>
          <w:szCs w:val="20"/>
          <w:vertAlign w:val="subscript"/>
        </w:rPr>
        <w:t>2</w:t>
      </w:r>
      <w:r w:rsidRPr="00DA1ECD">
        <w:rPr>
          <w:rFonts w:ascii="Times New Roman" w:hAnsi="Times New Roman" w:cs="Times New Roman"/>
          <w:b/>
          <w:bCs/>
          <w:color w:val="000000"/>
          <w:sz w:val="20"/>
          <w:szCs w:val="20"/>
        </w:rPr>
        <w:t>O</w:t>
      </w:r>
      <w:r w:rsidRPr="00DA1ECD">
        <w:rPr>
          <w:rFonts w:ascii="Times New Roman" w:hAnsi="Times New Roman" w:cs="Times New Roman"/>
          <w:b/>
          <w:bCs/>
          <w:color w:val="000000"/>
          <w:sz w:val="20"/>
          <w:szCs w:val="20"/>
          <w:vertAlign w:val="subscript"/>
        </w:rPr>
        <w:t>2</w:t>
      </w:r>
      <w:r w:rsidRPr="00DA1ECD">
        <w:rPr>
          <w:rFonts w:ascii="Times New Roman" w:hAnsi="Times New Roman" w:cs="Times New Roman"/>
          <w:b/>
          <w:bCs/>
          <w:color w:val="000000"/>
          <w:sz w:val="20"/>
          <w:szCs w:val="20"/>
        </w:rPr>
        <w:t xml:space="preserve"> → 2CrO</w:t>
      </w:r>
      <w:r w:rsidRPr="00DA1ECD">
        <w:rPr>
          <w:rFonts w:ascii="Times New Roman" w:hAnsi="Times New Roman" w:cs="Times New Roman"/>
          <w:b/>
          <w:bCs/>
          <w:color w:val="000000"/>
          <w:sz w:val="20"/>
          <w:szCs w:val="20"/>
          <w:vertAlign w:val="subscript"/>
        </w:rPr>
        <w:t>8</w:t>
      </w:r>
      <w:r w:rsidRPr="00DA1ECD">
        <w:rPr>
          <w:rFonts w:ascii="Times New Roman" w:hAnsi="Times New Roman" w:cs="Times New Roman"/>
          <w:b/>
          <w:bCs/>
          <w:color w:val="000000"/>
          <w:sz w:val="20"/>
          <w:szCs w:val="20"/>
          <w:vertAlign w:val="superscript"/>
        </w:rPr>
        <w:t>–3</w:t>
      </w:r>
      <w:r w:rsidRPr="00DA1ECD">
        <w:rPr>
          <w:rFonts w:ascii="Times New Roman" w:hAnsi="Times New Roman" w:cs="Times New Roman"/>
          <w:b/>
          <w:bCs/>
          <w:color w:val="000000"/>
          <w:sz w:val="20"/>
          <w:szCs w:val="20"/>
        </w:rPr>
        <w:t xml:space="preserve"> + 5H</w:t>
      </w:r>
      <w:r w:rsidRPr="00DA1ECD">
        <w:rPr>
          <w:rFonts w:ascii="Times New Roman" w:hAnsi="Times New Roman" w:cs="Times New Roman"/>
          <w:b/>
          <w:bCs/>
          <w:color w:val="000000"/>
          <w:sz w:val="20"/>
          <w:szCs w:val="20"/>
          <w:vertAlign w:val="subscript"/>
        </w:rPr>
        <w:t>2</w:t>
      </w:r>
      <w:r w:rsidRPr="00DA1ECD">
        <w:rPr>
          <w:rFonts w:ascii="Times New Roman" w:hAnsi="Times New Roman" w:cs="Times New Roman"/>
          <w:b/>
          <w:bCs/>
          <w:color w:val="000000"/>
          <w:sz w:val="20"/>
          <w:szCs w:val="20"/>
        </w:rPr>
        <w:t>O + 4H</w:t>
      </w:r>
      <w:r w:rsidRPr="00DA1ECD">
        <w:rPr>
          <w:rFonts w:ascii="Times New Roman" w:hAnsi="Times New Roman" w:cs="Times New Roman"/>
          <w:b/>
          <w:bCs/>
          <w:color w:val="000000"/>
          <w:sz w:val="20"/>
          <w:szCs w:val="20"/>
          <w:vertAlign w:val="superscript"/>
        </w:rPr>
        <w:t>+</w:t>
      </w:r>
    </w:p>
    <w:p w:rsidR="00057CB0" w:rsidRPr="00DA1ECD" w:rsidRDefault="0082378F" w:rsidP="00145E18">
      <w:pPr>
        <w:spacing w:line="240" w:lineRule="auto"/>
        <w:jc w:val="both"/>
        <w:rPr>
          <w:rFonts w:ascii="Times New Roman" w:hAnsi="Times New Roman" w:cs="Times New Roman"/>
          <w:color w:val="000000"/>
          <w:sz w:val="20"/>
          <w:szCs w:val="20"/>
        </w:rPr>
      </w:pPr>
      <w:r w:rsidRPr="00DA1ECD">
        <w:rPr>
          <w:rFonts w:ascii="Times New Roman" w:hAnsi="Times New Roman" w:cs="Times New Roman"/>
          <w:color w:val="000000"/>
          <w:sz w:val="20"/>
          <w:szCs w:val="20"/>
        </w:rPr>
        <w:t>Hydrogen peroxide concentration is directly proportional to the concentration of chromic acetate t</w:t>
      </w:r>
      <w:r w:rsidR="000D0F52" w:rsidRPr="00DA1ECD">
        <w:rPr>
          <w:rFonts w:ascii="Times New Roman" w:hAnsi="Times New Roman" w:cs="Times New Roman"/>
          <w:color w:val="000000"/>
          <w:sz w:val="20"/>
          <w:szCs w:val="20"/>
        </w:rPr>
        <w:t>hat produced from the reaction</w:t>
      </w:r>
    </w:p>
    <w:p w:rsidR="00057CB0" w:rsidRPr="00DA1ECD" w:rsidRDefault="0082378F" w:rsidP="00057CB0">
      <w:pPr>
        <w:spacing w:line="240" w:lineRule="auto"/>
        <w:ind w:firstLine="720"/>
        <w:jc w:val="center"/>
        <w:rPr>
          <w:rFonts w:ascii="Times New Roman" w:hAnsi="Times New Roman" w:cs="Times New Roman"/>
          <w:b/>
          <w:bCs/>
          <w:color w:val="000000"/>
          <w:sz w:val="20"/>
          <w:szCs w:val="20"/>
        </w:rPr>
      </w:pPr>
      <w:r w:rsidRPr="00DA1ECD">
        <w:rPr>
          <w:rFonts w:ascii="Times New Roman" w:hAnsi="Times New Roman" w:cs="Times New Roman"/>
          <w:b/>
          <w:bCs/>
          <w:color w:val="000000"/>
          <w:sz w:val="20"/>
          <w:szCs w:val="20"/>
        </w:rPr>
        <w:t>2CrO</w:t>
      </w:r>
      <w:r w:rsidRPr="00DA1ECD">
        <w:rPr>
          <w:rFonts w:ascii="Times New Roman" w:hAnsi="Times New Roman" w:cs="Times New Roman"/>
          <w:b/>
          <w:bCs/>
          <w:color w:val="000000"/>
          <w:sz w:val="20"/>
          <w:szCs w:val="20"/>
          <w:vertAlign w:val="subscript"/>
        </w:rPr>
        <w:t>8</w:t>
      </w:r>
      <w:r w:rsidRPr="00DA1ECD">
        <w:rPr>
          <w:rFonts w:ascii="Times New Roman" w:hAnsi="Times New Roman" w:cs="Times New Roman"/>
          <w:b/>
          <w:bCs/>
          <w:color w:val="000000"/>
          <w:sz w:val="20"/>
          <w:szCs w:val="20"/>
          <w:vertAlign w:val="superscript"/>
        </w:rPr>
        <w:t>–3</w:t>
      </w:r>
      <w:r w:rsidRPr="00DA1ECD">
        <w:rPr>
          <w:rFonts w:ascii="Times New Roman" w:hAnsi="Times New Roman" w:cs="Times New Roman"/>
          <w:b/>
          <w:bCs/>
          <w:color w:val="000000"/>
          <w:sz w:val="20"/>
          <w:szCs w:val="20"/>
        </w:rPr>
        <w:t>+ 6CH</w:t>
      </w:r>
      <w:r w:rsidRPr="00DA1ECD">
        <w:rPr>
          <w:rFonts w:ascii="Times New Roman" w:hAnsi="Times New Roman" w:cs="Times New Roman"/>
          <w:b/>
          <w:bCs/>
          <w:color w:val="000000"/>
          <w:sz w:val="20"/>
          <w:szCs w:val="20"/>
          <w:vertAlign w:val="subscript"/>
        </w:rPr>
        <w:t>3</w:t>
      </w:r>
      <w:r w:rsidRPr="00DA1ECD">
        <w:rPr>
          <w:rFonts w:ascii="Times New Roman" w:hAnsi="Times New Roman" w:cs="Times New Roman"/>
          <w:b/>
          <w:bCs/>
          <w:color w:val="000000"/>
          <w:sz w:val="20"/>
          <w:szCs w:val="20"/>
        </w:rPr>
        <w:t>COO</w:t>
      </w:r>
      <w:r w:rsidRPr="00DA1ECD">
        <w:rPr>
          <w:rFonts w:ascii="Times New Roman" w:hAnsi="Times New Roman" w:cs="Times New Roman"/>
          <w:b/>
          <w:bCs/>
          <w:color w:val="000000"/>
          <w:sz w:val="20"/>
          <w:szCs w:val="20"/>
          <w:vertAlign w:val="superscript"/>
        </w:rPr>
        <w:t>–</w:t>
      </w:r>
      <w:r w:rsidRPr="00DA1ECD">
        <w:rPr>
          <w:rFonts w:ascii="Times New Roman" w:hAnsi="Times New Roman" w:cs="Times New Roman"/>
          <w:b/>
          <w:bCs/>
          <w:color w:val="000000"/>
          <w:sz w:val="20"/>
          <w:szCs w:val="20"/>
        </w:rPr>
        <w:t xml:space="preserve"> + 6H</w:t>
      </w:r>
      <w:r w:rsidRPr="00DA1ECD">
        <w:rPr>
          <w:rFonts w:ascii="Times New Roman" w:hAnsi="Times New Roman" w:cs="Times New Roman"/>
          <w:b/>
          <w:bCs/>
          <w:color w:val="000000"/>
          <w:sz w:val="20"/>
          <w:szCs w:val="20"/>
          <w:vertAlign w:val="superscript"/>
        </w:rPr>
        <w:t>+</w:t>
      </w:r>
      <w:r w:rsidRPr="00DA1ECD">
        <w:rPr>
          <w:rFonts w:ascii="Times New Roman" w:hAnsi="Times New Roman" w:cs="Times New Roman"/>
          <w:b/>
          <w:bCs/>
          <w:color w:val="000000"/>
          <w:sz w:val="20"/>
          <w:szCs w:val="20"/>
        </w:rPr>
        <w:t>→ 2Cr (CH3COO)</w:t>
      </w:r>
      <w:r w:rsidRPr="00DA1ECD">
        <w:rPr>
          <w:rFonts w:ascii="Times New Roman" w:hAnsi="Times New Roman" w:cs="Times New Roman"/>
          <w:b/>
          <w:bCs/>
          <w:color w:val="000000"/>
          <w:sz w:val="20"/>
          <w:szCs w:val="20"/>
          <w:vertAlign w:val="subscript"/>
        </w:rPr>
        <w:t>3</w:t>
      </w:r>
      <w:r w:rsidRPr="00DA1ECD">
        <w:rPr>
          <w:rFonts w:ascii="Times New Roman" w:hAnsi="Times New Roman" w:cs="Times New Roman"/>
          <w:b/>
          <w:bCs/>
          <w:color w:val="000000"/>
          <w:sz w:val="20"/>
          <w:szCs w:val="20"/>
        </w:rPr>
        <w:t>+ 14 H</w:t>
      </w:r>
      <w:r w:rsidRPr="00DA1ECD">
        <w:rPr>
          <w:rFonts w:ascii="Times New Roman" w:hAnsi="Times New Roman" w:cs="Times New Roman"/>
          <w:b/>
          <w:bCs/>
          <w:color w:val="000000"/>
          <w:sz w:val="20"/>
          <w:szCs w:val="20"/>
          <w:vertAlign w:val="subscript"/>
        </w:rPr>
        <w:t>2</w:t>
      </w:r>
      <w:r w:rsidRPr="00DA1ECD">
        <w:rPr>
          <w:rFonts w:ascii="Times New Roman" w:hAnsi="Times New Roman" w:cs="Times New Roman"/>
          <w:b/>
          <w:bCs/>
          <w:color w:val="000000"/>
          <w:sz w:val="20"/>
          <w:szCs w:val="20"/>
        </w:rPr>
        <w:t>O</w:t>
      </w:r>
    </w:p>
    <w:p w:rsidR="0082378F" w:rsidRPr="00DA1ECD" w:rsidRDefault="0082378F" w:rsidP="00DA1ECD">
      <w:pPr>
        <w:spacing w:line="240" w:lineRule="auto"/>
        <w:ind w:firstLine="720"/>
        <w:jc w:val="both"/>
        <w:rPr>
          <w:rFonts w:ascii="Times New Roman" w:hAnsi="Times New Roman" w:cs="Times New Roman"/>
          <w:color w:val="000000"/>
          <w:sz w:val="20"/>
          <w:szCs w:val="20"/>
        </w:rPr>
      </w:pPr>
      <w:r w:rsidRPr="00DA1ECD">
        <w:rPr>
          <w:rFonts w:ascii="Times New Roman" w:hAnsi="Times New Roman" w:cs="Times New Roman"/>
          <w:color w:val="000000"/>
          <w:sz w:val="20"/>
          <w:szCs w:val="20"/>
        </w:rPr>
        <w:t xml:space="preserve">The chromic acetate produced can be measured calorimetrically. Samples were added to two tubes serving as test and control test, 100μL of sample in each, </w:t>
      </w:r>
      <w:r w:rsidR="00DA1ECD">
        <w:rPr>
          <w:rFonts w:ascii="Times New Roman" w:hAnsi="Times New Roman" w:cs="Times New Roman"/>
          <w:color w:val="000000"/>
          <w:sz w:val="20"/>
          <w:szCs w:val="20"/>
        </w:rPr>
        <w:t xml:space="preserve">and </w:t>
      </w:r>
      <w:r w:rsidRPr="00DA1ECD">
        <w:rPr>
          <w:rFonts w:ascii="Times New Roman" w:hAnsi="Times New Roman" w:cs="Times New Roman"/>
          <w:color w:val="000000"/>
          <w:sz w:val="20"/>
          <w:szCs w:val="20"/>
        </w:rPr>
        <w:t>another two tubes serving as standard and blank</w:t>
      </w:r>
      <w:r w:rsidR="00DA1ECD">
        <w:rPr>
          <w:rFonts w:ascii="Times New Roman" w:hAnsi="Times New Roman" w:cs="Times New Roman"/>
          <w:color w:val="000000"/>
          <w:sz w:val="20"/>
          <w:szCs w:val="20"/>
        </w:rPr>
        <w:t>.</w:t>
      </w:r>
      <w:r w:rsidRPr="00DA1ECD">
        <w:rPr>
          <w:rFonts w:ascii="Times New Roman" w:hAnsi="Times New Roman" w:cs="Times New Roman"/>
          <w:color w:val="000000"/>
          <w:sz w:val="20"/>
          <w:szCs w:val="20"/>
        </w:rPr>
        <w:t xml:space="preserve"> 100μL of distilled water was added to </w:t>
      </w:r>
      <w:r w:rsidR="00DA1ECD">
        <w:rPr>
          <w:rFonts w:ascii="Times New Roman" w:hAnsi="Times New Roman" w:cs="Times New Roman"/>
          <w:color w:val="000000"/>
          <w:sz w:val="20"/>
          <w:szCs w:val="20"/>
        </w:rPr>
        <w:t xml:space="preserve">the </w:t>
      </w:r>
      <w:r w:rsidRPr="00DA1ECD">
        <w:rPr>
          <w:rFonts w:ascii="Times New Roman" w:hAnsi="Times New Roman" w:cs="Times New Roman"/>
          <w:color w:val="000000"/>
          <w:sz w:val="20"/>
          <w:szCs w:val="20"/>
        </w:rPr>
        <w:t xml:space="preserve">standard tube and 100μL to </w:t>
      </w:r>
      <w:r w:rsidR="00DA1ECD">
        <w:rPr>
          <w:rFonts w:ascii="Times New Roman" w:hAnsi="Times New Roman" w:cs="Times New Roman"/>
          <w:color w:val="000000"/>
          <w:sz w:val="20"/>
          <w:szCs w:val="20"/>
        </w:rPr>
        <w:t xml:space="preserve">the </w:t>
      </w:r>
      <w:r w:rsidRPr="00DA1ECD">
        <w:rPr>
          <w:rFonts w:ascii="Times New Roman" w:hAnsi="Times New Roman" w:cs="Times New Roman"/>
          <w:color w:val="000000"/>
          <w:sz w:val="20"/>
          <w:szCs w:val="20"/>
        </w:rPr>
        <w:t xml:space="preserve">blank tube. To test and </w:t>
      </w:r>
      <w:r w:rsidR="00DA1ECD">
        <w:rPr>
          <w:rFonts w:ascii="Times New Roman" w:hAnsi="Times New Roman" w:cs="Times New Roman"/>
          <w:color w:val="000000"/>
          <w:sz w:val="20"/>
          <w:szCs w:val="20"/>
        </w:rPr>
        <w:t>standardize</w:t>
      </w:r>
      <w:r w:rsidRPr="00DA1ECD">
        <w:rPr>
          <w:rFonts w:ascii="Times New Roman" w:hAnsi="Times New Roman" w:cs="Times New Roman"/>
          <w:color w:val="000000"/>
          <w:sz w:val="20"/>
          <w:szCs w:val="20"/>
        </w:rPr>
        <w:t xml:space="preserve"> tubes</w:t>
      </w:r>
      <w:r w:rsidR="00DA1ECD">
        <w:rPr>
          <w:rFonts w:ascii="Times New Roman" w:hAnsi="Times New Roman" w:cs="Times New Roman"/>
          <w:color w:val="000000"/>
          <w:sz w:val="20"/>
          <w:szCs w:val="20"/>
        </w:rPr>
        <w:t>,</w:t>
      </w:r>
      <w:r w:rsidRPr="00DA1ECD">
        <w:rPr>
          <w:rFonts w:ascii="Times New Roman" w:hAnsi="Times New Roman" w:cs="Times New Roman"/>
          <w:color w:val="000000"/>
          <w:sz w:val="20"/>
          <w:szCs w:val="20"/>
        </w:rPr>
        <w:t xml:space="preserve"> add 1000μL of </w:t>
      </w:r>
      <w:r w:rsidR="00386F86" w:rsidRPr="00DA1ECD">
        <w:rPr>
          <w:rFonts w:ascii="Times New Roman" w:hAnsi="Times New Roman" w:cs="Times New Roman"/>
          <w:color w:val="000000"/>
          <w:sz w:val="20"/>
          <w:szCs w:val="20"/>
        </w:rPr>
        <w:t>H</w:t>
      </w:r>
      <w:r w:rsidR="00386F86" w:rsidRPr="00DA1ECD">
        <w:rPr>
          <w:rFonts w:ascii="Times New Roman" w:hAnsi="Times New Roman" w:cs="Times New Roman"/>
          <w:color w:val="000000"/>
          <w:sz w:val="20"/>
          <w:szCs w:val="20"/>
          <w:vertAlign w:val="subscript"/>
        </w:rPr>
        <w:t>2</w:t>
      </w:r>
      <w:r w:rsidR="00386F86" w:rsidRPr="00DA1ECD">
        <w:rPr>
          <w:rFonts w:ascii="Times New Roman" w:hAnsi="Times New Roman" w:cs="Times New Roman"/>
          <w:color w:val="000000"/>
          <w:sz w:val="20"/>
          <w:szCs w:val="20"/>
        </w:rPr>
        <w:t>O</w:t>
      </w:r>
      <w:r w:rsidR="00386F86" w:rsidRPr="00DA1ECD">
        <w:rPr>
          <w:rFonts w:ascii="Times New Roman" w:hAnsi="Times New Roman" w:cs="Times New Roman"/>
          <w:color w:val="000000"/>
          <w:sz w:val="20"/>
          <w:szCs w:val="20"/>
          <w:vertAlign w:val="subscript"/>
        </w:rPr>
        <w:t>2</w:t>
      </w:r>
      <w:r w:rsidRPr="00DA1ECD">
        <w:rPr>
          <w:rFonts w:ascii="Times New Roman" w:hAnsi="Times New Roman" w:cs="Times New Roman"/>
          <w:color w:val="000000"/>
          <w:sz w:val="20"/>
          <w:szCs w:val="20"/>
        </w:rPr>
        <w:t xml:space="preserve"> substrate solution </w:t>
      </w:r>
      <w:r w:rsidR="00DA1ECD">
        <w:rPr>
          <w:rFonts w:ascii="Times New Roman" w:hAnsi="Times New Roman" w:cs="Times New Roman"/>
          <w:color w:val="000000"/>
          <w:sz w:val="20"/>
          <w:szCs w:val="20"/>
        </w:rPr>
        <w:t>consisting</w:t>
      </w:r>
      <w:r w:rsidRPr="00DA1ECD">
        <w:rPr>
          <w:rFonts w:ascii="Times New Roman" w:hAnsi="Times New Roman" w:cs="Times New Roman"/>
          <w:color w:val="000000"/>
          <w:sz w:val="20"/>
          <w:szCs w:val="20"/>
        </w:rPr>
        <w:t xml:space="preserve"> of 65 mmol/L in 50 mmol/L sodium, potassium phosphate buffer pH 7.4</w:t>
      </w:r>
      <w:r w:rsidR="00DA1ECD">
        <w:rPr>
          <w:rFonts w:ascii="Times New Roman" w:hAnsi="Times New Roman" w:cs="Times New Roman"/>
          <w:color w:val="000000"/>
          <w:sz w:val="20"/>
          <w:szCs w:val="20"/>
        </w:rPr>
        <w:t>,</w:t>
      </w:r>
      <w:r w:rsidRPr="00DA1ECD">
        <w:rPr>
          <w:rFonts w:ascii="Times New Roman" w:hAnsi="Times New Roman" w:cs="Times New Roman"/>
          <w:color w:val="000000"/>
          <w:sz w:val="20"/>
          <w:szCs w:val="20"/>
        </w:rPr>
        <w:t xml:space="preserve"> containing 0.1% w/v bovine serum albumin; the solution is freshly diluted and standardized daily using a molar extinction coefficient of 39.4 mol-1 cm-1 at 240 nm. All four tubes </w:t>
      </w:r>
      <w:r w:rsidR="00DA1ECD">
        <w:rPr>
          <w:rFonts w:ascii="Times New Roman" w:hAnsi="Times New Roman" w:cs="Times New Roman"/>
          <w:color w:val="000000"/>
          <w:sz w:val="20"/>
          <w:szCs w:val="20"/>
        </w:rPr>
        <w:t>were</w:t>
      </w:r>
      <w:r w:rsidRPr="00DA1ECD">
        <w:rPr>
          <w:rFonts w:ascii="Times New Roman" w:hAnsi="Times New Roman" w:cs="Times New Roman"/>
          <w:color w:val="000000"/>
          <w:sz w:val="20"/>
          <w:szCs w:val="20"/>
        </w:rPr>
        <w:t xml:space="preserve"> mixed with vortex and incubated at 37 °C for 3 min; after that, 2000μL of dichromate/acetic acid reagent was added</w:t>
      </w:r>
      <w:r w:rsidR="00DA1ECD">
        <w:rPr>
          <w:rFonts w:ascii="Times New Roman" w:hAnsi="Times New Roman" w:cs="Times New Roman"/>
          <w:color w:val="000000"/>
          <w:sz w:val="20"/>
          <w:szCs w:val="20"/>
        </w:rPr>
        <w:t>. This</w:t>
      </w:r>
      <w:r w:rsidRPr="00DA1ECD">
        <w:rPr>
          <w:rFonts w:ascii="Times New Roman" w:hAnsi="Times New Roman" w:cs="Times New Roman"/>
          <w:color w:val="000000"/>
          <w:sz w:val="20"/>
          <w:szCs w:val="20"/>
        </w:rPr>
        <w:t xml:space="preserve"> reagent is prepared by mixing 50 mL of a 5% aqueous solution of potassium dichromate with 150 mL of glacial acetic acid. </w:t>
      </w:r>
      <w:r w:rsidR="00DA1ECD">
        <w:rPr>
          <w:rFonts w:ascii="Times New Roman" w:hAnsi="Times New Roman" w:cs="Times New Roman"/>
          <w:color w:val="000000"/>
          <w:sz w:val="20"/>
          <w:szCs w:val="20"/>
        </w:rPr>
        <w:t>The</w:t>
      </w:r>
      <w:r w:rsidRPr="00DA1ECD">
        <w:rPr>
          <w:rFonts w:ascii="Times New Roman" w:hAnsi="Times New Roman" w:cs="Times New Roman"/>
          <w:color w:val="000000"/>
          <w:sz w:val="20"/>
          <w:szCs w:val="20"/>
        </w:rPr>
        <w:t xml:space="preserve"> tubes were kept at 100 °C for 10 min. After cooling with tap water, all tubes were centrifuged to remove precipitated protein (2500 </w:t>
      </w:r>
      <w:r w:rsidR="00502224" w:rsidRPr="00DA1ECD">
        <w:rPr>
          <w:rFonts w:ascii="Times New Roman" w:hAnsi="Times New Roman" w:cs="Times New Roman"/>
          <w:color w:val="000000"/>
          <w:sz w:val="20"/>
          <w:szCs w:val="20"/>
        </w:rPr>
        <w:t>rpm</w:t>
      </w:r>
      <w:r w:rsidRPr="00DA1ECD">
        <w:rPr>
          <w:rFonts w:ascii="Times New Roman" w:hAnsi="Times New Roman" w:cs="Times New Roman"/>
          <w:color w:val="000000"/>
          <w:sz w:val="20"/>
          <w:szCs w:val="20"/>
        </w:rPr>
        <w:t xml:space="preserve"> for 5 min), </w:t>
      </w:r>
      <w:r w:rsidR="00DA1ECD">
        <w:rPr>
          <w:rFonts w:ascii="Times New Roman" w:hAnsi="Times New Roman" w:cs="Times New Roman"/>
          <w:color w:val="000000"/>
          <w:sz w:val="20"/>
          <w:szCs w:val="20"/>
        </w:rPr>
        <w:t xml:space="preserve">and </w:t>
      </w:r>
      <w:r w:rsidRPr="00DA1ECD">
        <w:rPr>
          <w:rFonts w:ascii="Times New Roman" w:hAnsi="Times New Roman" w:cs="Times New Roman"/>
          <w:color w:val="000000"/>
          <w:sz w:val="20"/>
          <w:szCs w:val="20"/>
        </w:rPr>
        <w:t>the changes in absorbance of the supernatant were recorded at 570 nm against the reagent blank. The following equation was used for calculating the enzyme activity:</w:t>
      </w:r>
    </w:p>
    <w:p w:rsidR="005F338E" w:rsidRPr="00DA1ECD" w:rsidRDefault="0082378F" w:rsidP="00BA4B49">
      <w:pPr>
        <w:spacing w:line="240" w:lineRule="auto"/>
        <w:jc w:val="center"/>
        <w:rPr>
          <w:rFonts w:ascii="Times New Roman" w:hAnsi="Times New Roman" w:cs="Times New Roman"/>
          <w:b/>
          <w:bCs/>
          <w:color w:val="000000"/>
          <w:sz w:val="20"/>
          <w:szCs w:val="20"/>
        </w:rPr>
      </w:pPr>
      <w:r w:rsidRPr="00DA1ECD">
        <w:rPr>
          <w:rFonts w:ascii="Times New Roman" w:hAnsi="Times New Roman" w:cs="Times New Roman"/>
          <w:b/>
          <w:bCs/>
          <w:color w:val="000000"/>
          <w:sz w:val="20"/>
          <w:szCs w:val="20"/>
        </w:rPr>
        <w:t>Catalase Activity IU/ g tissu</w:t>
      </w:r>
      <w:r w:rsidR="00F46F53" w:rsidRPr="00DA1ECD">
        <w:rPr>
          <w:rFonts w:ascii="Times New Roman" w:hAnsi="Times New Roman" w:cs="Times New Roman"/>
          <w:b/>
          <w:bCs/>
          <w:color w:val="000000"/>
          <w:sz w:val="20"/>
          <w:szCs w:val="20"/>
        </w:rPr>
        <w:t>e = 2.303/t {log S°/S-</w:t>
      </w:r>
      <w:r w:rsidR="00C6158F" w:rsidRPr="00DA1ECD">
        <w:rPr>
          <w:rFonts w:ascii="Times New Roman" w:hAnsi="Times New Roman" w:cs="Times New Roman"/>
          <w:b/>
          <w:bCs/>
          <w:color w:val="000000"/>
          <w:sz w:val="20"/>
          <w:szCs w:val="20"/>
        </w:rPr>
        <w:t>M} *</w:t>
      </w:r>
      <w:r w:rsidR="00F46F53" w:rsidRPr="00DA1ECD">
        <w:rPr>
          <w:rFonts w:ascii="Times New Roman" w:hAnsi="Times New Roman" w:cs="Times New Roman"/>
          <w:b/>
          <w:bCs/>
          <w:color w:val="000000"/>
          <w:sz w:val="20"/>
          <w:szCs w:val="20"/>
        </w:rPr>
        <w:t xml:space="preserve"> Vt/ Vs</w:t>
      </w:r>
    </w:p>
    <w:p w:rsidR="0082378F" w:rsidRPr="00DA1ECD" w:rsidRDefault="000A548A" w:rsidP="005D3D62">
      <w:pPr>
        <w:spacing w:line="240" w:lineRule="auto"/>
        <w:rPr>
          <w:rFonts w:ascii="Times New Roman" w:hAnsi="Times New Roman" w:cs="Times New Roman"/>
          <w:b/>
          <w:bCs/>
          <w:color w:val="000000"/>
          <w:sz w:val="20"/>
          <w:szCs w:val="20"/>
        </w:rPr>
      </w:pPr>
      <w:r w:rsidRPr="00DA1ECD">
        <w:rPr>
          <w:rFonts w:ascii="Times New Roman" w:hAnsi="Times New Roman" w:cs="Times New Roman"/>
          <w:b/>
          <w:bCs/>
          <w:color w:val="000000"/>
          <w:sz w:val="20"/>
          <w:szCs w:val="20"/>
        </w:rPr>
        <w:t>t: time</w:t>
      </w:r>
    </w:p>
    <w:p w:rsidR="0082378F" w:rsidRPr="00DA1ECD" w:rsidRDefault="0082378F" w:rsidP="005D3D62">
      <w:pPr>
        <w:spacing w:line="240" w:lineRule="auto"/>
        <w:rPr>
          <w:rFonts w:ascii="Times New Roman" w:hAnsi="Times New Roman" w:cs="Times New Roman"/>
          <w:b/>
          <w:bCs/>
          <w:color w:val="000000"/>
          <w:sz w:val="20"/>
          <w:szCs w:val="20"/>
        </w:rPr>
      </w:pPr>
      <w:r w:rsidRPr="00DA1ECD">
        <w:rPr>
          <w:rFonts w:ascii="Times New Roman" w:hAnsi="Times New Roman" w:cs="Times New Roman"/>
          <w:b/>
          <w:bCs/>
          <w:color w:val="000000"/>
          <w:sz w:val="20"/>
          <w:szCs w:val="20"/>
        </w:rPr>
        <w:t>Sº: A</w:t>
      </w:r>
      <w:r w:rsidR="000A548A" w:rsidRPr="00DA1ECD">
        <w:rPr>
          <w:rFonts w:ascii="Times New Roman" w:hAnsi="Times New Roman" w:cs="Times New Roman"/>
          <w:b/>
          <w:bCs/>
          <w:color w:val="000000"/>
          <w:sz w:val="20"/>
          <w:szCs w:val="20"/>
        </w:rPr>
        <w:t>bsorbance of standard tube</w:t>
      </w:r>
    </w:p>
    <w:p w:rsidR="0082378F" w:rsidRPr="00DA1ECD" w:rsidRDefault="000A548A" w:rsidP="005D3D62">
      <w:pPr>
        <w:spacing w:line="240" w:lineRule="auto"/>
        <w:rPr>
          <w:rFonts w:ascii="Times New Roman" w:hAnsi="Times New Roman" w:cs="Times New Roman"/>
          <w:b/>
          <w:bCs/>
          <w:color w:val="000000"/>
          <w:sz w:val="20"/>
          <w:szCs w:val="20"/>
        </w:rPr>
      </w:pPr>
      <w:r w:rsidRPr="00DA1ECD">
        <w:rPr>
          <w:rFonts w:ascii="Times New Roman" w:hAnsi="Times New Roman" w:cs="Times New Roman"/>
          <w:b/>
          <w:bCs/>
          <w:color w:val="000000"/>
          <w:sz w:val="20"/>
          <w:szCs w:val="20"/>
        </w:rPr>
        <w:t xml:space="preserve">S: Absorbance of </w:t>
      </w:r>
      <w:r w:rsidR="00DA1ECD">
        <w:rPr>
          <w:rFonts w:ascii="Times New Roman" w:hAnsi="Times New Roman" w:cs="Times New Roman"/>
          <w:b/>
          <w:bCs/>
          <w:color w:val="000000"/>
          <w:sz w:val="20"/>
          <w:szCs w:val="20"/>
        </w:rPr>
        <w:t xml:space="preserve">the </w:t>
      </w:r>
      <w:r w:rsidRPr="00DA1ECD">
        <w:rPr>
          <w:rFonts w:ascii="Times New Roman" w:hAnsi="Times New Roman" w:cs="Times New Roman"/>
          <w:b/>
          <w:bCs/>
          <w:color w:val="000000"/>
          <w:sz w:val="20"/>
          <w:szCs w:val="20"/>
        </w:rPr>
        <w:t>test tube</w:t>
      </w:r>
    </w:p>
    <w:p w:rsidR="0082378F" w:rsidRPr="00DA1ECD" w:rsidRDefault="0082378F" w:rsidP="005D3D62">
      <w:pPr>
        <w:spacing w:line="240" w:lineRule="auto"/>
        <w:rPr>
          <w:rFonts w:ascii="Times New Roman" w:hAnsi="Times New Roman" w:cs="Times New Roman"/>
          <w:b/>
          <w:bCs/>
          <w:color w:val="000000"/>
          <w:sz w:val="20"/>
          <w:szCs w:val="20"/>
        </w:rPr>
      </w:pPr>
      <w:r w:rsidRPr="00DA1ECD">
        <w:rPr>
          <w:rFonts w:ascii="Times New Roman" w:hAnsi="Times New Roman" w:cs="Times New Roman"/>
          <w:b/>
          <w:bCs/>
          <w:color w:val="000000"/>
          <w:sz w:val="20"/>
          <w:szCs w:val="20"/>
        </w:rPr>
        <w:t>M: Absorbance of c</w:t>
      </w:r>
      <w:r w:rsidR="00AB1352" w:rsidRPr="00DA1ECD">
        <w:rPr>
          <w:rFonts w:ascii="Times New Roman" w:hAnsi="Times New Roman" w:cs="Times New Roman"/>
          <w:b/>
          <w:bCs/>
          <w:color w:val="000000"/>
          <w:sz w:val="20"/>
          <w:szCs w:val="20"/>
        </w:rPr>
        <w:t>ontrol test (correction factor)</w:t>
      </w:r>
    </w:p>
    <w:p w:rsidR="006B4725" w:rsidRPr="00DA1ECD" w:rsidRDefault="0082378F" w:rsidP="005D3D62">
      <w:pPr>
        <w:spacing w:line="240" w:lineRule="auto"/>
        <w:jc w:val="both"/>
        <w:rPr>
          <w:rFonts w:ascii="Times New Roman" w:hAnsi="Times New Roman" w:cs="Times New Roman"/>
          <w:b/>
          <w:bCs/>
          <w:color w:val="000000"/>
          <w:sz w:val="20"/>
          <w:szCs w:val="20"/>
        </w:rPr>
      </w:pPr>
      <w:r w:rsidRPr="00DA1ECD">
        <w:rPr>
          <w:rFonts w:ascii="Times New Roman" w:hAnsi="Times New Roman" w:cs="Times New Roman"/>
          <w:b/>
          <w:bCs/>
          <w:color w:val="000000"/>
          <w:sz w:val="20"/>
          <w:szCs w:val="20"/>
        </w:rPr>
        <w:t xml:space="preserve">Vt: Total </w:t>
      </w:r>
      <w:r w:rsidR="000A548A" w:rsidRPr="00DA1ECD">
        <w:rPr>
          <w:rFonts w:ascii="Times New Roman" w:hAnsi="Times New Roman" w:cs="Times New Roman"/>
          <w:b/>
          <w:bCs/>
          <w:color w:val="000000"/>
          <w:sz w:val="20"/>
          <w:szCs w:val="20"/>
        </w:rPr>
        <w:t xml:space="preserve">volume of reagents in </w:t>
      </w:r>
      <w:r w:rsidR="00DA1ECD">
        <w:rPr>
          <w:rFonts w:ascii="Times New Roman" w:hAnsi="Times New Roman" w:cs="Times New Roman"/>
          <w:b/>
          <w:bCs/>
          <w:color w:val="000000"/>
          <w:sz w:val="20"/>
          <w:szCs w:val="20"/>
        </w:rPr>
        <w:t xml:space="preserve">the </w:t>
      </w:r>
      <w:r w:rsidR="000A548A" w:rsidRPr="00DA1ECD">
        <w:rPr>
          <w:rFonts w:ascii="Times New Roman" w:hAnsi="Times New Roman" w:cs="Times New Roman"/>
          <w:b/>
          <w:bCs/>
          <w:color w:val="000000"/>
          <w:sz w:val="20"/>
          <w:szCs w:val="20"/>
        </w:rPr>
        <w:t>test tube</w:t>
      </w:r>
      <w:r w:rsidRPr="00DA1ECD">
        <w:rPr>
          <w:rFonts w:ascii="Times New Roman" w:hAnsi="Times New Roman" w:cs="Times New Roman"/>
          <w:b/>
          <w:bCs/>
          <w:color w:val="000000"/>
          <w:sz w:val="20"/>
          <w:szCs w:val="20"/>
        </w:rPr>
        <w:t xml:space="preserve"> </w:t>
      </w:r>
      <w:r w:rsidR="00517C17" w:rsidRPr="00DA1ECD">
        <w:rPr>
          <w:rFonts w:ascii="Times New Roman" w:hAnsi="Times New Roman" w:cs="Times New Roman"/>
          <w:b/>
          <w:bCs/>
          <w:color w:val="000000"/>
          <w:sz w:val="20"/>
          <w:szCs w:val="20"/>
        </w:rPr>
        <w:t xml:space="preserve">         </w:t>
      </w:r>
    </w:p>
    <w:p w:rsidR="009A1356" w:rsidRPr="00DA1ECD" w:rsidRDefault="00517C17" w:rsidP="00D75031">
      <w:pPr>
        <w:spacing w:line="240" w:lineRule="auto"/>
        <w:rPr>
          <w:rFonts w:ascii="Times New Roman" w:hAnsi="Times New Roman" w:cs="Times New Roman"/>
          <w:b/>
          <w:bCs/>
          <w:color w:val="000000"/>
          <w:sz w:val="20"/>
          <w:szCs w:val="20"/>
        </w:rPr>
      </w:pPr>
      <w:r w:rsidRPr="00DA1ECD">
        <w:rPr>
          <w:rFonts w:ascii="Times New Roman" w:hAnsi="Times New Roman" w:cs="Times New Roman"/>
          <w:b/>
          <w:bCs/>
          <w:color w:val="000000"/>
          <w:sz w:val="20"/>
          <w:szCs w:val="20"/>
        </w:rPr>
        <w:t xml:space="preserve">  </w:t>
      </w:r>
      <w:r w:rsidR="0082378F" w:rsidRPr="00DA1ECD">
        <w:rPr>
          <w:rFonts w:ascii="Times New Roman" w:hAnsi="Times New Roman" w:cs="Times New Roman"/>
          <w:b/>
          <w:bCs/>
          <w:color w:val="000000"/>
          <w:sz w:val="20"/>
          <w:szCs w:val="20"/>
        </w:rPr>
        <w:t xml:space="preserve">Vs: Volume of </w:t>
      </w:r>
      <w:r w:rsidR="00D75031" w:rsidRPr="00DA1ECD">
        <w:rPr>
          <w:rFonts w:ascii="Times New Roman" w:hAnsi="Times New Roman" w:cs="Times New Roman"/>
          <w:b/>
          <w:bCs/>
          <w:color w:val="000000"/>
          <w:sz w:val="20"/>
          <w:szCs w:val="20"/>
        </w:rPr>
        <w:t>sample</w:t>
      </w:r>
    </w:p>
    <w:p w:rsidR="009A1356" w:rsidRPr="00DA1ECD" w:rsidRDefault="009A1356" w:rsidP="009A1356">
      <w:pPr>
        <w:pStyle w:val="ListParagraph"/>
        <w:numPr>
          <w:ilvl w:val="1"/>
          <w:numId w:val="1"/>
        </w:numPr>
        <w:spacing w:line="240" w:lineRule="auto"/>
        <w:rPr>
          <w:rFonts w:ascii="Times New Roman" w:hAnsi="Times New Roman" w:cs="Times New Roman"/>
          <w:b/>
          <w:bCs/>
          <w:color w:val="000000"/>
          <w:sz w:val="20"/>
          <w:szCs w:val="20"/>
        </w:rPr>
      </w:pPr>
      <w:r w:rsidRPr="00DA1ECD">
        <w:rPr>
          <w:rFonts w:ascii="Times New Roman" w:hAnsi="Times New Roman" w:cs="Times New Roman"/>
          <w:b/>
          <w:bCs/>
          <w:color w:val="000000"/>
          <w:sz w:val="20"/>
          <w:szCs w:val="20"/>
        </w:rPr>
        <w:t xml:space="preserve">Determination of Titanium content in tissue by using inductively coupled plasma </w:t>
      </w:r>
    </w:p>
    <w:p w:rsidR="009A1356" w:rsidRPr="00DA1ECD" w:rsidRDefault="009A1356" w:rsidP="009A1356">
      <w:pPr>
        <w:spacing w:before="240" w:line="240" w:lineRule="auto"/>
        <w:ind w:firstLine="360"/>
        <w:jc w:val="both"/>
        <w:rPr>
          <w:rFonts w:ascii="Times New Roman" w:hAnsi="Times New Roman" w:cs="Times New Roman"/>
          <w:color w:val="000000"/>
          <w:sz w:val="20"/>
          <w:szCs w:val="20"/>
        </w:rPr>
      </w:pPr>
      <w:r w:rsidRPr="00DA1ECD">
        <w:rPr>
          <w:rFonts w:ascii="Times New Roman" w:hAnsi="Times New Roman" w:cs="Times New Roman"/>
          <w:color w:val="000000"/>
          <w:sz w:val="20"/>
          <w:szCs w:val="20"/>
        </w:rPr>
        <w:t xml:space="preserve">All measurements were carried out with an inductively coupled plasma (ICP-ES Agilent 5100 VDV) instrument. ICP atomic emission Spectroscopy is a recent analytical technique used to measure and analysis of trace metals within a sample matrix with high accuracy and precision and low detection limit starting from ppb level to high concentration of ppm, it is a type of emission spectroscopy that uses the inductively coupled plasma to produce excited atoms and ions that emit electromagnetic radiation at wavelength characteristic of a particular element. It is a flame technique with a flame temperature in a range from 8000 to 10000 k. the intensity of this emission is proportional of the concentration of the element within the sample. ICP analysis requires the use of liquefied sample solutions, so solid samples and biological samples are often digested prior to analysis. Metals analysis quality control was carried out according to standard methods US EPA Method 200.7 and US EPA Method 6010 C. </w:t>
      </w:r>
    </w:p>
    <w:p w:rsidR="009A1356" w:rsidRPr="00DA1ECD" w:rsidRDefault="009A1356" w:rsidP="009A1356">
      <w:pPr>
        <w:pStyle w:val="ListParagraph"/>
        <w:numPr>
          <w:ilvl w:val="2"/>
          <w:numId w:val="1"/>
        </w:numPr>
        <w:spacing w:line="240" w:lineRule="auto"/>
        <w:rPr>
          <w:rFonts w:ascii="Times New Roman" w:hAnsi="Times New Roman" w:cs="Times New Roman"/>
          <w:b/>
          <w:bCs/>
          <w:color w:val="000000"/>
          <w:sz w:val="20"/>
          <w:szCs w:val="20"/>
        </w:rPr>
      </w:pPr>
      <w:r w:rsidRPr="00DA1ECD">
        <w:rPr>
          <w:rFonts w:ascii="Times New Roman" w:hAnsi="Times New Roman" w:cs="Times New Roman"/>
          <w:b/>
          <w:bCs/>
          <w:color w:val="000000"/>
          <w:sz w:val="20"/>
          <w:szCs w:val="20"/>
        </w:rPr>
        <w:t xml:space="preserve">Digestion of Organ tissues </w:t>
      </w:r>
    </w:p>
    <w:p w:rsidR="009A1356" w:rsidRPr="00AC3A6D" w:rsidRDefault="009A1356" w:rsidP="00AC3A6D">
      <w:pPr>
        <w:spacing w:before="200" w:line="240" w:lineRule="auto"/>
        <w:ind w:firstLine="360"/>
        <w:jc w:val="both"/>
        <w:rPr>
          <w:rFonts w:ascii="Times New Roman" w:eastAsia="Times New Roman" w:hAnsi="Times New Roman" w:cs="Times New Roman"/>
          <w:b/>
          <w:bCs/>
          <w:sz w:val="24"/>
          <w:szCs w:val="24"/>
          <w:lang w:eastAsia="ar-SA"/>
        </w:rPr>
      </w:pPr>
      <w:r w:rsidRPr="00DA1ECD">
        <w:rPr>
          <w:rFonts w:ascii="Times New Roman" w:hAnsi="Times New Roman" w:cs="Times New Roman"/>
          <w:color w:val="000000"/>
          <w:sz w:val="20"/>
          <w:szCs w:val="20"/>
        </w:rPr>
        <w:t xml:space="preserve">Whole organs were immediately isolated, lyophilized for 72 h, and individually stored in high-pressure Teflon containers tissues at ≤18 °C until analysis. Each tissue sample approximately (250- 500) mg were accurately weighed, using a Precise instrument (LAB254i Adam U.K) balance, then pre-digested overnight at room temperature in digesting solution (5ml nitric acid ultrapure grade, Carlo Erba, Rodano, Italy) and (1 mL </w:t>
      </w:r>
      <w:r w:rsidR="00B42819" w:rsidRPr="00DA1ECD">
        <w:rPr>
          <w:rFonts w:ascii="Times New Roman" w:hAnsi="Times New Roman" w:cs="Times New Roman"/>
          <w:color w:val="000000"/>
          <w:sz w:val="20"/>
          <w:szCs w:val="20"/>
        </w:rPr>
        <w:t>H</w:t>
      </w:r>
      <w:r w:rsidR="00B42819" w:rsidRPr="00DA1ECD">
        <w:rPr>
          <w:rFonts w:ascii="Times New Roman" w:hAnsi="Times New Roman" w:cs="Times New Roman"/>
          <w:color w:val="000000"/>
          <w:sz w:val="20"/>
          <w:szCs w:val="20"/>
          <w:vertAlign w:val="subscript"/>
        </w:rPr>
        <w:t>2</w:t>
      </w:r>
      <w:r w:rsidR="00B42819" w:rsidRPr="00DA1ECD">
        <w:rPr>
          <w:rFonts w:ascii="Times New Roman" w:hAnsi="Times New Roman" w:cs="Times New Roman"/>
          <w:color w:val="000000"/>
          <w:sz w:val="20"/>
          <w:szCs w:val="20"/>
        </w:rPr>
        <w:t>O</w:t>
      </w:r>
      <w:r w:rsidR="00B42819" w:rsidRPr="00DA1ECD">
        <w:rPr>
          <w:rFonts w:ascii="Times New Roman" w:hAnsi="Times New Roman" w:cs="Times New Roman"/>
          <w:color w:val="000000"/>
          <w:sz w:val="20"/>
          <w:szCs w:val="20"/>
          <w:vertAlign w:val="subscript"/>
        </w:rPr>
        <w:t>2</w:t>
      </w:r>
      <w:r w:rsidRPr="00DA1ECD">
        <w:rPr>
          <w:rFonts w:ascii="Times New Roman" w:hAnsi="Times New Roman" w:cs="Times New Roman"/>
          <w:color w:val="000000"/>
          <w:sz w:val="20"/>
          <w:szCs w:val="20"/>
        </w:rPr>
        <w:t xml:space="preserve"> ultrapure grade, Merck, Darmstadt, Germany) and brought into a perfluoroalkoxy (PFA) microwave digestion tube (Sarstedt BV, Etten-Leur, The Netherlands) then added to the microwave digestion vessels and digested by following the microwave program: MW(w) 1800 and temperature 210°C for 25 min. In start the color of fumes was yellow. </w:t>
      </w:r>
      <w:r w:rsidR="00932905">
        <w:rPr>
          <w:rFonts w:ascii="Times New Roman" w:hAnsi="Times New Roman" w:cs="Times New Roman"/>
          <w:color w:val="000000"/>
          <w:sz w:val="20"/>
          <w:szCs w:val="20"/>
        </w:rPr>
        <w:t>The digestion</w:t>
      </w:r>
      <w:r w:rsidRPr="00DA1ECD">
        <w:rPr>
          <w:rFonts w:ascii="Times New Roman" w:hAnsi="Times New Roman" w:cs="Times New Roman"/>
          <w:color w:val="000000"/>
          <w:sz w:val="20"/>
          <w:szCs w:val="20"/>
        </w:rPr>
        <w:t xml:space="preserve"> process was continued till the fumes </w:t>
      </w:r>
      <w:r w:rsidR="00932905">
        <w:rPr>
          <w:rFonts w:ascii="Times New Roman" w:hAnsi="Times New Roman" w:cs="Times New Roman"/>
          <w:color w:val="000000"/>
          <w:sz w:val="20"/>
          <w:szCs w:val="20"/>
        </w:rPr>
        <w:t>became</w:t>
      </w:r>
      <w:r w:rsidRPr="00DA1ECD">
        <w:rPr>
          <w:rFonts w:ascii="Times New Roman" w:hAnsi="Times New Roman" w:cs="Times New Roman"/>
          <w:color w:val="000000"/>
          <w:sz w:val="20"/>
          <w:szCs w:val="20"/>
        </w:rPr>
        <w:t xml:space="preserve"> colorless. The digests were </w:t>
      </w:r>
      <w:r w:rsidR="00932905">
        <w:rPr>
          <w:rFonts w:ascii="Times New Roman" w:hAnsi="Times New Roman" w:cs="Times New Roman"/>
          <w:color w:val="000000"/>
          <w:sz w:val="20"/>
          <w:szCs w:val="20"/>
        </w:rPr>
        <w:t>filtered</w:t>
      </w:r>
      <w:r w:rsidRPr="00DA1ECD">
        <w:rPr>
          <w:rFonts w:ascii="Times New Roman" w:hAnsi="Times New Roman" w:cs="Times New Roman"/>
          <w:color w:val="000000"/>
          <w:sz w:val="20"/>
          <w:szCs w:val="20"/>
        </w:rPr>
        <w:t xml:space="preserve"> and transferred to pre-cleaned volumetric flask </w:t>
      </w:r>
      <w:r w:rsidRPr="00DA1ECD">
        <w:rPr>
          <w:rFonts w:ascii="Times New Roman" w:hAnsi="Times New Roman" w:cs="Times New Roman"/>
          <w:color w:val="000000"/>
          <w:sz w:val="20"/>
          <w:szCs w:val="20"/>
        </w:rPr>
        <w:lastRenderedPageBreak/>
        <w:t xml:space="preserve">and </w:t>
      </w:r>
      <w:r w:rsidR="00932905">
        <w:rPr>
          <w:rFonts w:ascii="Times New Roman" w:hAnsi="Times New Roman" w:cs="Times New Roman"/>
          <w:color w:val="000000"/>
          <w:sz w:val="20"/>
          <w:szCs w:val="20"/>
        </w:rPr>
        <w:t>completed to a</w:t>
      </w:r>
      <w:r w:rsidRPr="00DA1ECD">
        <w:rPr>
          <w:rFonts w:ascii="Times New Roman" w:hAnsi="Times New Roman" w:cs="Times New Roman"/>
          <w:color w:val="000000"/>
          <w:sz w:val="20"/>
          <w:szCs w:val="20"/>
        </w:rPr>
        <w:t xml:space="preserve"> volume </w:t>
      </w:r>
      <w:r w:rsidR="00932905">
        <w:rPr>
          <w:rFonts w:ascii="Times New Roman" w:hAnsi="Times New Roman" w:cs="Times New Roman"/>
          <w:color w:val="000000"/>
          <w:sz w:val="20"/>
          <w:szCs w:val="20"/>
        </w:rPr>
        <w:t>of</w:t>
      </w:r>
      <w:r w:rsidRPr="00DA1ECD">
        <w:rPr>
          <w:rFonts w:ascii="Times New Roman" w:hAnsi="Times New Roman" w:cs="Times New Roman"/>
          <w:color w:val="000000"/>
          <w:sz w:val="20"/>
          <w:szCs w:val="20"/>
        </w:rPr>
        <w:t xml:space="preserve"> 10 mL with </w:t>
      </w:r>
      <w:r w:rsidR="00932905">
        <w:rPr>
          <w:rFonts w:ascii="Times New Roman" w:hAnsi="Times New Roman" w:cs="Times New Roman"/>
          <w:color w:val="000000"/>
          <w:sz w:val="20"/>
          <w:szCs w:val="20"/>
        </w:rPr>
        <w:t>double-distilled</w:t>
      </w:r>
      <w:r w:rsidRPr="00DA1ECD">
        <w:rPr>
          <w:rFonts w:ascii="Times New Roman" w:hAnsi="Times New Roman" w:cs="Times New Roman"/>
          <w:color w:val="000000"/>
          <w:sz w:val="20"/>
          <w:szCs w:val="20"/>
        </w:rPr>
        <w:t xml:space="preserve"> water.</w:t>
      </w:r>
      <w:r w:rsidR="00932905">
        <w:rPr>
          <w:rFonts w:ascii="Times New Roman" w:hAnsi="Times New Roman" w:cs="Times New Roman"/>
          <w:color w:val="000000"/>
          <w:sz w:val="20"/>
          <w:szCs w:val="20"/>
        </w:rPr>
        <w:t xml:space="preserve"> </w:t>
      </w:r>
      <w:r w:rsidR="00932905" w:rsidRPr="006D4423">
        <w:rPr>
          <w:rFonts w:ascii="Times New Roman" w:eastAsia="Calibri" w:hAnsi="Times New Roman" w:cs="Times New Roman"/>
          <w:sz w:val="24"/>
          <w:szCs w:val="24"/>
          <w:lang w:bidi="ar-EG"/>
        </w:rPr>
        <w:t xml:space="preserve">The mass of the measured tissue and its dilution were taken into consideration when converting raw data (mg/L) to </w:t>
      </w:r>
      <w:r w:rsidR="00932905" w:rsidRPr="006D4423">
        <w:rPr>
          <w:rFonts w:ascii="Cambria Math" w:eastAsia="Calibri" w:hAnsi="Cambria Math" w:cs="Cambria Math"/>
          <w:sz w:val="24"/>
          <w:szCs w:val="24"/>
          <w:lang w:bidi="ar-EG"/>
        </w:rPr>
        <w:t>𝜇</w:t>
      </w:r>
      <w:r w:rsidR="00932905" w:rsidRPr="006D4423">
        <w:rPr>
          <w:rFonts w:ascii="Times New Roman" w:eastAsia="Calibri" w:hAnsi="Times New Roman" w:cs="Times New Roman"/>
          <w:sz w:val="24"/>
          <w:szCs w:val="24"/>
          <w:lang w:bidi="ar-EG"/>
        </w:rPr>
        <w:t>g of Ti/g of tissue.</w:t>
      </w:r>
    </w:p>
    <w:p w:rsidR="00932905" w:rsidRPr="00CA1E90" w:rsidRDefault="00932905" w:rsidP="00932905">
      <w:pPr>
        <w:numPr>
          <w:ilvl w:val="2"/>
          <w:numId w:val="1"/>
        </w:numPr>
        <w:spacing w:line="240" w:lineRule="auto"/>
        <w:contextualSpacing/>
        <w:rPr>
          <w:rFonts w:ascii="Times New Roman" w:hAnsi="Times New Roman" w:cs="Times New Roman"/>
          <w:b/>
          <w:bCs/>
          <w:color w:val="000000"/>
          <w:sz w:val="24"/>
          <w:szCs w:val="24"/>
        </w:rPr>
      </w:pPr>
      <w:r w:rsidRPr="00CA1E90">
        <w:rPr>
          <w:rFonts w:ascii="Times New Roman" w:hAnsi="Times New Roman" w:cs="Times New Roman"/>
          <w:b/>
          <w:bCs/>
          <w:color w:val="000000"/>
          <w:sz w:val="24"/>
          <w:szCs w:val="24"/>
        </w:rPr>
        <w:t>Calibration and quality control</w:t>
      </w:r>
    </w:p>
    <w:p w:rsidR="00932905" w:rsidRPr="00CA1E90" w:rsidRDefault="00932905" w:rsidP="00932905">
      <w:pPr>
        <w:spacing w:before="240" w:line="240" w:lineRule="auto"/>
        <w:ind w:firstLine="360"/>
        <w:jc w:val="both"/>
        <w:rPr>
          <w:rFonts w:ascii="Times New Roman" w:hAnsi="Times New Roman" w:cs="Times New Roman"/>
          <w:color w:val="000000"/>
          <w:sz w:val="24"/>
          <w:szCs w:val="24"/>
        </w:rPr>
      </w:pPr>
      <w:r w:rsidRPr="00CA1E90">
        <w:rPr>
          <w:rFonts w:ascii="Times New Roman" w:hAnsi="Times New Roman" w:cs="Times New Roman"/>
          <w:color w:val="000000"/>
          <w:sz w:val="24"/>
          <w:szCs w:val="24"/>
        </w:rPr>
        <w:t>Four-point external calibration curves from 0 to 20 μg/ L Ti were constructed every five working hours. Regression coefficients obtained were always excellent (r 2 ranged from 0.9996 to 1.0000). Every 12 samples, a blank and a Ti ICP standard of the calibration curve (2.5 μg</w:t>
      </w:r>
      <w:r>
        <w:rPr>
          <w:rFonts w:ascii="Times New Roman" w:hAnsi="Times New Roman" w:cs="Times New Roman"/>
          <w:color w:val="000000"/>
          <w:sz w:val="24"/>
          <w:szCs w:val="24"/>
        </w:rPr>
        <w:t>/L</w:t>
      </w:r>
      <w:r w:rsidRPr="00CA1E90">
        <w:rPr>
          <w:rFonts w:ascii="Times New Roman" w:hAnsi="Times New Roman" w:cs="Times New Roman"/>
          <w:color w:val="000000"/>
          <w:sz w:val="24"/>
          <w:szCs w:val="24"/>
        </w:rPr>
        <w:t xml:space="preserve"> Ti) were measured to check for memory effects and correct for likely signal drift. In addition, two selected Ti-containing biological reference materials were also measured every 12 samples as a quality control (if each reference material result was not within the confidence interval of the reference value the whole group analysis was repeated).</w:t>
      </w:r>
    </w:p>
    <w:p w:rsidR="00932905" w:rsidRPr="00CA1E90" w:rsidRDefault="00932905" w:rsidP="00932905">
      <w:pPr>
        <w:spacing w:line="240" w:lineRule="auto"/>
        <w:ind w:firstLine="360"/>
        <w:jc w:val="center"/>
        <w:rPr>
          <w:rFonts w:ascii="Times New Roman" w:hAnsi="Times New Roman" w:cs="Times New Roman"/>
          <w:color w:val="000000"/>
          <w:sz w:val="24"/>
          <w:szCs w:val="24"/>
        </w:rPr>
      </w:pPr>
      <w:r w:rsidRPr="00CA1E90">
        <w:rPr>
          <w:rFonts w:ascii="Times New Roman" w:hAnsi="Times New Roman" w:cs="Times New Roman"/>
          <w:noProof/>
          <w:color w:val="000000"/>
          <w:sz w:val="24"/>
          <w:szCs w:val="24"/>
        </w:rPr>
        <w:drawing>
          <wp:inline distT="0" distB="0" distL="0" distR="0" wp14:anchorId="0E8108CF" wp14:editId="073BABD8">
            <wp:extent cx="4036060" cy="2181161"/>
            <wp:effectExtent l="19050" t="19050" r="2159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84819" cy="2261553"/>
                    </a:xfrm>
                    <a:prstGeom prst="rect">
                      <a:avLst/>
                    </a:prstGeom>
                    <a:noFill/>
                    <a:ln w="19050">
                      <a:solidFill>
                        <a:sysClr val="windowText" lastClr="000000"/>
                      </a:solidFill>
                    </a:ln>
                  </pic:spPr>
                </pic:pic>
              </a:graphicData>
            </a:graphic>
          </wp:inline>
        </w:drawing>
      </w:r>
    </w:p>
    <w:p w:rsidR="00932905" w:rsidRPr="00932905" w:rsidRDefault="00154B6F" w:rsidP="00932905">
      <w:pPr>
        <w:jc w:val="center"/>
        <w:rPr>
          <w:rFonts w:ascii="Times New Roman" w:eastAsia="Calibri" w:hAnsi="Times New Roman" w:cs="Times New Roman"/>
          <w:b/>
          <w:bCs/>
          <w:sz w:val="20"/>
          <w:szCs w:val="20"/>
          <w:lang w:bidi="ar-EG"/>
        </w:rPr>
      </w:pPr>
      <w:r>
        <w:rPr>
          <w:rFonts w:ascii="Times New Roman" w:eastAsia="Calibri" w:hAnsi="Times New Roman" w:cs="Times New Roman"/>
          <w:b/>
          <w:bCs/>
          <w:sz w:val="20"/>
          <w:szCs w:val="20"/>
          <w:lang w:bidi="ar-EG"/>
        </w:rPr>
        <w:t>Figure 6</w:t>
      </w:r>
      <w:r w:rsidR="00932905" w:rsidRPr="00CA1E90">
        <w:rPr>
          <w:rFonts w:ascii="Times New Roman" w:eastAsia="Calibri" w:hAnsi="Times New Roman" w:cs="Times New Roman"/>
          <w:b/>
          <w:bCs/>
          <w:sz w:val="20"/>
          <w:szCs w:val="20"/>
          <w:lang w:bidi="ar-EG"/>
        </w:rPr>
        <w:t>: Calibration curve of titanium nanoparticles</w:t>
      </w:r>
    </w:p>
    <w:p w:rsidR="00EE692A" w:rsidRPr="00DA1ECD" w:rsidRDefault="00932905" w:rsidP="00164455">
      <w:pPr>
        <w:pStyle w:val="ListParagraph"/>
        <w:numPr>
          <w:ilvl w:val="1"/>
          <w:numId w:val="1"/>
        </w:numPr>
        <w:spacing w:before="200" w:line="240" w:lineRule="auto"/>
        <w:jc w:val="both"/>
        <w:rPr>
          <w:rFonts w:ascii="Times New Roman" w:eastAsia="Times New Roman" w:hAnsi="Times New Roman" w:cs="Times New Roman"/>
          <w:b/>
          <w:bCs/>
          <w:sz w:val="20"/>
          <w:szCs w:val="20"/>
          <w:lang w:eastAsia="ar-SA"/>
        </w:rPr>
      </w:pPr>
      <w:r w:rsidRPr="00DA1ECD">
        <w:rPr>
          <w:rFonts w:ascii="Times New Roman" w:eastAsia="Calibri" w:hAnsi="Times New Roman" w:cs="Times New Roman"/>
          <w:b/>
          <w:bCs/>
          <w:sz w:val="20"/>
          <w:szCs w:val="20"/>
        </w:rPr>
        <w:t>Immunohistochemically</w:t>
      </w:r>
      <w:r w:rsidR="00EE692A" w:rsidRPr="00DA1ECD">
        <w:rPr>
          <w:rFonts w:ascii="Times New Roman" w:eastAsia="Calibri" w:hAnsi="Times New Roman" w:cs="Times New Roman"/>
          <w:b/>
          <w:bCs/>
          <w:sz w:val="20"/>
          <w:szCs w:val="20"/>
        </w:rPr>
        <w:t xml:space="preserve"> studies</w:t>
      </w:r>
    </w:p>
    <w:p w:rsidR="00E61FF7" w:rsidRPr="00DA1ECD" w:rsidRDefault="00EE692A" w:rsidP="00DA1ECD">
      <w:pPr>
        <w:spacing w:before="240" w:line="240" w:lineRule="auto"/>
        <w:ind w:firstLine="360"/>
        <w:jc w:val="both"/>
        <w:rPr>
          <w:rFonts w:ascii="Times New Roman" w:hAnsi="Times New Roman" w:cs="Times New Roman"/>
          <w:b/>
          <w:bCs/>
          <w:color w:val="000000"/>
          <w:sz w:val="20"/>
          <w:szCs w:val="20"/>
        </w:rPr>
      </w:pPr>
      <w:r w:rsidRPr="00DA1ECD">
        <w:rPr>
          <w:rFonts w:ascii="Times New Roman" w:eastAsia="Calibri" w:hAnsi="Times New Roman" w:cs="Times New Roman"/>
          <w:sz w:val="20"/>
          <w:szCs w:val="20"/>
        </w:rPr>
        <w:t xml:space="preserve">TNF-α, and GP88 proteins were carried out using </w:t>
      </w:r>
      <w:r w:rsidR="00DA1ECD">
        <w:rPr>
          <w:rFonts w:ascii="Times New Roman" w:eastAsia="Calibri" w:hAnsi="Times New Roman" w:cs="Times New Roman"/>
          <w:sz w:val="20"/>
          <w:szCs w:val="20"/>
        </w:rPr>
        <w:t xml:space="preserve">an </w:t>
      </w:r>
      <w:r w:rsidRPr="00DA1ECD">
        <w:rPr>
          <w:rFonts w:ascii="Times New Roman" w:eastAsia="Calibri" w:hAnsi="Times New Roman" w:cs="Times New Roman"/>
          <w:sz w:val="20"/>
          <w:szCs w:val="20"/>
        </w:rPr>
        <w:t xml:space="preserve">immunohistochemistry protocol of the Striptoavidin Biotin Complex (SABC) (A universal kit (SABC – HRP) reagent and DAB stain) from Thermo Fisher – USA). The </w:t>
      </w:r>
      <w:r w:rsidR="00DA1ECD">
        <w:rPr>
          <w:rFonts w:ascii="Times New Roman" w:eastAsia="Calibri" w:hAnsi="Times New Roman" w:cs="Times New Roman"/>
          <w:sz w:val="20"/>
          <w:szCs w:val="20"/>
        </w:rPr>
        <w:t>formalin-fixed</w:t>
      </w:r>
      <w:r w:rsidRPr="00DA1ECD">
        <w:rPr>
          <w:rFonts w:ascii="Times New Roman" w:eastAsia="Calibri" w:hAnsi="Times New Roman" w:cs="Times New Roman"/>
          <w:sz w:val="20"/>
          <w:szCs w:val="20"/>
        </w:rPr>
        <w:t xml:space="preserve"> paraffin sections (FFPE) were cut 5 µm-thick, placed on coated glass slides</w:t>
      </w:r>
      <w:r w:rsidR="00DA1ECD">
        <w:rPr>
          <w:rFonts w:ascii="Times New Roman" w:eastAsia="Calibri" w:hAnsi="Times New Roman" w:cs="Times New Roman"/>
          <w:sz w:val="20"/>
          <w:szCs w:val="20"/>
        </w:rPr>
        <w:t>,</w:t>
      </w:r>
      <w:r w:rsidRPr="00DA1ECD">
        <w:rPr>
          <w:rFonts w:ascii="Times New Roman" w:eastAsia="Calibri" w:hAnsi="Times New Roman" w:cs="Times New Roman"/>
          <w:sz w:val="20"/>
          <w:szCs w:val="20"/>
        </w:rPr>
        <w:t xml:space="preserve"> and </w:t>
      </w:r>
      <w:r w:rsidR="00DA1ECD">
        <w:rPr>
          <w:rFonts w:ascii="Times New Roman" w:eastAsia="Calibri" w:hAnsi="Times New Roman" w:cs="Times New Roman"/>
          <w:sz w:val="20"/>
          <w:szCs w:val="20"/>
        </w:rPr>
        <w:t>processed</w:t>
      </w:r>
      <w:r w:rsidRPr="00DA1ECD">
        <w:rPr>
          <w:rFonts w:ascii="Times New Roman" w:eastAsia="Calibri" w:hAnsi="Times New Roman" w:cs="Times New Roman"/>
          <w:sz w:val="20"/>
          <w:szCs w:val="20"/>
        </w:rPr>
        <w:t xml:space="preserve"> for immunostaining. The slides were deparaffinized, rehydrated</w:t>
      </w:r>
      <w:r w:rsidR="00DA1ECD">
        <w:rPr>
          <w:rFonts w:ascii="Times New Roman" w:eastAsia="Calibri" w:hAnsi="Times New Roman" w:cs="Times New Roman"/>
          <w:sz w:val="20"/>
          <w:szCs w:val="20"/>
        </w:rPr>
        <w:t>,</w:t>
      </w:r>
      <w:r w:rsidRPr="00DA1ECD">
        <w:rPr>
          <w:rFonts w:ascii="Times New Roman" w:eastAsia="Calibri" w:hAnsi="Times New Roman" w:cs="Times New Roman"/>
          <w:sz w:val="20"/>
          <w:szCs w:val="20"/>
        </w:rPr>
        <w:t xml:space="preserve"> and rinsed in distilled water. Slides </w:t>
      </w:r>
      <w:r w:rsidR="00DA1ECD">
        <w:rPr>
          <w:rFonts w:ascii="Times New Roman" w:eastAsia="Calibri" w:hAnsi="Times New Roman" w:cs="Times New Roman"/>
          <w:sz w:val="20"/>
          <w:szCs w:val="20"/>
        </w:rPr>
        <w:t xml:space="preserve">were </w:t>
      </w:r>
      <w:r w:rsidRPr="00DA1ECD">
        <w:rPr>
          <w:rFonts w:ascii="Times New Roman" w:eastAsia="Calibri" w:hAnsi="Times New Roman" w:cs="Times New Roman"/>
          <w:sz w:val="20"/>
          <w:szCs w:val="20"/>
        </w:rPr>
        <w:t xml:space="preserve">placed in </w:t>
      </w:r>
      <w:r w:rsidR="00DA1ECD">
        <w:rPr>
          <w:rFonts w:ascii="Times New Roman" w:eastAsia="Calibri" w:hAnsi="Times New Roman" w:cs="Times New Roman"/>
          <w:sz w:val="20"/>
          <w:szCs w:val="20"/>
        </w:rPr>
        <w:t xml:space="preserve">a </w:t>
      </w:r>
      <w:r w:rsidRPr="00DA1ECD">
        <w:rPr>
          <w:rFonts w:ascii="Times New Roman" w:eastAsia="Calibri" w:hAnsi="Times New Roman" w:cs="Times New Roman"/>
          <w:sz w:val="20"/>
          <w:szCs w:val="20"/>
        </w:rPr>
        <w:t>large amount of antigen retrieval (citrate buffer pH 6) in an oven at 95 °C for 20 minutes. Then washed in phosphate buffer saline (PBS) twice</w:t>
      </w:r>
      <w:r w:rsidR="00DA1ECD">
        <w:rPr>
          <w:rFonts w:ascii="Times New Roman" w:eastAsia="Calibri" w:hAnsi="Times New Roman" w:cs="Times New Roman"/>
          <w:sz w:val="20"/>
          <w:szCs w:val="20"/>
        </w:rPr>
        <w:t>,</w:t>
      </w:r>
      <w:r w:rsidRPr="00DA1ECD">
        <w:rPr>
          <w:rFonts w:ascii="Times New Roman" w:eastAsia="Calibri" w:hAnsi="Times New Roman" w:cs="Times New Roman"/>
          <w:sz w:val="20"/>
          <w:szCs w:val="20"/>
        </w:rPr>
        <w:t xml:space="preserve"> 5 minutes each. Endogenous </w:t>
      </w:r>
      <w:r w:rsidR="00DA1ECD">
        <w:rPr>
          <w:rFonts w:ascii="Times New Roman" w:eastAsia="Calibri" w:hAnsi="Times New Roman" w:cs="Times New Roman"/>
          <w:sz w:val="20"/>
          <w:szCs w:val="20"/>
        </w:rPr>
        <w:t>peroxide</w:t>
      </w:r>
      <w:r w:rsidRPr="00DA1ECD">
        <w:rPr>
          <w:rFonts w:ascii="Times New Roman" w:eastAsia="Calibri" w:hAnsi="Times New Roman" w:cs="Times New Roman"/>
          <w:sz w:val="20"/>
          <w:szCs w:val="20"/>
        </w:rPr>
        <w:t xml:space="preserve"> activity was quenched using 3.0% H2O2 in PBS. The slides </w:t>
      </w:r>
      <w:r w:rsidR="00DA1ECD">
        <w:rPr>
          <w:rFonts w:ascii="Times New Roman" w:eastAsia="Calibri" w:hAnsi="Times New Roman" w:cs="Times New Roman"/>
          <w:sz w:val="20"/>
          <w:szCs w:val="20"/>
        </w:rPr>
        <w:t xml:space="preserve">were </w:t>
      </w:r>
      <w:r w:rsidRPr="00DA1ECD">
        <w:rPr>
          <w:rFonts w:ascii="Times New Roman" w:eastAsia="Calibri" w:hAnsi="Times New Roman" w:cs="Times New Roman"/>
          <w:sz w:val="20"/>
          <w:szCs w:val="20"/>
        </w:rPr>
        <w:t>washed in PBS twice</w:t>
      </w:r>
      <w:r w:rsidR="00DA1ECD">
        <w:rPr>
          <w:rFonts w:ascii="Times New Roman" w:eastAsia="Calibri" w:hAnsi="Times New Roman" w:cs="Times New Roman"/>
          <w:sz w:val="20"/>
          <w:szCs w:val="20"/>
        </w:rPr>
        <w:t>,</w:t>
      </w:r>
      <w:r w:rsidRPr="00DA1ECD">
        <w:rPr>
          <w:rFonts w:ascii="Times New Roman" w:eastAsia="Calibri" w:hAnsi="Times New Roman" w:cs="Times New Roman"/>
          <w:sz w:val="20"/>
          <w:szCs w:val="20"/>
        </w:rPr>
        <w:t xml:space="preserve"> 5 minutes each. The incubated with serum blocking reagent for 30 minutes and washed in PBS twice</w:t>
      </w:r>
      <w:r w:rsidR="00DA1ECD">
        <w:rPr>
          <w:rFonts w:ascii="Times New Roman" w:eastAsia="Calibri" w:hAnsi="Times New Roman" w:cs="Times New Roman"/>
          <w:sz w:val="20"/>
          <w:szCs w:val="20"/>
        </w:rPr>
        <w:t>,</w:t>
      </w:r>
      <w:r w:rsidRPr="00DA1ECD">
        <w:rPr>
          <w:rFonts w:ascii="Times New Roman" w:eastAsia="Calibri" w:hAnsi="Times New Roman" w:cs="Times New Roman"/>
          <w:sz w:val="20"/>
          <w:szCs w:val="20"/>
        </w:rPr>
        <w:t xml:space="preserve"> 5 minutes each, then incubated with primary antibodies of TNF-α and</w:t>
      </w:r>
      <w:r w:rsidRPr="00DA1ECD">
        <w:rPr>
          <w:rFonts w:ascii="Calibri" w:eastAsia="Calibri" w:hAnsi="Calibri" w:cs="Arial"/>
          <w:sz w:val="20"/>
          <w:szCs w:val="20"/>
        </w:rPr>
        <w:t xml:space="preserve"> </w:t>
      </w:r>
      <w:r w:rsidRPr="00DA1ECD">
        <w:rPr>
          <w:rFonts w:ascii="Times New Roman" w:eastAsia="Calibri" w:hAnsi="Times New Roman" w:cs="Times New Roman"/>
          <w:sz w:val="20"/>
          <w:szCs w:val="20"/>
        </w:rPr>
        <w:t xml:space="preserve">GP88 </w:t>
      </w:r>
      <w:r w:rsidR="00DA1ECD">
        <w:rPr>
          <w:rFonts w:ascii="Times New Roman" w:eastAsia="Calibri" w:hAnsi="Times New Roman" w:cs="Times New Roman"/>
          <w:sz w:val="20"/>
          <w:szCs w:val="20"/>
        </w:rPr>
        <w:t>overnight</w:t>
      </w:r>
      <w:r w:rsidRPr="00DA1ECD">
        <w:rPr>
          <w:rFonts w:ascii="Times New Roman" w:eastAsia="Calibri" w:hAnsi="Times New Roman" w:cs="Times New Roman"/>
          <w:sz w:val="20"/>
          <w:szCs w:val="20"/>
        </w:rPr>
        <w:t xml:space="preserve"> at 4°C in </w:t>
      </w:r>
      <w:r w:rsidR="00DA1ECD">
        <w:rPr>
          <w:rFonts w:ascii="Times New Roman" w:eastAsia="Calibri" w:hAnsi="Times New Roman" w:cs="Times New Roman"/>
          <w:sz w:val="20"/>
          <w:szCs w:val="20"/>
        </w:rPr>
        <w:t>a</w:t>
      </w:r>
      <w:r w:rsidRPr="00DA1ECD">
        <w:rPr>
          <w:rFonts w:ascii="Times New Roman" w:eastAsia="Calibri" w:hAnsi="Times New Roman" w:cs="Times New Roman"/>
          <w:sz w:val="20"/>
          <w:szCs w:val="20"/>
        </w:rPr>
        <w:t xml:space="preserve"> humidified chamber. Negative control slides were incubated without adding </w:t>
      </w:r>
      <w:r w:rsidR="00DA1ECD">
        <w:rPr>
          <w:rFonts w:ascii="Times New Roman" w:eastAsia="Calibri" w:hAnsi="Times New Roman" w:cs="Times New Roman"/>
          <w:sz w:val="20"/>
          <w:szCs w:val="20"/>
        </w:rPr>
        <w:t xml:space="preserve">the </w:t>
      </w:r>
      <w:r w:rsidRPr="00DA1ECD">
        <w:rPr>
          <w:rFonts w:ascii="Times New Roman" w:eastAsia="Calibri" w:hAnsi="Times New Roman" w:cs="Times New Roman"/>
          <w:sz w:val="20"/>
          <w:szCs w:val="20"/>
        </w:rPr>
        <w:t xml:space="preserve">primary antibody. </w:t>
      </w:r>
      <w:r w:rsidR="00DA1ECD">
        <w:rPr>
          <w:rFonts w:ascii="Times New Roman" w:eastAsia="Calibri" w:hAnsi="Times New Roman" w:cs="Times New Roman"/>
          <w:sz w:val="20"/>
          <w:szCs w:val="20"/>
        </w:rPr>
        <w:t>On the</w:t>
      </w:r>
      <w:r w:rsidRPr="00DA1ECD">
        <w:rPr>
          <w:rFonts w:ascii="Times New Roman" w:eastAsia="Calibri" w:hAnsi="Times New Roman" w:cs="Times New Roman"/>
          <w:sz w:val="20"/>
          <w:szCs w:val="20"/>
        </w:rPr>
        <w:t xml:space="preserve"> 2nd day</w:t>
      </w:r>
      <w:r w:rsidR="00DA1ECD">
        <w:rPr>
          <w:rFonts w:ascii="Times New Roman" w:eastAsia="Calibri" w:hAnsi="Times New Roman" w:cs="Times New Roman"/>
          <w:sz w:val="20"/>
          <w:szCs w:val="20"/>
        </w:rPr>
        <w:t>,</w:t>
      </w:r>
      <w:r w:rsidRPr="00DA1ECD">
        <w:rPr>
          <w:rFonts w:ascii="Times New Roman" w:eastAsia="Calibri" w:hAnsi="Times New Roman" w:cs="Times New Roman"/>
          <w:sz w:val="20"/>
          <w:szCs w:val="20"/>
        </w:rPr>
        <w:t xml:space="preserve"> the slides </w:t>
      </w:r>
      <w:r w:rsidR="00DA1ECD">
        <w:rPr>
          <w:rFonts w:ascii="Times New Roman" w:eastAsia="Calibri" w:hAnsi="Times New Roman" w:cs="Times New Roman"/>
          <w:sz w:val="20"/>
          <w:szCs w:val="20"/>
        </w:rPr>
        <w:t xml:space="preserve">were </w:t>
      </w:r>
      <w:r w:rsidRPr="00DA1ECD">
        <w:rPr>
          <w:rFonts w:ascii="Times New Roman" w:eastAsia="Calibri" w:hAnsi="Times New Roman" w:cs="Times New Roman"/>
          <w:sz w:val="20"/>
          <w:szCs w:val="20"/>
        </w:rPr>
        <w:t>allowed to reach the room temperature and then washed in PBS twice</w:t>
      </w:r>
      <w:r w:rsidR="00DA1ECD">
        <w:rPr>
          <w:rFonts w:ascii="Times New Roman" w:eastAsia="Calibri" w:hAnsi="Times New Roman" w:cs="Times New Roman"/>
          <w:sz w:val="20"/>
          <w:szCs w:val="20"/>
        </w:rPr>
        <w:t>,</w:t>
      </w:r>
      <w:r w:rsidRPr="00DA1ECD">
        <w:rPr>
          <w:rFonts w:ascii="Times New Roman" w:eastAsia="Calibri" w:hAnsi="Times New Roman" w:cs="Times New Roman"/>
          <w:sz w:val="20"/>
          <w:szCs w:val="20"/>
        </w:rPr>
        <w:t xml:space="preserve"> 5 minutes each</w:t>
      </w:r>
      <w:r w:rsidR="00DA1ECD">
        <w:rPr>
          <w:rFonts w:ascii="Times New Roman" w:eastAsia="Calibri" w:hAnsi="Times New Roman" w:cs="Times New Roman"/>
          <w:sz w:val="20"/>
          <w:szCs w:val="20"/>
        </w:rPr>
        <w:t>,</w:t>
      </w:r>
      <w:r w:rsidRPr="00DA1ECD">
        <w:rPr>
          <w:rFonts w:ascii="Times New Roman" w:eastAsia="Calibri" w:hAnsi="Times New Roman" w:cs="Times New Roman"/>
          <w:sz w:val="20"/>
          <w:szCs w:val="20"/>
        </w:rPr>
        <w:t xml:space="preserve"> and incubated with conjugated SABC-HRP reagent for 30 minutes in </w:t>
      </w:r>
      <w:r w:rsidR="00DA1ECD">
        <w:rPr>
          <w:rFonts w:ascii="Times New Roman" w:eastAsia="Calibri" w:hAnsi="Times New Roman" w:cs="Times New Roman"/>
          <w:sz w:val="20"/>
          <w:szCs w:val="20"/>
        </w:rPr>
        <w:t xml:space="preserve">a </w:t>
      </w:r>
      <w:r w:rsidRPr="00DA1ECD">
        <w:rPr>
          <w:rFonts w:ascii="Times New Roman" w:eastAsia="Calibri" w:hAnsi="Times New Roman" w:cs="Times New Roman"/>
          <w:sz w:val="20"/>
          <w:szCs w:val="20"/>
        </w:rPr>
        <w:t>humidified chamber at room temperature, then washed in PBS twice</w:t>
      </w:r>
      <w:r w:rsidR="00DA1ECD">
        <w:rPr>
          <w:rFonts w:ascii="Times New Roman" w:eastAsia="Calibri" w:hAnsi="Times New Roman" w:cs="Times New Roman"/>
          <w:sz w:val="20"/>
          <w:szCs w:val="20"/>
        </w:rPr>
        <w:t>,</w:t>
      </w:r>
      <w:r w:rsidRPr="00DA1ECD">
        <w:rPr>
          <w:rFonts w:ascii="Times New Roman" w:eastAsia="Calibri" w:hAnsi="Times New Roman" w:cs="Times New Roman"/>
          <w:sz w:val="20"/>
          <w:szCs w:val="20"/>
        </w:rPr>
        <w:t xml:space="preserve"> 5 minutes each. The slides </w:t>
      </w:r>
      <w:r w:rsidR="00DA1ECD">
        <w:rPr>
          <w:rFonts w:ascii="Times New Roman" w:eastAsia="Calibri" w:hAnsi="Times New Roman" w:cs="Times New Roman"/>
          <w:sz w:val="20"/>
          <w:szCs w:val="20"/>
        </w:rPr>
        <w:t xml:space="preserve">were </w:t>
      </w:r>
      <w:r w:rsidRPr="00DA1ECD">
        <w:rPr>
          <w:rFonts w:ascii="Times New Roman" w:eastAsia="Calibri" w:hAnsi="Times New Roman" w:cs="Times New Roman"/>
          <w:sz w:val="20"/>
          <w:szCs w:val="20"/>
        </w:rPr>
        <w:t xml:space="preserve">stained with chromogen DAB, </w:t>
      </w:r>
      <w:r w:rsidR="00DA1ECD">
        <w:rPr>
          <w:rFonts w:ascii="Times New Roman" w:eastAsia="Calibri" w:hAnsi="Times New Roman" w:cs="Times New Roman"/>
          <w:sz w:val="20"/>
          <w:szCs w:val="20"/>
        </w:rPr>
        <w:t xml:space="preserve">and </w:t>
      </w:r>
      <w:r w:rsidRPr="00DA1ECD">
        <w:rPr>
          <w:rFonts w:ascii="Times New Roman" w:eastAsia="Calibri" w:hAnsi="Times New Roman" w:cs="Times New Roman"/>
          <w:sz w:val="20"/>
          <w:szCs w:val="20"/>
        </w:rPr>
        <w:t xml:space="preserve">the chromomeric reaction turned the epitome sites brown. The slides </w:t>
      </w:r>
      <w:r w:rsidR="00DA1ECD">
        <w:rPr>
          <w:rFonts w:ascii="Times New Roman" w:eastAsia="Calibri" w:hAnsi="Times New Roman" w:cs="Times New Roman"/>
          <w:sz w:val="20"/>
          <w:szCs w:val="20"/>
        </w:rPr>
        <w:t xml:space="preserve">were </w:t>
      </w:r>
      <w:r w:rsidRPr="00DA1ECD">
        <w:rPr>
          <w:rFonts w:ascii="Times New Roman" w:eastAsia="Calibri" w:hAnsi="Times New Roman" w:cs="Times New Roman"/>
          <w:sz w:val="20"/>
          <w:szCs w:val="20"/>
        </w:rPr>
        <w:t xml:space="preserve">rinsed in distilled water, stained with hematoxylin as </w:t>
      </w:r>
      <w:r w:rsidR="00DA1ECD">
        <w:rPr>
          <w:rFonts w:ascii="Times New Roman" w:eastAsia="Calibri" w:hAnsi="Times New Roman" w:cs="Times New Roman"/>
          <w:sz w:val="20"/>
          <w:szCs w:val="20"/>
        </w:rPr>
        <w:t xml:space="preserve">a </w:t>
      </w:r>
      <w:r w:rsidRPr="00DA1ECD">
        <w:rPr>
          <w:rFonts w:ascii="Times New Roman" w:eastAsia="Calibri" w:hAnsi="Times New Roman" w:cs="Times New Roman"/>
          <w:sz w:val="20"/>
          <w:szCs w:val="20"/>
        </w:rPr>
        <w:t xml:space="preserve">nuclear </w:t>
      </w:r>
      <w:r w:rsidR="00DA1ECD">
        <w:rPr>
          <w:rFonts w:ascii="Times New Roman" w:eastAsia="Calibri" w:hAnsi="Times New Roman" w:cs="Times New Roman"/>
          <w:sz w:val="20"/>
          <w:szCs w:val="20"/>
        </w:rPr>
        <w:t>counterstain</w:t>
      </w:r>
      <w:r w:rsidRPr="00DA1ECD">
        <w:rPr>
          <w:rFonts w:ascii="Times New Roman" w:eastAsia="Calibri" w:hAnsi="Times New Roman" w:cs="Times New Roman"/>
          <w:sz w:val="20"/>
          <w:szCs w:val="20"/>
        </w:rPr>
        <w:t xml:space="preserve">, and then rinsed in running </w:t>
      </w:r>
      <w:r w:rsidR="00DA1ECD">
        <w:rPr>
          <w:rFonts w:ascii="Times New Roman" w:eastAsia="Calibri" w:hAnsi="Times New Roman" w:cs="Times New Roman"/>
          <w:sz w:val="20"/>
          <w:szCs w:val="20"/>
        </w:rPr>
        <w:t>tap water</w:t>
      </w:r>
      <w:r w:rsidRPr="00DA1ECD">
        <w:rPr>
          <w:rFonts w:ascii="Times New Roman" w:eastAsia="Calibri" w:hAnsi="Times New Roman" w:cs="Times New Roman"/>
          <w:sz w:val="20"/>
          <w:szCs w:val="20"/>
        </w:rPr>
        <w:t>. Finally, Sections were</w:t>
      </w:r>
      <w:r w:rsidR="001F0A11" w:rsidRPr="00DA1ECD">
        <w:rPr>
          <w:rFonts w:ascii="Times New Roman" w:eastAsia="Calibri" w:hAnsi="Times New Roman" w:cs="Times New Roman"/>
          <w:sz w:val="20"/>
          <w:szCs w:val="20"/>
        </w:rPr>
        <w:t xml:space="preserve"> dehydrated, cleared</w:t>
      </w:r>
      <w:r w:rsidR="00DA1ECD">
        <w:rPr>
          <w:rFonts w:ascii="Times New Roman" w:eastAsia="Calibri" w:hAnsi="Times New Roman" w:cs="Times New Roman"/>
          <w:sz w:val="20"/>
          <w:szCs w:val="20"/>
        </w:rPr>
        <w:t>,</w:t>
      </w:r>
      <w:r w:rsidR="001F0A11" w:rsidRPr="00DA1ECD">
        <w:rPr>
          <w:rFonts w:ascii="Times New Roman" w:eastAsia="Calibri" w:hAnsi="Times New Roman" w:cs="Times New Roman"/>
          <w:sz w:val="20"/>
          <w:szCs w:val="20"/>
        </w:rPr>
        <w:t xml:space="preserve"> and mounted.</w:t>
      </w:r>
      <w:r w:rsidRPr="00DA1ECD">
        <w:rPr>
          <w:rFonts w:ascii="Times New Roman" w:eastAsia="Calibri" w:hAnsi="Times New Roman" w:cs="Times New Roman" w:hint="cs"/>
          <w:sz w:val="20"/>
          <w:szCs w:val="20"/>
          <w:rtl/>
        </w:rPr>
        <w:t xml:space="preserve"> </w:t>
      </w:r>
      <w:r w:rsidRPr="00DA1ECD">
        <w:rPr>
          <w:rFonts w:ascii="Times New Roman" w:eastAsia="Calibri" w:hAnsi="Times New Roman" w:cs="Times New Roman"/>
          <w:sz w:val="20"/>
          <w:szCs w:val="20"/>
        </w:rPr>
        <w:t xml:space="preserve"> The (TNF-α, GP88) expression </w:t>
      </w:r>
      <w:r w:rsidR="00DA1ECD">
        <w:rPr>
          <w:rFonts w:ascii="Times New Roman" w:eastAsia="Calibri" w:hAnsi="Times New Roman" w:cs="Times New Roman"/>
          <w:sz w:val="20"/>
          <w:szCs w:val="20"/>
        </w:rPr>
        <w:t xml:space="preserve">is </w:t>
      </w:r>
      <w:r w:rsidRPr="00DA1ECD">
        <w:rPr>
          <w:rFonts w:ascii="Times New Roman" w:eastAsia="Calibri" w:hAnsi="Times New Roman" w:cs="Times New Roman"/>
          <w:sz w:val="20"/>
          <w:szCs w:val="20"/>
        </w:rPr>
        <w:t>indicated by dark brown stain labeling the tissue</w:t>
      </w:r>
      <w:r w:rsidR="00DA1ECD">
        <w:rPr>
          <w:rFonts w:ascii="Times New Roman" w:eastAsia="Calibri" w:hAnsi="Times New Roman" w:cs="Times New Roman"/>
          <w:sz w:val="20"/>
          <w:szCs w:val="20"/>
        </w:rPr>
        <w:t>,</w:t>
      </w:r>
      <w:r w:rsidRPr="00DA1ECD">
        <w:rPr>
          <w:rFonts w:ascii="Times New Roman" w:eastAsia="Calibri" w:hAnsi="Times New Roman" w:cs="Times New Roman"/>
          <w:sz w:val="20"/>
          <w:szCs w:val="20"/>
        </w:rPr>
        <w:t xml:space="preserve"> and the blue color </w:t>
      </w:r>
      <w:r w:rsidR="00DA1ECD">
        <w:rPr>
          <w:rFonts w:ascii="Times New Roman" w:eastAsia="Calibri" w:hAnsi="Times New Roman" w:cs="Times New Roman"/>
          <w:sz w:val="20"/>
          <w:szCs w:val="20"/>
        </w:rPr>
        <w:t>indicates</w:t>
      </w:r>
      <w:r w:rsidRPr="00DA1ECD">
        <w:rPr>
          <w:rFonts w:ascii="Times New Roman" w:eastAsia="Calibri" w:hAnsi="Times New Roman" w:cs="Times New Roman"/>
          <w:sz w:val="20"/>
          <w:szCs w:val="20"/>
        </w:rPr>
        <w:t xml:space="preserve"> the negative reaction. The </w:t>
      </w:r>
      <w:r w:rsidR="00DA1ECD">
        <w:rPr>
          <w:rFonts w:ascii="Times New Roman" w:eastAsia="Calibri" w:hAnsi="Times New Roman" w:cs="Times New Roman"/>
          <w:sz w:val="20"/>
          <w:szCs w:val="20"/>
        </w:rPr>
        <w:t>semi-quantitative</w:t>
      </w:r>
      <w:r w:rsidRPr="00DA1ECD">
        <w:rPr>
          <w:rFonts w:ascii="Times New Roman" w:eastAsia="Calibri" w:hAnsi="Times New Roman" w:cs="Times New Roman"/>
          <w:sz w:val="20"/>
          <w:szCs w:val="20"/>
        </w:rPr>
        <w:t xml:space="preserve"> evaluation of the immunohistochemically results of both primary antibodies </w:t>
      </w:r>
      <w:r w:rsidR="00DA1ECD">
        <w:rPr>
          <w:rFonts w:ascii="Times New Roman" w:eastAsia="Calibri" w:hAnsi="Times New Roman" w:cs="Times New Roman"/>
          <w:sz w:val="20"/>
          <w:szCs w:val="20"/>
        </w:rPr>
        <w:t xml:space="preserve">was </w:t>
      </w:r>
      <w:r w:rsidRPr="00DA1ECD">
        <w:rPr>
          <w:rFonts w:ascii="Times New Roman" w:eastAsia="Calibri" w:hAnsi="Times New Roman" w:cs="Times New Roman"/>
          <w:sz w:val="20"/>
          <w:szCs w:val="20"/>
        </w:rPr>
        <w:t>done according to the intensity of stain (+1 weak, +2 moderate, +3 strong, +4 intense)</w:t>
      </w:r>
      <w:r w:rsidR="00DA1ECD">
        <w:rPr>
          <w:rFonts w:ascii="Times New Roman" w:eastAsia="Calibri" w:hAnsi="Times New Roman" w:cs="Times New Roman"/>
          <w:sz w:val="20"/>
          <w:szCs w:val="20"/>
        </w:rPr>
        <w:t>.</w:t>
      </w:r>
    </w:p>
    <w:sectPr w:rsidR="00E61FF7" w:rsidRPr="00DA1ECD" w:rsidSect="00BA4B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B68" w:rsidRDefault="00531B68" w:rsidP="009F21DA">
      <w:pPr>
        <w:spacing w:after="0" w:line="240" w:lineRule="auto"/>
      </w:pPr>
      <w:r>
        <w:separator/>
      </w:r>
    </w:p>
  </w:endnote>
  <w:endnote w:type="continuationSeparator" w:id="0">
    <w:p w:rsidR="00531B68" w:rsidRDefault="00531B68" w:rsidP="009F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B68" w:rsidRDefault="00531B68" w:rsidP="009F21DA">
      <w:pPr>
        <w:spacing w:after="0" w:line="240" w:lineRule="auto"/>
      </w:pPr>
      <w:r>
        <w:separator/>
      </w:r>
    </w:p>
  </w:footnote>
  <w:footnote w:type="continuationSeparator" w:id="0">
    <w:p w:rsidR="00531B68" w:rsidRDefault="00531B68" w:rsidP="009F21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80959"/>
    <w:multiLevelType w:val="multilevel"/>
    <w:tmpl w:val="BF4C6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24C1288C"/>
    <w:multiLevelType w:val="hybridMultilevel"/>
    <w:tmpl w:val="8E22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257103"/>
    <w:multiLevelType w:val="multilevel"/>
    <w:tmpl w:val="B0706222"/>
    <w:lvl w:ilvl="0">
      <w:start w:val="2"/>
      <w:numFmt w:val="decimal"/>
      <w:lvlText w:val="%1."/>
      <w:lvlJc w:val="left"/>
      <w:pPr>
        <w:ind w:left="720" w:hanging="360"/>
      </w:pPr>
      <w:rPr>
        <w:rFonts w:hint="default"/>
      </w:rPr>
    </w:lvl>
    <w:lvl w:ilvl="1">
      <w:start w:val="1"/>
      <w:numFmt w:val="decimal"/>
      <w:isLgl/>
      <w:lvlText w:val="%1.%2"/>
      <w:lvlJc w:val="left"/>
      <w:pPr>
        <w:ind w:left="795" w:hanging="435"/>
      </w:pPr>
      <w:rPr>
        <w:rFonts w:hint="default"/>
        <w:sz w:val="24"/>
        <w:szCs w:val="24"/>
      </w:rPr>
    </w:lvl>
    <w:lvl w:ilvl="2">
      <w:start w:val="1"/>
      <w:numFmt w:val="decimal"/>
      <w:isLgl/>
      <w:lvlText w:val="%1.%2.%3"/>
      <w:lvlJc w:val="left"/>
      <w:pPr>
        <w:ind w:left="1080" w:hanging="720"/>
      </w:pPr>
      <w:rPr>
        <w:rFonts w:hint="default"/>
        <w:b/>
        <w:bCs/>
        <w:sz w:val="24"/>
        <w:szCs w:val="24"/>
      </w:rPr>
    </w:lvl>
    <w:lvl w:ilvl="3">
      <w:start w:val="1"/>
      <w:numFmt w:val="decimal"/>
      <w:isLgl/>
      <w:lvlText w:val="%1.%2.%3.%4"/>
      <w:lvlJc w:val="left"/>
      <w:pPr>
        <w:ind w:left="1440" w:hanging="1080"/>
      </w:pPr>
      <w:rPr>
        <w:rFonts w:hint="default"/>
        <w:b/>
        <w:bCs/>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AF16DC2"/>
    <w:multiLevelType w:val="multilevel"/>
    <w:tmpl w:val="B762C212"/>
    <w:lvl w:ilvl="0">
      <w:start w:val="2"/>
      <w:numFmt w:val="decimal"/>
      <w:lvlText w:val="%1."/>
      <w:lvlJc w:val="left"/>
      <w:pPr>
        <w:ind w:left="720" w:hanging="360"/>
      </w:pPr>
      <w:rPr>
        <w:rFonts w:hint="default"/>
      </w:rPr>
    </w:lvl>
    <w:lvl w:ilvl="1">
      <w:start w:val="1"/>
      <w:numFmt w:val="decimal"/>
      <w:isLgl/>
      <w:lvlText w:val="%1.%2"/>
      <w:lvlJc w:val="left"/>
      <w:pPr>
        <w:ind w:left="795" w:hanging="435"/>
      </w:pPr>
      <w:rPr>
        <w:rFonts w:hint="default"/>
        <w:b/>
        <w:bCs/>
        <w:sz w:val="24"/>
        <w:szCs w:val="24"/>
      </w:rPr>
    </w:lvl>
    <w:lvl w:ilvl="2">
      <w:start w:val="1"/>
      <w:numFmt w:val="decimal"/>
      <w:isLgl/>
      <w:lvlText w:val="%1.%2.%3"/>
      <w:lvlJc w:val="left"/>
      <w:pPr>
        <w:ind w:left="1080" w:hanging="720"/>
      </w:pPr>
      <w:rPr>
        <w:rFonts w:hint="default"/>
        <w:b/>
        <w:bCs/>
        <w:sz w:val="24"/>
        <w:szCs w:val="24"/>
      </w:rPr>
    </w:lvl>
    <w:lvl w:ilvl="3">
      <w:start w:val="1"/>
      <w:numFmt w:val="decimal"/>
      <w:isLgl/>
      <w:lvlText w:val="%1.%2.%3.%4"/>
      <w:lvlJc w:val="left"/>
      <w:pPr>
        <w:ind w:left="1440" w:hanging="1080"/>
      </w:pPr>
      <w:rPr>
        <w:rFonts w:hint="default"/>
        <w:b/>
        <w:bCs/>
        <w:sz w:val="24"/>
        <w:szCs w:val="24"/>
      </w:rPr>
    </w:lvl>
    <w:lvl w:ilvl="4">
      <w:start w:val="1"/>
      <w:numFmt w:val="decimal"/>
      <w:isLgl/>
      <w:lvlText w:val="%1.%2.%3.%4.%5"/>
      <w:lvlJc w:val="left"/>
      <w:pPr>
        <w:ind w:left="1440" w:hanging="1080"/>
      </w:pPr>
      <w:rPr>
        <w:rFonts w:hint="default"/>
        <w:sz w:val="24"/>
        <w:szCs w:val="24"/>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A2"/>
    <w:rsid w:val="00004369"/>
    <w:rsid w:val="00021F95"/>
    <w:rsid w:val="00036286"/>
    <w:rsid w:val="00041BA1"/>
    <w:rsid w:val="000423FB"/>
    <w:rsid w:val="00057CB0"/>
    <w:rsid w:val="000902BA"/>
    <w:rsid w:val="000A548A"/>
    <w:rsid w:val="000B05F0"/>
    <w:rsid w:val="000D0F52"/>
    <w:rsid w:val="001019FF"/>
    <w:rsid w:val="00106D7C"/>
    <w:rsid w:val="001312B5"/>
    <w:rsid w:val="001456E5"/>
    <w:rsid w:val="00145E18"/>
    <w:rsid w:val="00154B6F"/>
    <w:rsid w:val="00164455"/>
    <w:rsid w:val="001A0C35"/>
    <w:rsid w:val="001F0A11"/>
    <w:rsid w:val="00245DAF"/>
    <w:rsid w:val="00265F48"/>
    <w:rsid w:val="0028554F"/>
    <w:rsid w:val="00285772"/>
    <w:rsid w:val="002B41E4"/>
    <w:rsid w:val="0032792B"/>
    <w:rsid w:val="00386F86"/>
    <w:rsid w:val="003A2EA2"/>
    <w:rsid w:val="003B442E"/>
    <w:rsid w:val="003C236F"/>
    <w:rsid w:val="003E5F32"/>
    <w:rsid w:val="003E6101"/>
    <w:rsid w:val="003E7C51"/>
    <w:rsid w:val="00410FC7"/>
    <w:rsid w:val="004944C4"/>
    <w:rsid w:val="004A12E1"/>
    <w:rsid w:val="004A4677"/>
    <w:rsid w:val="004C05B4"/>
    <w:rsid w:val="004D46E9"/>
    <w:rsid w:val="00502224"/>
    <w:rsid w:val="0051726C"/>
    <w:rsid w:val="00517C17"/>
    <w:rsid w:val="0052001C"/>
    <w:rsid w:val="00531B68"/>
    <w:rsid w:val="005334EF"/>
    <w:rsid w:val="00537BF1"/>
    <w:rsid w:val="00545C26"/>
    <w:rsid w:val="00554DF3"/>
    <w:rsid w:val="00562A59"/>
    <w:rsid w:val="005C6720"/>
    <w:rsid w:val="005D3D62"/>
    <w:rsid w:val="005E1F81"/>
    <w:rsid w:val="005F338E"/>
    <w:rsid w:val="00620A40"/>
    <w:rsid w:val="006A6DD8"/>
    <w:rsid w:val="006B0186"/>
    <w:rsid w:val="006B4725"/>
    <w:rsid w:val="00727269"/>
    <w:rsid w:val="00730696"/>
    <w:rsid w:val="00733F7E"/>
    <w:rsid w:val="00734CFE"/>
    <w:rsid w:val="0075573E"/>
    <w:rsid w:val="00780F1A"/>
    <w:rsid w:val="007B749C"/>
    <w:rsid w:val="007D423E"/>
    <w:rsid w:val="008129E6"/>
    <w:rsid w:val="00817D40"/>
    <w:rsid w:val="0082378F"/>
    <w:rsid w:val="0082464B"/>
    <w:rsid w:val="00835BA3"/>
    <w:rsid w:val="008536CB"/>
    <w:rsid w:val="008537D9"/>
    <w:rsid w:val="0085394F"/>
    <w:rsid w:val="0089407D"/>
    <w:rsid w:val="008B1BEC"/>
    <w:rsid w:val="008E105C"/>
    <w:rsid w:val="008E2117"/>
    <w:rsid w:val="00932905"/>
    <w:rsid w:val="0096409A"/>
    <w:rsid w:val="009708F9"/>
    <w:rsid w:val="009767C7"/>
    <w:rsid w:val="009A1356"/>
    <w:rsid w:val="009C290A"/>
    <w:rsid w:val="009C2CD4"/>
    <w:rsid w:val="009E0D55"/>
    <w:rsid w:val="009E54A5"/>
    <w:rsid w:val="009E6945"/>
    <w:rsid w:val="009F21DA"/>
    <w:rsid w:val="00A54076"/>
    <w:rsid w:val="00A60CE4"/>
    <w:rsid w:val="00AB1352"/>
    <w:rsid w:val="00AB2FBA"/>
    <w:rsid w:val="00AC3A6D"/>
    <w:rsid w:val="00AC3C7C"/>
    <w:rsid w:val="00AC60F3"/>
    <w:rsid w:val="00AD407F"/>
    <w:rsid w:val="00AF72EE"/>
    <w:rsid w:val="00B11C5D"/>
    <w:rsid w:val="00B11E47"/>
    <w:rsid w:val="00B27074"/>
    <w:rsid w:val="00B42819"/>
    <w:rsid w:val="00BA4B49"/>
    <w:rsid w:val="00BE6E74"/>
    <w:rsid w:val="00BF0287"/>
    <w:rsid w:val="00C02E03"/>
    <w:rsid w:val="00C1037B"/>
    <w:rsid w:val="00C1679E"/>
    <w:rsid w:val="00C32B1E"/>
    <w:rsid w:val="00C53F71"/>
    <w:rsid w:val="00C6158F"/>
    <w:rsid w:val="00CC5EE9"/>
    <w:rsid w:val="00CF22F4"/>
    <w:rsid w:val="00D02786"/>
    <w:rsid w:val="00D12F1F"/>
    <w:rsid w:val="00D26359"/>
    <w:rsid w:val="00D75031"/>
    <w:rsid w:val="00D80016"/>
    <w:rsid w:val="00D814E4"/>
    <w:rsid w:val="00D8537F"/>
    <w:rsid w:val="00DA1ECD"/>
    <w:rsid w:val="00DA3F4F"/>
    <w:rsid w:val="00DE5E45"/>
    <w:rsid w:val="00DF1880"/>
    <w:rsid w:val="00E21F20"/>
    <w:rsid w:val="00E613BD"/>
    <w:rsid w:val="00E61FF7"/>
    <w:rsid w:val="00E7072E"/>
    <w:rsid w:val="00E7592F"/>
    <w:rsid w:val="00EA0935"/>
    <w:rsid w:val="00EA191D"/>
    <w:rsid w:val="00EB1EA4"/>
    <w:rsid w:val="00EE2297"/>
    <w:rsid w:val="00EE692A"/>
    <w:rsid w:val="00EF6DA2"/>
    <w:rsid w:val="00F11C8B"/>
    <w:rsid w:val="00F17483"/>
    <w:rsid w:val="00F35B7E"/>
    <w:rsid w:val="00F46F53"/>
    <w:rsid w:val="00F61F11"/>
    <w:rsid w:val="00F6792D"/>
    <w:rsid w:val="00F86ABA"/>
    <w:rsid w:val="00F911C8"/>
    <w:rsid w:val="00FB16C6"/>
    <w:rsid w:val="00FB5033"/>
    <w:rsid w:val="00FD085A"/>
    <w:rsid w:val="00FE60E3"/>
    <w:rsid w:val="00FE74E9"/>
    <w:rsid w:val="00FE7E63"/>
    <w:rsid w:val="00FF18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740F9"/>
  <w15:chartTrackingRefBased/>
  <w15:docId w15:val="{B30A8EC9-9811-4995-B7D5-5C9A8F51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31">
    <w:name w:val="Grid Table 4 - Accent 31"/>
    <w:basedOn w:val="TableNormal"/>
    <w:uiPriority w:val="49"/>
    <w:rsid w:val="00FE74E9"/>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NormalWeb">
    <w:name w:val="Normal (Web)"/>
    <w:basedOn w:val="Normal"/>
    <w:uiPriority w:val="99"/>
    <w:semiHidden/>
    <w:unhideWhenUsed/>
    <w:rsid w:val="00FE74E9"/>
    <w:rPr>
      <w:rFonts w:ascii="Times New Roman" w:hAnsi="Times New Roman" w:cs="Times New Roman"/>
      <w:sz w:val="24"/>
      <w:szCs w:val="24"/>
    </w:rPr>
  </w:style>
  <w:style w:type="table" w:styleId="TableGrid">
    <w:name w:val="Table Grid"/>
    <w:basedOn w:val="TableNormal"/>
    <w:uiPriority w:val="39"/>
    <w:rsid w:val="008537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4D4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1C8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6792D"/>
    <w:pPr>
      <w:ind w:left="720"/>
      <w:contextualSpacing/>
    </w:pPr>
  </w:style>
  <w:style w:type="paragraph" w:styleId="Header">
    <w:name w:val="header"/>
    <w:basedOn w:val="Normal"/>
    <w:link w:val="HeaderChar"/>
    <w:uiPriority w:val="99"/>
    <w:unhideWhenUsed/>
    <w:rsid w:val="009F2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1DA"/>
  </w:style>
  <w:style w:type="paragraph" w:styleId="Footer">
    <w:name w:val="footer"/>
    <w:basedOn w:val="Normal"/>
    <w:link w:val="FooterChar"/>
    <w:uiPriority w:val="99"/>
    <w:unhideWhenUsed/>
    <w:rsid w:val="009F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Standard curve of vitamin E</a:t>
            </a:r>
          </a:p>
        </c:rich>
      </c:tx>
      <c:overlay val="0"/>
      <c:spPr>
        <a:ln>
          <a:solidFill>
            <a:sysClr val="windowText" lastClr="000000"/>
          </a:solidFill>
        </a:ln>
      </c:sp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16350403166087057"/>
                  <c:y val="0.14492753623188406"/>
                </c:manualLayout>
              </c:layout>
              <c:numFmt formatCode="General" sourceLinked="0"/>
              <c:spPr>
                <a:noFill/>
                <a:ln>
                  <a:solidFill>
                    <a:sysClr val="windowText" lastClr="000000"/>
                  </a:solidFill>
                </a:ln>
                <a:effectLst/>
              </c:spPr>
              <c:txPr>
                <a:bodyPr rot="0" vert="horz"/>
                <a:lstStyle/>
                <a:p>
                  <a:pPr rtl="0">
                    <a:defRPr/>
                  </a:pPr>
                  <a:endParaRPr lang="en-US"/>
                </a:p>
              </c:txPr>
            </c:trendlineLbl>
          </c:trendline>
          <c:trendline>
            <c:spPr>
              <a:ln w="19050" cap="rnd">
                <a:solidFill>
                  <a:schemeClr val="accent1"/>
                </a:solidFill>
                <a:prstDash val="sysDot"/>
              </a:ln>
              <a:effectLst/>
            </c:spPr>
            <c:trendlineType val="linear"/>
            <c:dispRSqr val="0"/>
            <c:dispEq val="0"/>
          </c:trendline>
          <c:xVal>
            <c:numRef>
              <c:f>Sheet1!$A$7:$A$11</c:f>
              <c:numCache>
                <c:formatCode>0%</c:formatCode>
                <c:ptCount val="5"/>
                <c:pt idx="0">
                  <c:v>0.01</c:v>
                </c:pt>
                <c:pt idx="1">
                  <c:v>0.05</c:v>
                </c:pt>
                <c:pt idx="2">
                  <c:v>0.1</c:v>
                </c:pt>
                <c:pt idx="3">
                  <c:v>0.15</c:v>
                </c:pt>
                <c:pt idx="4">
                  <c:v>0.2</c:v>
                </c:pt>
              </c:numCache>
            </c:numRef>
          </c:xVal>
          <c:yVal>
            <c:numRef>
              <c:f>Sheet1!$D$7:$D$11</c:f>
              <c:numCache>
                <c:formatCode>General</c:formatCode>
                <c:ptCount val="5"/>
                <c:pt idx="0">
                  <c:v>0.129</c:v>
                </c:pt>
                <c:pt idx="1">
                  <c:v>0.18500000000000005</c:v>
                </c:pt>
                <c:pt idx="2">
                  <c:v>0.21100000000000008</c:v>
                </c:pt>
                <c:pt idx="3">
                  <c:v>0.252</c:v>
                </c:pt>
                <c:pt idx="4">
                  <c:v>0.28300000000000003</c:v>
                </c:pt>
              </c:numCache>
            </c:numRef>
          </c:yVal>
          <c:smooth val="0"/>
          <c:extLst>
            <c:ext xmlns:c16="http://schemas.microsoft.com/office/drawing/2014/chart" uri="{C3380CC4-5D6E-409C-BE32-E72D297353CC}">
              <c16:uniqueId val="{00000000-110B-4C63-829E-C44A69C52A0D}"/>
            </c:ext>
          </c:extLst>
        </c:ser>
        <c:dLbls>
          <c:showLegendKey val="0"/>
          <c:showVal val="0"/>
          <c:showCatName val="0"/>
          <c:showSerName val="0"/>
          <c:showPercent val="0"/>
          <c:showBubbleSize val="0"/>
        </c:dLbls>
        <c:axId val="213092224"/>
        <c:axId val="213098496"/>
      </c:scatterChart>
      <c:valAx>
        <c:axId val="2130922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Concentration µg/mL</a:t>
                </a:r>
              </a:p>
            </c:rich>
          </c:tx>
          <c:overlay val="0"/>
          <c:spPr>
            <a:noFill/>
            <a:ln>
              <a:solidFill>
                <a:sysClr val="windowText" lastClr="000000"/>
              </a:solidFill>
            </a:ln>
            <a:effectLst/>
          </c:spPr>
        </c:title>
        <c:numFmt formatCode="0%" sourceLinked="1"/>
        <c:majorTickMark val="none"/>
        <c:minorTickMark val="none"/>
        <c:tickLblPos val="nextTo"/>
        <c:spPr>
          <a:noFill/>
          <a:ln w="9525" cap="flat" cmpd="sng" algn="ctr">
            <a:solidFill>
              <a:sysClr val="windowText" lastClr="000000"/>
            </a:solidFill>
            <a:round/>
          </a:ln>
          <a:effectLst/>
        </c:spPr>
        <c:txPr>
          <a:bodyPr rot="-60000000" vert="horz"/>
          <a:lstStyle/>
          <a:p>
            <a:pPr>
              <a:defRPr/>
            </a:pPr>
            <a:endParaRPr lang="en-US"/>
          </a:p>
        </c:txPr>
        <c:crossAx val="213098496"/>
        <c:crosses val="autoZero"/>
        <c:crossBetween val="midCat"/>
      </c:valAx>
      <c:valAx>
        <c:axId val="213098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Absorbance at 695 nm </a:t>
                </a:r>
              </a:p>
            </c:rich>
          </c:tx>
          <c:overlay val="0"/>
          <c:spPr>
            <a:noFill/>
            <a:ln>
              <a:solidFill>
                <a:sysClr val="windowText" lastClr="000000"/>
              </a:solidFill>
            </a:ln>
            <a:effectLst/>
          </c:spPr>
        </c:title>
        <c:numFmt formatCode="General" sourceLinked="1"/>
        <c:majorTickMark val="none"/>
        <c:minorTickMark val="none"/>
        <c:tickLblPos val="nextTo"/>
        <c:spPr>
          <a:noFill/>
          <a:ln w="9525" cap="flat" cmpd="sng" algn="ctr">
            <a:solidFill>
              <a:sysClr val="windowText" lastClr="000000"/>
            </a:solidFill>
            <a:round/>
          </a:ln>
          <a:effectLst/>
        </c:spPr>
        <c:txPr>
          <a:bodyPr rot="-60000000" vert="horz"/>
          <a:lstStyle/>
          <a:p>
            <a:pPr>
              <a:defRPr/>
            </a:pPr>
            <a:endParaRPr lang="en-US"/>
          </a:p>
        </c:txPr>
        <c:crossAx val="213092224"/>
        <c:crosses val="autoZero"/>
        <c:crossBetween val="midCat"/>
      </c:valAx>
      <c:spPr>
        <a:noFill/>
        <a:ln>
          <a:noFill/>
        </a:ln>
        <a:effectLst/>
      </c:spPr>
    </c:plotArea>
    <c:plotVisOnly val="1"/>
    <c:dispBlanksAs val="gap"/>
    <c:showDLblsOverMax val="0"/>
  </c:chart>
  <c:spPr>
    <a:solidFill>
      <a:schemeClr val="bg1"/>
    </a:solidFill>
    <a:ln w="19050" cap="flat" cmpd="sng" algn="ctr">
      <a:solidFill>
        <a:sysClr val="windowText" lastClr="000000"/>
      </a:solidFill>
      <a:round/>
    </a:ln>
    <a:effectLst/>
  </c:spPr>
  <c:txPr>
    <a:bodyPr/>
    <a:lstStyle/>
    <a:p>
      <a:pPr>
        <a:defRPr lang="en-US" sz="700" b="1"/>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t>standard curve of AST</a:t>
            </a:r>
          </a:p>
        </c:rich>
      </c:tx>
      <c:overlay val="0"/>
      <c:spPr>
        <a:noFill/>
        <a:ln>
          <a:solidFill>
            <a:sysClr val="windowText" lastClr="000000"/>
          </a:solidFill>
        </a:ln>
        <a:effectLst/>
      </c:spPr>
    </c:title>
    <c:autoTitleDeleted val="0"/>
    <c:plotArea>
      <c:layout/>
      <c:scatterChart>
        <c:scatterStyle val="lineMarker"/>
        <c:varyColors val="0"/>
        <c:ser>
          <c:idx val="0"/>
          <c:order val="0"/>
          <c:tx>
            <c:strRef>
              <c:f>Serum!$AJ$64</c:f>
              <c:strCache>
                <c:ptCount val="1"/>
                <c:pt idx="0">
                  <c:v>Absorbance</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7.2166605951201043E-2"/>
                  <c:y val="0.10973771480253242"/>
                </c:manualLayout>
              </c:layout>
              <c:numFmt formatCode="General" sourceLinked="0"/>
              <c:spPr>
                <a:noFill/>
                <a:ln>
                  <a:solidFill>
                    <a:sysClr val="windowText" lastClr="000000"/>
                  </a:solidFill>
                </a:ln>
                <a:effectLst/>
              </c:spPr>
              <c:txPr>
                <a:bodyPr rot="0" spcFirstLastPara="1" vertOverflow="ellipsis" vert="horz" wrap="square" anchor="ctr" anchorCtr="1"/>
                <a:lstStyle/>
                <a:p>
                  <a:pPr rtl="0">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Serum!$AI$65:$AI$80</c:f>
              <c:numCache>
                <c:formatCode>General</c:formatCode>
                <c:ptCount val="16"/>
                <c:pt idx="0">
                  <c:v>7</c:v>
                </c:pt>
                <c:pt idx="1">
                  <c:v>10</c:v>
                </c:pt>
                <c:pt idx="2">
                  <c:v>13</c:v>
                </c:pt>
                <c:pt idx="3">
                  <c:v>16</c:v>
                </c:pt>
                <c:pt idx="4">
                  <c:v>19</c:v>
                </c:pt>
                <c:pt idx="5">
                  <c:v>23</c:v>
                </c:pt>
                <c:pt idx="6">
                  <c:v>27</c:v>
                </c:pt>
                <c:pt idx="7">
                  <c:v>31</c:v>
                </c:pt>
                <c:pt idx="8">
                  <c:v>36</c:v>
                </c:pt>
                <c:pt idx="9">
                  <c:v>41</c:v>
                </c:pt>
                <c:pt idx="10">
                  <c:v>47</c:v>
                </c:pt>
                <c:pt idx="11">
                  <c:v>52</c:v>
                </c:pt>
                <c:pt idx="12">
                  <c:v>59</c:v>
                </c:pt>
                <c:pt idx="13">
                  <c:v>67</c:v>
                </c:pt>
                <c:pt idx="14">
                  <c:v>76</c:v>
                </c:pt>
                <c:pt idx="15">
                  <c:v>89</c:v>
                </c:pt>
              </c:numCache>
            </c:numRef>
          </c:xVal>
          <c:yVal>
            <c:numRef>
              <c:f>Serum!$AJ$65:$AJ$80</c:f>
              <c:numCache>
                <c:formatCode>General</c:formatCode>
                <c:ptCount val="16"/>
                <c:pt idx="0">
                  <c:v>0.02</c:v>
                </c:pt>
                <c:pt idx="1">
                  <c:v>0.03</c:v>
                </c:pt>
                <c:pt idx="2">
                  <c:v>0.04</c:v>
                </c:pt>
                <c:pt idx="3">
                  <c:v>0.05</c:v>
                </c:pt>
                <c:pt idx="4">
                  <c:v>0.06</c:v>
                </c:pt>
                <c:pt idx="5">
                  <c:v>7.0000000000000007E-2</c:v>
                </c:pt>
                <c:pt idx="6">
                  <c:v>0.08</c:v>
                </c:pt>
                <c:pt idx="7">
                  <c:v>0.09</c:v>
                </c:pt>
                <c:pt idx="8">
                  <c:v>0.1</c:v>
                </c:pt>
                <c:pt idx="9">
                  <c:v>0.11</c:v>
                </c:pt>
                <c:pt idx="10">
                  <c:v>0.12</c:v>
                </c:pt>
                <c:pt idx="11">
                  <c:v>0.13</c:v>
                </c:pt>
                <c:pt idx="12">
                  <c:v>0.14000000000000001</c:v>
                </c:pt>
                <c:pt idx="13">
                  <c:v>0.15</c:v>
                </c:pt>
                <c:pt idx="14">
                  <c:v>0.16</c:v>
                </c:pt>
                <c:pt idx="15">
                  <c:v>0.17</c:v>
                </c:pt>
              </c:numCache>
            </c:numRef>
          </c:yVal>
          <c:smooth val="0"/>
          <c:extLst>
            <c:ext xmlns:c16="http://schemas.microsoft.com/office/drawing/2014/chart" uri="{C3380CC4-5D6E-409C-BE32-E72D297353CC}">
              <c16:uniqueId val="{00000000-C8E3-47BF-A6B2-FF715AF632E5}"/>
            </c:ext>
          </c:extLst>
        </c:ser>
        <c:dLbls>
          <c:showLegendKey val="0"/>
          <c:showVal val="0"/>
          <c:showCatName val="0"/>
          <c:showSerName val="0"/>
          <c:showPercent val="0"/>
          <c:showBubbleSize val="0"/>
        </c:dLbls>
        <c:axId val="200184576"/>
        <c:axId val="200186496"/>
      </c:scatterChart>
      <c:valAx>
        <c:axId val="200184576"/>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defRPr/>
                </a:pPr>
                <a:r>
                  <a:rPr lang="en-US"/>
                  <a:t>Concentration (IU/L)</a:t>
                </a:r>
              </a:p>
            </c:rich>
          </c:tx>
          <c:overlay val="0"/>
          <c:spPr>
            <a:ln w="12700">
              <a:solidFill>
                <a:sysClr val="windowText" lastClr="000000"/>
              </a:solidFill>
            </a:ln>
          </c:spPr>
        </c:title>
        <c:numFmt formatCode="General" sourceLinked="1"/>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186496"/>
        <c:crosses val="autoZero"/>
        <c:crossBetween val="midCat"/>
      </c:valAx>
      <c:valAx>
        <c:axId val="200186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Absorbance</a:t>
                </a:r>
              </a:p>
            </c:rich>
          </c:tx>
          <c:overlay val="0"/>
          <c:spPr>
            <a:ln w="12700">
              <a:solidFill>
                <a:sysClr val="windowText" lastClr="000000"/>
              </a:solidFill>
            </a:ln>
          </c:spPr>
        </c:title>
        <c:numFmt formatCode="General" sourceLinked="1"/>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0184576"/>
        <c:crosses val="autoZero"/>
        <c:crossBetween val="midCat"/>
      </c:valAx>
      <c:spPr>
        <a:noFill/>
        <a:ln w="15875">
          <a:solidFill>
            <a:sysClr val="windowText" lastClr="000000"/>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dirty="0">
                <a:latin typeface="Times New Roman" panose="02020603050405020304" pitchFamily="18" charset="0"/>
                <a:cs typeface="Times New Roman" panose="02020603050405020304" pitchFamily="18" charset="0"/>
              </a:rPr>
              <a:t>standard curve</a:t>
            </a:r>
            <a:r>
              <a:rPr lang="en-US" sz="1200" b="1" baseline="0" dirty="0">
                <a:latin typeface="Times New Roman" panose="02020603050405020304" pitchFamily="18" charset="0"/>
                <a:cs typeface="Times New Roman" panose="02020603050405020304" pitchFamily="18" charset="0"/>
              </a:rPr>
              <a:t> of ALT</a:t>
            </a:r>
            <a:endParaRPr lang="en-US" sz="1200" b="1" dirty="0">
              <a:latin typeface="Times New Roman" panose="02020603050405020304" pitchFamily="18" charset="0"/>
              <a:cs typeface="Times New Roman" panose="02020603050405020304" pitchFamily="18" charset="0"/>
            </a:endParaRPr>
          </a:p>
        </c:rich>
      </c:tx>
      <c:overlay val="0"/>
      <c:spPr>
        <a:solidFill>
          <a:sysClr val="window" lastClr="FFFFFF"/>
        </a:solidFill>
        <a:ln w="12700">
          <a:solidFill>
            <a:sysClr val="windowText" lastClr="000000"/>
          </a:solidFill>
        </a:ln>
        <a:effectLst/>
      </c:spPr>
    </c:title>
    <c:autoTitleDeleted val="0"/>
    <c:plotArea>
      <c:layout/>
      <c:scatterChart>
        <c:scatterStyle val="lineMarker"/>
        <c:varyColors val="0"/>
        <c:ser>
          <c:idx val="0"/>
          <c:order val="0"/>
          <c:tx>
            <c:strRef>
              <c:f>Serum!$AM$64</c:f>
              <c:strCache>
                <c:ptCount val="1"/>
                <c:pt idx="0">
                  <c:v>Absorbance</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5.3388025100923206E-2"/>
                  <c:y val="0.13524215656411817"/>
                </c:manualLayout>
              </c:layout>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n-US" sz="700" b="1" baseline="0">
                        <a:latin typeface="Times New Roman" panose="02020603050405020304" pitchFamily="18" charset="0"/>
                        <a:cs typeface="Times New Roman" panose="02020603050405020304" pitchFamily="18" charset="0"/>
                      </a:rPr>
                      <a:t>y = 0.0053x + 0.0149</a:t>
                    </a:r>
                    <a:br>
                      <a:rPr lang="en-US" sz="700" b="1" baseline="0">
                        <a:latin typeface="Times New Roman" panose="02020603050405020304" pitchFamily="18" charset="0"/>
                        <a:cs typeface="Times New Roman" panose="02020603050405020304" pitchFamily="18" charset="0"/>
                      </a:rPr>
                    </a:br>
                    <a:r>
                      <a:rPr lang="en-US" sz="700" b="1" baseline="0">
                        <a:latin typeface="Times New Roman" panose="02020603050405020304" pitchFamily="18" charset="0"/>
                        <a:cs typeface="Times New Roman" panose="02020603050405020304" pitchFamily="18" charset="0"/>
                      </a:rPr>
                      <a:t>R² = 0.998</a:t>
                    </a:r>
                    <a:endParaRPr lang="en-US" sz="700" b="1">
                      <a:latin typeface="Times New Roman" panose="02020603050405020304" pitchFamily="18" charset="0"/>
                      <a:cs typeface="Times New Roman" panose="02020603050405020304" pitchFamily="18" charset="0"/>
                    </a:endParaRPr>
                  </a:p>
                </c:rich>
              </c:tx>
              <c:numFmt formatCode="General" sourceLinked="0"/>
              <c:spPr>
                <a:noFill/>
                <a:ln>
                  <a:solidFill>
                    <a:sysClr val="windowText" lastClr="000000"/>
                  </a:solidFill>
                </a:ln>
                <a:effectLst/>
              </c:spPr>
            </c:trendlineLbl>
          </c:trendline>
          <c:xVal>
            <c:numRef>
              <c:f>Serum!$AL$65:$AL$84</c:f>
              <c:numCache>
                <c:formatCode>General</c:formatCode>
                <c:ptCount val="20"/>
                <c:pt idx="0">
                  <c:v>4</c:v>
                </c:pt>
                <c:pt idx="1">
                  <c:v>8</c:v>
                </c:pt>
                <c:pt idx="2">
                  <c:v>12</c:v>
                </c:pt>
                <c:pt idx="3">
                  <c:v>17</c:v>
                </c:pt>
                <c:pt idx="4">
                  <c:v>21</c:v>
                </c:pt>
                <c:pt idx="5">
                  <c:v>25</c:v>
                </c:pt>
                <c:pt idx="6">
                  <c:v>29</c:v>
                </c:pt>
                <c:pt idx="7">
                  <c:v>34</c:v>
                </c:pt>
                <c:pt idx="8">
                  <c:v>39</c:v>
                </c:pt>
                <c:pt idx="9">
                  <c:v>43</c:v>
                </c:pt>
                <c:pt idx="10">
                  <c:v>48</c:v>
                </c:pt>
                <c:pt idx="11">
                  <c:v>52</c:v>
                </c:pt>
                <c:pt idx="12">
                  <c:v>57</c:v>
                </c:pt>
                <c:pt idx="13">
                  <c:v>62</c:v>
                </c:pt>
                <c:pt idx="14">
                  <c:v>67</c:v>
                </c:pt>
                <c:pt idx="15">
                  <c:v>72</c:v>
                </c:pt>
                <c:pt idx="16">
                  <c:v>77</c:v>
                </c:pt>
                <c:pt idx="17">
                  <c:v>83</c:v>
                </c:pt>
                <c:pt idx="18">
                  <c:v>88</c:v>
                </c:pt>
                <c:pt idx="19">
                  <c:v>94</c:v>
                </c:pt>
              </c:numCache>
            </c:numRef>
          </c:xVal>
          <c:yVal>
            <c:numRef>
              <c:f>Serum!$AM$65:$AM$84</c:f>
              <c:numCache>
                <c:formatCode>General</c:formatCode>
                <c:ptCount val="20"/>
                <c:pt idx="0">
                  <c:v>2.5000000000000001E-2</c:v>
                </c:pt>
                <c:pt idx="1">
                  <c:v>0.05</c:v>
                </c:pt>
                <c:pt idx="2">
                  <c:v>7.4999999999999997E-2</c:v>
                </c:pt>
                <c:pt idx="3">
                  <c:v>0.1</c:v>
                </c:pt>
                <c:pt idx="4">
                  <c:v>0.125</c:v>
                </c:pt>
                <c:pt idx="5">
                  <c:v>0.15</c:v>
                </c:pt>
                <c:pt idx="6">
                  <c:v>0.17499999999999999</c:v>
                </c:pt>
                <c:pt idx="7">
                  <c:v>0.2</c:v>
                </c:pt>
                <c:pt idx="8">
                  <c:v>0.22500000000000001</c:v>
                </c:pt>
                <c:pt idx="9">
                  <c:v>0.25</c:v>
                </c:pt>
                <c:pt idx="10">
                  <c:v>0.27500000000000002</c:v>
                </c:pt>
                <c:pt idx="11">
                  <c:v>0.3</c:v>
                </c:pt>
                <c:pt idx="12">
                  <c:v>0.32500000000000001</c:v>
                </c:pt>
                <c:pt idx="13">
                  <c:v>0.35</c:v>
                </c:pt>
                <c:pt idx="14">
                  <c:v>0.375</c:v>
                </c:pt>
                <c:pt idx="15">
                  <c:v>0.4</c:v>
                </c:pt>
                <c:pt idx="16">
                  <c:v>0.42499999999999999</c:v>
                </c:pt>
                <c:pt idx="17">
                  <c:v>0.45</c:v>
                </c:pt>
                <c:pt idx="18">
                  <c:v>0.47499999999999998</c:v>
                </c:pt>
                <c:pt idx="19">
                  <c:v>0.5</c:v>
                </c:pt>
              </c:numCache>
            </c:numRef>
          </c:yVal>
          <c:smooth val="0"/>
          <c:extLst>
            <c:ext xmlns:c16="http://schemas.microsoft.com/office/drawing/2014/chart" uri="{C3380CC4-5D6E-409C-BE32-E72D297353CC}">
              <c16:uniqueId val="{00000000-4638-472A-9F50-ECB6B9560F9F}"/>
            </c:ext>
          </c:extLst>
        </c:ser>
        <c:dLbls>
          <c:showLegendKey val="0"/>
          <c:showVal val="0"/>
          <c:showCatName val="0"/>
          <c:showSerName val="0"/>
          <c:showPercent val="0"/>
          <c:showBubbleSize val="0"/>
        </c:dLbls>
        <c:axId val="212814080"/>
        <c:axId val="212816256"/>
      </c:scatterChart>
      <c:valAx>
        <c:axId val="212814080"/>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defRPr/>
                </a:pPr>
                <a:r>
                  <a:rPr lang="en-US"/>
                  <a:t>Concentration(IU/L)</a:t>
                </a:r>
              </a:p>
            </c:rich>
          </c:tx>
          <c:overlay val="0"/>
          <c:spPr>
            <a:ln w="12700">
              <a:solidFill>
                <a:sysClr val="windowText" lastClr="000000"/>
              </a:solidFill>
            </a:ln>
          </c:sp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16256"/>
        <c:crosses val="autoZero"/>
        <c:crossBetween val="midCat"/>
      </c:valAx>
      <c:valAx>
        <c:axId val="212816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Absorbance</a:t>
                </a:r>
              </a:p>
            </c:rich>
          </c:tx>
          <c:overlay val="0"/>
          <c:spPr>
            <a:ln w="19050">
              <a:solidFill>
                <a:sysClr val="windowText" lastClr="000000"/>
              </a:solidFill>
            </a:ln>
          </c:spPr>
        </c:title>
        <c:numFmt formatCode="General" sourceLinked="1"/>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2814080"/>
        <c:crosses val="autoZero"/>
        <c:crossBetween val="midCat"/>
      </c:valAx>
      <c:spPr>
        <a:noFill/>
        <a:ln w="15875">
          <a:solidFill>
            <a:sysClr val="windowText" lastClr="000000"/>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9050"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80" b="0" i="0" u="none" strike="noStrike" kern="1200" spc="0" baseline="0">
                <a:ln>
                  <a:solidFill>
                    <a:schemeClr val="tx1"/>
                  </a:solidFill>
                </a:ln>
                <a:solidFill>
                  <a:schemeClr val="tx1">
                    <a:lumMod val="65000"/>
                    <a:lumOff val="35000"/>
                  </a:schemeClr>
                </a:solidFill>
                <a:latin typeface="+mn-lt"/>
                <a:ea typeface="+mn-ea"/>
                <a:cs typeface="+mn-cs"/>
              </a:defRPr>
            </a:pPr>
            <a:r>
              <a:rPr lang="en-US"/>
              <a:t>Standard curve of formaldehyde</a:t>
            </a:r>
          </a:p>
        </c:rich>
      </c:tx>
      <c:layout>
        <c:manualLayout>
          <c:xMode val="edge"/>
          <c:yMode val="edge"/>
          <c:x val="0.32153106612209476"/>
          <c:y val="4.5654713759324166E-2"/>
        </c:manualLayout>
      </c:layout>
      <c:overlay val="0"/>
      <c:spPr>
        <a:noFill/>
        <a:ln w="19050">
          <a:solidFill>
            <a:sysClr val="windowText" lastClr="000000"/>
          </a:solidFill>
        </a:ln>
        <a:effectLst/>
      </c:spPr>
      <c:txPr>
        <a:bodyPr rot="0" spcFirstLastPara="1" vertOverflow="ellipsis" vert="horz" wrap="square" anchor="ctr" anchorCtr="1"/>
        <a:lstStyle/>
        <a:p>
          <a:pPr>
            <a:defRPr sz="1080" b="0" i="0" u="none" strike="noStrike" kern="1200" spc="0" baseline="0">
              <a:ln>
                <a:solidFill>
                  <a:schemeClr val="tx1"/>
                </a:solidFill>
              </a:ln>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4.965674361495831E-2"/>
                  <c:y val="0.12121637426900585"/>
                </c:manualLayout>
              </c:layout>
              <c:numFmt formatCode="General" sourceLinked="0"/>
              <c:spPr>
                <a:noFill/>
                <a:ln>
                  <a:solidFill>
                    <a:sysClr val="windowText" lastClr="000000"/>
                  </a:solid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rendlineLbl>
          </c:trendline>
          <c:xVal>
            <c:numRef>
              <c:f>Sheet1!$F$4:$F$8</c:f>
              <c:numCache>
                <c:formatCode>General</c:formatCode>
                <c:ptCount val="5"/>
                <c:pt idx="0">
                  <c:v>100</c:v>
                </c:pt>
                <c:pt idx="1">
                  <c:v>200</c:v>
                </c:pt>
                <c:pt idx="2">
                  <c:v>300</c:v>
                </c:pt>
                <c:pt idx="3">
                  <c:v>400</c:v>
                </c:pt>
                <c:pt idx="4">
                  <c:v>500</c:v>
                </c:pt>
              </c:numCache>
            </c:numRef>
          </c:xVal>
          <c:yVal>
            <c:numRef>
              <c:f>Sheet1!$G$4:$G$8</c:f>
              <c:numCache>
                <c:formatCode>General</c:formatCode>
                <c:ptCount val="5"/>
                <c:pt idx="0">
                  <c:v>0.15</c:v>
                </c:pt>
                <c:pt idx="1">
                  <c:v>0.32</c:v>
                </c:pt>
                <c:pt idx="2">
                  <c:v>0.45</c:v>
                </c:pt>
                <c:pt idx="3">
                  <c:v>0.6</c:v>
                </c:pt>
                <c:pt idx="4">
                  <c:v>0.75</c:v>
                </c:pt>
              </c:numCache>
            </c:numRef>
          </c:yVal>
          <c:smooth val="0"/>
          <c:extLst>
            <c:ext xmlns:c16="http://schemas.microsoft.com/office/drawing/2014/chart" uri="{C3380CC4-5D6E-409C-BE32-E72D297353CC}">
              <c16:uniqueId val="{00000000-42FD-4022-B2CC-06A6C4CFBD6A}"/>
            </c:ext>
          </c:extLst>
        </c:ser>
        <c:dLbls>
          <c:showLegendKey val="0"/>
          <c:showVal val="0"/>
          <c:showCatName val="0"/>
          <c:showSerName val="0"/>
          <c:showPercent val="0"/>
          <c:showBubbleSize val="0"/>
        </c:dLbls>
        <c:axId val="903678608"/>
        <c:axId val="903679024"/>
      </c:scatterChart>
      <c:valAx>
        <c:axId val="9036786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r>
                  <a:rPr lang="en-US"/>
                  <a:t>nmol HCHO</a:t>
                </a:r>
              </a:p>
            </c:rich>
          </c:tx>
          <c:overlay val="0"/>
          <c:spPr>
            <a:noFill/>
            <a:ln w="19050">
              <a:solidFill>
                <a:sysClr val="windowText" lastClr="000000"/>
              </a:solid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903679024"/>
        <c:crosses val="autoZero"/>
        <c:crossBetween val="midCat"/>
      </c:valAx>
      <c:valAx>
        <c:axId val="903679024"/>
        <c:scaling>
          <c:orientation val="minMax"/>
        </c:scaling>
        <c:delete val="0"/>
        <c:axPos val="l"/>
        <c:majorGridlines>
          <c:spPr>
            <a:ln w="12700" cap="flat" cmpd="sng" algn="ctr">
              <a:solidFill>
                <a:sysClr val="windowText" lastClr="000000"/>
              </a:solidFill>
              <a:round/>
            </a:ln>
            <a:effectLst/>
          </c:spPr>
        </c:majorGridlines>
        <c:title>
          <c:tx>
            <c:rich>
              <a:bodyPr rot="-54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r>
                  <a:rPr lang="en-US"/>
                  <a:t>Absorbance</a:t>
                </a:r>
              </a:p>
            </c:rich>
          </c:tx>
          <c:overlay val="0"/>
          <c:spPr>
            <a:noFill/>
            <a:ln w="19050">
              <a:solidFill>
                <a:sysClr val="windowText" lastClr="000000"/>
              </a:solidFill>
            </a:ln>
            <a:effectLst/>
          </c:spPr>
          <c:txPr>
            <a:bodyPr rot="-54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903678608"/>
        <c:crosses val="autoZero"/>
        <c:crossBetween val="midCat"/>
      </c:valAx>
      <c:spPr>
        <a:noFill/>
        <a:ln w="15875">
          <a:solidFill>
            <a:sysClr val="windowText" lastClr="000000"/>
          </a:solidFill>
        </a:ln>
        <a:effectLst/>
      </c:spPr>
    </c:plotArea>
    <c:plotVisOnly val="1"/>
    <c:dispBlanksAs val="gap"/>
    <c:showDLblsOverMax val="0"/>
  </c:chart>
  <c:spPr>
    <a:noFill/>
    <a:ln w="15875" cap="flat" cmpd="sng" algn="ctr">
      <a:solidFill>
        <a:sysClr val="windowText" lastClr="000000"/>
      </a:solidFill>
      <a:round/>
    </a:ln>
    <a:effectLst/>
  </c:spPr>
  <c:txPr>
    <a:bodyPr/>
    <a:lstStyle/>
    <a:p>
      <a:pPr>
        <a:defRPr sz="900">
          <a:ln>
            <a:solidFill>
              <a:schemeClr val="tx1"/>
            </a:solidFill>
          </a:ln>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80" b="1" i="0" u="none" strike="noStrike" kern="1200" spc="0" baseline="0">
                <a:solidFill>
                  <a:schemeClr val="tx1">
                    <a:lumMod val="65000"/>
                    <a:lumOff val="35000"/>
                  </a:schemeClr>
                </a:solidFill>
                <a:latin typeface="+mn-lt"/>
                <a:ea typeface="+mn-ea"/>
                <a:cs typeface="+mn-cs"/>
              </a:defRPr>
            </a:pPr>
            <a:r>
              <a:rPr lang="en-US" b="1"/>
              <a:t>Calibration graph of p-aminophenol </a:t>
            </a:r>
          </a:p>
        </c:rich>
      </c:tx>
      <c:overlay val="0"/>
      <c:spPr>
        <a:noFill/>
        <a:ln w="19050">
          <a:solidFill>
            <a:sysClr val="windowText" lastClr="000000"/>
          </a:solidFill>
        </a:ln>
        <a:effectLst/>
      </c:spPr>
      <c:txPr>
        <a:bodyPr rot="0" spcFirstLastPara="1" vertOverflow="ellipsis" vert="horz" wrap="square" anchor="ctr" anchorCtr="1"/>
        <a:lstStyle/>
        <a:p>
          <a:pPr>
            <a:defRPr sz="108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632357269314884"/>
          <c:y val="0.18575299055360014"/>
          <c:w val="0.85264134967602889"/>
          <c:h val="0.48257798420358744"/>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0.12356472832200323"/>
                  <c:y val="8.7546296296296303E-2"/>
                </c:manualLayout>
              </c:layout>
              <c:numFmt formatCode="General" sourceLinked="0"/>
              <c:spPr>
                <a:noFill/>
                <a:ln>
                  <a:solidFill>
                    <a:sysClr val="windowText" lastClr="000000"/>
                  </a:solid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xVal>
            <c:numRef>
              <c:f>Sheet1!$E$24:$E$30</c:f>
              <c:numCache>
                <c:formatCode>General</c:formatCode>
                <c:ptCount val="7"/>
                <c:pt idx="0">
                  <c:v>50</c:v>
                </c:pt>
                <c:pt idx="1">
                  <c:v>75</c:v>
                </c:pt>
                <c:pt idx="2">
                  <c:v>100</c:v>
                </c:pt>
                <c:pt idx="3">
                  <c:v>125</c:v>
                </c:pt>
                <c:pt idx="4">
                  <c:v>150</c:v>
                </c:pt>
                <c:pt idx="5">
                  <c:v>175</c:v>
                </c:pt>
                <c:pt idx="6">
                  <c:v>200</c:v>
                </c:pt>
              </c:numCache>
            </c:numRef>
          </c:xVal>
          <c:yVal>
            <c:numRef>
              <c:f>Sheet1!$F$24:$F$30</c:f>
              <c:numCache>
                <c:formatCode>General</c:formatCode>
                <c:ptCount val="7"/>
                <c:pt idx="0">
                  <c:v>0.05</c:v>
                </c:pt>
                <c:pt idx="1">
                  <c:v>0.15</c:v>
                </c:pt>
                <c:pt idx="2">
                  <c:v>0.24</c:v>
                </c:pt>
                <c:pt idx="3">
                  <c:v>0.27</c:v>
                </c:pt>
                <c:pt idx="4">
                  <c:v>0.36</c:v>
                </c:pt>
                <c:pt idx="5">
                  <c:v>0.38</c:v>
                </c:pt>
                <c:pt idx="6">
                  <c:v>0.41</c:v>
                </c:pt>
              </c:numCache>
            </c:numRef>
          </c:yVal>
          <c:smooth val="0"/>
          <c:extLst>
            <c:ext xmlns:c16="http://schemas.microsoft.com/office/drawing/2014/chart" uri="{C3380CC4-5D6E-409C-BE32-E72D297353CC}">
              <c16:uniqueId val="{00000000-CB1E-4D6E-9135-693073B57BEE}"/>
            </c:ext>
          </c:extLst>
        </c:ser>
        <c:dLbls>
          <c:showLegendKey val="0"/>
          <c:showVal val="0"/>
          <c:showCatName val="0"/>
          <c:showSerName val="0"/>
          <c:showPercent val="0"/>
          <c:showBubbleSize val="0"/>
        </c:dLbls>
        <c:axId val="290461871"/>
        <c:axId val="290456047"/>
      </c:scatterChart>
      <c:valAx>
        <c:axId val="29046187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b="1"/>
                  <a:t>concentration µg/mL</a:t>
                </a:r>
              </a:p>
            </c:rich>
          </c:tx>
          <c:layout>
            <c:manualLayout>
              <c:xMode val="edge"/>
              <c:yMode val="edge"/>
              <c:x val="0.40154945303746592"/>
              <c:y val="0.83264930977204632"/>
            </c:manualLayout>
          </c:layout>
          <c:overlay val="0"/>
          <c:spPr>
            <a:noFill/>
            <a:ln w="19050">
              <a:solidFill>
                <a:sysClr val="windowText" lastClr="000000"/>
              </a:solid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456047"/>
        <c:crosses val="autoZero"/>
        <c:crossBetween val="midCat"/>
      </c:valAx>
      <c:valAx>
        <c:axId val="290456047"/>
        <c:scaling>
          <c:orientation val="minMax"/>
        </c:scaling>
        <c:delete val="0"/>
        <c:axPos val="l"/>
        <c:majorGridlines>
          <c:spPr>
            <a:ln w="9525" cap="flat" cmpd="sng" algn="ctr">
              <a:solidFill>
                <a:sysClr val="windowText" lastClr="000000"/>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w="19050">
              <a:solidFill>
                <a:sysClr val="windowText" lastClr="000000"/>
              </a:solid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461871"/>
        <c:crosses val="autoZero"/>
        <c:crossBetween val="midCat"/>
      </c:valAx>
      <c:spPr>
        <a:noFill/>
        <a:ln w="19050">
          <a:solidFill>
            <a:sysClr val="windowText" lastClr="000000"/>
          </a:solidFill>
        </a:ln>
        <a:effectLst/>
      </c:spPr>
    </c:plotArea>
    <c:plotVisOnly val="1"/>
    <c:dispBlanksAs val="gap"/>
    <c:showDLblsOverMax val="0"/>
  </c:chart>
  <c:spPr>
    <a:noFill/>
    <a:ln w="19050" cap="flat" cmpd="sng" algn="ctr">
      <a:solidFill>
        <a:sysClr val="windowText" lastClr="000000"/>
      </a:solidFill>
      <a:round/>
    </a:ln>
    <a:effectLst/>
  </c:spPr>
  <c:txPr>
    <a:bodyPr/>
    <a:lstStyle/>
    <a:p>
      <a:pPr>
        <a:defRPr sz="900"/>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499</TotalTime>
  <Pages>6</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AAST</dc:creator>
  <cp:keywords/>
  <dc:description/>
  <cp:lastModifiedBy>AAST</cp:lastModifiedBy>
  <cp:revision>156</cp:revision>
  <cp:lastPrinted>2026-01-24T09:22:00Z</cp:lastPrinted>
  <dcterms:created xsi:type="dcterms:W3CDTF">2025-03-26T11:02:00Z</dcterms:created>
  <dcterms:modified xsi:type="dcterms:W3CDTF">2026-03-12T08:45:00Z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a97a758d-77ec-4e67-85bf-9f8520a5a767</vt:lpwstr>
  </property>
</Properties>
</file>