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FE" w:rsidRDefault="009120FE" w:rsidP="009120FE">
      <w:pPr>
        <w:spacing w:before="120" w:after="120" w:line="480" w:lineRule="auto"/>
        <w:jc w:val="both"/>
        <w:rPr>
          <w:rFonts w:asciiTheme="majorBidi" w:hAnsiTheme="majorBidi" w:cstheme="majorBidi" w:hint="cs"/>
          <w:sz w:val="24"/>
          <w:szCs w:val="24"/>
          <w:rtl/>
        </w:rPr>
      </w:pPr>
      <w:r w:rsidRPr="009120FE">
        <w:rPr>
          <w:rFonts w:asciiTheme="majorBidi" w:hAnsiTheme="majorBidi" w:cstheme="majorBidi"/>
          <w:sz w:val="24"/>
          <w:szCs w:val="24"/>
        </w:rPr>
        <w:t>S</w:t>
      </w:r>
      <w:r w:rsidRPr="009120FE">
        <w:rPr>
          <w:rFonts w:asciiTheme="majorBidi" w:hAnsiTheme="majorBidi" w:cstheme="majorBidi"/>
          <w:sz w:val="24"/>
          <w:szCs w:val="24"/>
        </w:rPr>
        <w:t>upplementary</w:t>
      </w:r>
      <w:r>
        <w:rPr>
          <w:rFonts w:asciiTheme="majorBidi" w:hAnsiTheme="majorBidi" w:cstheme="majorBidi" w:hint="cs"/>
          <w:sz w:val="24"/>
          <w:szCs w:val="24"/>
          <w:rtl/>
        </w:rPr>
        <w:t>:</w:t>
      </w:r>
      <w:bookmarkStart w:id="0" w:name="_GoBack"/>
      <w:bookmarkEnd w:id="0"/>
    </w:p>
    <w:p w:rsidR="009120FE" w:rsidRPr="004E1529" w:rsidRDefault="009120FE" w:rsidP="009120FE">
      <w:pPr>
        <w:spacing w:before="120" w:after="12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529">
        <w:rPr>
          <w:rFonts w:asciiTheme="majorBidi" w:hAnsiTheme="majorBidi" w:cstheme="majorBidi"/>
          <w:sz w:val="24"/>
          <w:szCs w:val="24"/>
        </w:rPr>
        <w:t xml:space="preserve">Body Mass Index, waist circumference, diabetes mellitus and hypertension in both genders were significantly correlated with all levels of TG in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with an increasing trend. High physical activity significantly decreased the high levels of TG. In other words, the higher the TG, the more effective was intensive physical activity.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E1529">
        <w:rPr>
          <w:rFonts w:asciiTheme="majorBidi" w:hAnsiTheme="majorBidi" w:cstheme="majorBidi"/>
          <w:sz w:val="24"/>
          <w:szCs w:val="24"/>
        </w:rPr>
        <w:t xml:space="preserve">Having higher education level showed a positive relationship with TG in many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 w:hint="cs"/>
          <w:sz w:val="24"/>
          <w:szCs w:val="24"/>
          <w:rtl/>
        </w:rPr>
        <w:t>.</w:t>
      </w:r>
      <w:r w:rsidRPr="004E1529">
        <w:rPr>
          <w:rFonts w:asciiTheme="majorBidi" w:hAnsiTheme="majorBidi" w:cstheme="majorBidi"/>
          <w:sz w:val="24"/>
          <w:szCs w:val="24"/>
        </w:rPr>
        <w:t xml:space="preserve"> Daily smoking significantly affects the level of TG in most percentiles. Married men had a higher level of TG in many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>, compared to singles. In females, the effect of age on TG was positive so that higher levels of TG were elevated as people getting older (Table S1 and S2).</w:t>
      </w:r>
    </w:p>
    <w:p w:rsidR="009120FE" w:rsidRPr="004E1529" w:rsidRDefault="009120FE" w:rsidP="009120FE">
      <w:pPr>
        <w:spacing w:before="120" w:after="12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529">
        <w:rPr>
          <w:rFonts w:asciiTheme="majorBidi" w:hAnsiTheme="majorBidi" w:cstheme="majorBidi"/>
          <w:sz w:val="24"/>
          <w:szCs w:val="24"/>
        </w:rPr>
        <w:t xml:space="preserve">Age and BMI in both genders were positively correlated with all levels of LDL-C at all studied centiles and diabetes in low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had negative association with LDL-C levels.</w:t>
      </w:r>
      <w:r w:rsidRPr="004E152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4E1529">
        <w:rPr>
          <w:rFonts w:asciiTheme="majorBidi" w:hAnsiTheme="majorBidi" w:cstheme="majorBidi"/>
          <w:sz w:val="24"/>
          <w:szCs w:val="24"/>
        </w:rPr>
        <w:t>Married individuals had higher LDL-C levels than single individuals</w:t>
      </w:r>
      <w:r w:rsidRPr="004E1529">
        <w:rPr>
          <w:rFonts w:asciiTheme="majorBidi" w:hAnsiTheme="majorBidi" w:cstheme="majorBidi" w:hint="cs"/>
          <w:sz w:val="24"/>
          <w:szCs w:val="24"/>
          <w:rtl/>
        </w:rPr>
        <w:t>.</w:t>
      </w:r>
      <w:r w:rsidRPr="004E1529">
        <w:rPr>
          <w:rFonts w:asciiTheme="majorBidi" w:hAnsiTheme="majorBidi" w:cstheme="majorBidi"/>
          <w:sz w:val="24"/>
          <w:szCs w:val="24"/>
        </w:rPr>
        <w:t xml:space="preserve"> In men, waist circumference at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of </w:t>
      </w:r>
      <w:r w:rsidRPr="004E1529">
        <w:rPr>
          <w:rFonts w:asciiTheme="majorBidi" w:hAnsiTheme="majorBidi" w:cstheme="majorBidi"/>
          <w:sz w:val="24"/>
          <w:szCs w:val="24"/>
          <w:lang w:bidi="fa-IR"/>
        </w:rPr>
        <w:t>P25- P90</w:t>
      </w:r>
      <w:r w:rsidRPr="004E1529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4E1529">
        <w:rPr>
          <w:rFonts w:asciiTheme="majorBidi" w:hAnsiTheme="majorBidi" w:cstheme="majorBidi"/>
          <w:sz w:val="24"/>
          <w:szCs w:val="24"/>
          <w:lang w:bidi="fa-IR"/>
        </w:rPr>
        <w:t>and</w:t>
      </w:r>
      <w:r w:rsidRPr="004E1529">
        <w:rPr>
          <w:rFonts w:asciiTheme="majorBidi" w:hAnsiTheme="majorBidi" w:cstheme="majorBidi"/>
          <w:sz w:val="24"/>
          <w:szCs w:val="24"/>
        </w:rPr>
        <w:t xml:space="preserve"> hypertension at the high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had positive association with LDL-C levels. LDL-C of men with high level of physical </w:t>
      </w:r>
      <w:proofErr w:type="gramStart"/>
      <w:r w:rsidRPr="004E1529">
        <w:rPr>
          <w:rFonts w:asciiTheme="majorBidi" w:hAnsiTheme="majorBidi" w:cstheme="majorBidi"/>
          <w:sz w:val="24"/>
          <w:szCs w:val="24"/>
        </w:rPr>
        <w:t>activity,</w:t>
      </w:r>
      <w:proofErr w:type="gramEnd"/>
      <w:r w:rsidRPr="004E1529">
        <w:rPr>
          <w:rFonts w:asciiTheme="majorBidi" w:hAnsiTheme="majorBidi" w:cstheme="majorBidi"/>
          <w:sz w:val="24"/>
          <w:szCs w:val="24"/>
        </w:rPr>
        <w:t xml:space="preserve"> was reduced.  High blood pressure was negatively correlated in the low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of LDL-C and positively related at upper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>, in females. Daily smoking increased females’ LDL-C levels in percentiles 10 and 25. Similar results can be seen in higher educated women (Table S3 and S4).</w:t>
      </w:r>
    </w:p>
    <w:p w:rsidR="009120FE" w:rsidRPr="004E1529" w:rsidRDefault="009120FE" w:rsidP="009120FE">
      <w:pPr>
        <w:spacing w:before="120" w:after="12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529">
        <w:rPr>
          <w:rFonts w:asciiTheme="majorBidi" w:hAnsiTheme="majorBidi" w:cstheme="majorBidi"/>
          <w:sz w:val="24"/>
          <w:szCs w:val="24"/>
        </w:rPr>
        <w:t xml:space="preserve">In male and female participants, age had a positive and significant relationship with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of HDL-C levels and showed an increasing trend. On the other hand, body mass index and waist circumference showed significant negative relation with HDL-C levels in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. Diabetes had a negative association with HDL-C levels. In individuals with high level of physical activity, HDL-C has increased compared to those with less physical activity. In men, daily </w:t>
      </w:r>
      <w:proofErr w:type="gramStart"/>
      <w:r w:rsidRPr="004E1529">
        <w:rPr>
          <w:rFonts w:asciiTheme="majorBidi" w:hAnsiTheme="majorBidi" w:cstheme="majorBidi"/>
          <w:sz w:val="24"/>
          <w:szCs w:val="24"/>
        </w:rPr>
        <w:t>smoking were</w:t>
      </w:r>
      <w:proofErr w:type="gramEnd"/>
      <w:r w:rsidRPr="004E1529">
        <w:rPr>
          <w:rFonts w:asciiTheme="majorBidi" w:hAnsiTheme="majorBidi" w:cstheme="majorBidi"/>
          <w:sz w:val="24"/>
          <w:szCs w:val="24"/>
        </w:rPr>
        <w:t xml:space="preserve"> significantly and negatively correlated with HDL-C levels in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. Females with high </w:t>
      </w:r>
      <w:r w:rsidRPr="004E1529">
        <w:rPr>
          <w:rFonts w:asciiTheme="majorBidi" w:hAnsiTheme="majorBidi" w:cstheme="majorBidi"/>
          <w:sz w:val="24"/>
          <w:szCs w:val="24"/>
        </w:rPr>
        <w:lastRenderedPageBreak/>
        <w:t>level of education had higher HDL-C than illiterates but the level of HDL-C was reduced in married women (Table S5 and S6).</w:t>
      </w:r>
    </w:p>
    <w:p w:rsidR="009120FE" w:rsidRPr="006C5F44" w:rsidRDefault="009120FE" w:rsidP="009120FE">
      <w:pPr>
        <w:spacing w:before="120" w:after="12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4E1529">
        <w:rPr>
          <w:rFonts w:asciiTheme="majorBidi" w:hAnsiTheme="majorBidi" w:cstheme="majorBidi"/>
          <w:sz w:val="24"/>
          <w:szCs w:val="24"/>
        </w:rPr>
        <w:t xml:space="preserve">According to Table S7 and S8, BMI, waist circumference in both genders were significantly correlated with LDL-C/HDL-C ratio in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. In addition, daily smoking was positively correlated with men’s TC/HDL-C ratio at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. Diabetes is meaningful in first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(</w:t>
      </w:r>
      <w:r w:rsidRPr="004E1529">
        <w:rPr>
          <w:rFonts w:asciiTheme="majorBidi" w:hAnsiTheme="majorBidi" w:cstheme="majorBidi"/>
          <w:sz w:val="24"/>
          <w:szCs w:val="24"/>
          <w:lang w:bidi="fa-IR"/>
        </w:rPr>
        <w:t>P10</w:t>
      </w:r>
      <w:r w:rsidRPr="004E1529">
        <w:rPr>
          <w:rFonts w:asciiTheme="majorBidi" w:hAnsiTheme="majorBidi" w:cstheme="majorBidi"/>
          <w:sz w:val="24"/>
          <w:szCs w:val="24"/>
        </w:rPr>
        <w:t xml:space="preserve">) and last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(</w:t>
      </w:r>
      <w:r w:rsidRPr="004E1529">
        <w:rPr>
          <w:rFonts w:asciiTheme="majorBidi" w:hAnsiTheme="majorBidi" w:cstheme="majorBidi"/>
          <w:sz w:val="24"/>
          <w:szCs w:val="24"/>
          <w:lang w:bidi="fa-IR"/>
        </w:rPr>
        <w:t>P90</w:t>
      </w:r>
      <w:r w:rsidRPr="004E1529">
        <w:rPr>
          <w:rFonts w:asciiTheme="majorBidi" w:hAnsiTheme="majorBidi" w:cstheme="majorBidi"/>
          <w:sz w:val="24"/>
          <w:szCs w:val="24"/>
        </w:rPr>
        <w:t xml:space="preserve">); first it had a negative correlation with TC/HDL-C ratio but in last quintile it showed a positive correlation and increased TC/HDL-C ratio. High physical activity in men decreased TC/HDL-C ratio in all </w:t>
      </w:r>
      <w:proofErr w:type="spellStart"/>
      <w:r w:rsidRPr="004E1529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4E1529">
        <w:rPr>
          <w:rFonts w:asciiTheme="majorBidi" w:hAnsiTheme="majorBidi" w:cstheme="majorBidi"/>
          <w:sz w:val="24"/>
          <w:szCs w:val="24"/>
        </w:rPr>
        <w:t xml:space="preserve"> compared to low physical activity levels. TC/HDL-C ratio was increased in married men and those with higher education. However, in </w:t>
      </w:r>
      <w:r>
        <w:rPr>
          <w:rFonts w:asciiTheme="majorBidi" w:hAnsiTheme="majorBidi" w:cstheme="majorBidi"/>
          <w:sz w:val="24"/>
          <w:szCs w:val="24"/>
        </w:rPr>
        <w:t xml:space="preserve">females, </w:t>
      </w:r>
      <w:r w:rsidRPr="004E1529">
        <w:rPr>
          <w:rFonts w:asciiTheme="majorBidi" w:hAnsiTheme="majorBidi" w:cstheme="majorBidi"/>
          <w:sz w:val="24"/>
          <w:szCs w:val="24"/>
        </w:rPr>
        <w:t>a positive association was observed for a</w:t>
      </w:r>
      <w:r w:rsidRPr="006C5F44">
        <w:rPr>
          <w:rFonts w:asciiTheme="majorBidi" w:hAnsiTheme="majorBidi" w:cstheme="majorBidi"/>
          <w:sz w:val="24"/>
          <w:szCs w:val="24"/>
        </w:rPr>
        <w:t xml:space="preserve">ge at all </w:t>
      </w:r>
      <w:proofErr w:type="spellStart"/>
      <w:r w:rsidRPr="006C5F44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6C5F44">
        <w:rPr>
          <w:rFonts w:asciiTheme="majorBidi" w:hAnsiTheme="majorBidi" w:cstheme="majorBidi"/>
          <w:sz w:val="24"/>
          <w:szCs w:val="24"/>
        </w:rPr>
        <w:t xml:space="preserve"> and diabetes and hypertension in upper </w:t>
      </w:r>
      <w:proofErr w:type="spellStart"/>
      <w:r w:rsidRPr="006C5F44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6C5F44">
        <w:rPr>
          <w:rFonts w:asciiTheme="majorBidi" w:hAnsiTheme="majorBidi" w:cstheme="majorBidi"/>
          <w:sz w:val="24"/>
          <w:szCs w:val="24"/>
        </w:rPr>
        <w:t>.</w:t>
      </w:r>
    </w:p>
    <w:p w:rsidR="009120FE" w:rsidRPr="006C5F44" w:rsidRDefault="009120FE" w:rsidP="009120FE">
      <w:pPr>
        <w:spacing w:before="120" w:after="12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6C5F44">
        <w:rPr>
          <w:rFonts w:asciiTheme="majorBidi" w:hAnsiTheme="majorBidi" w:cstheme="majorBidi"/>
          <w:sz w:val="24"/>
          <w:szCs w:val="24"/>
        </w:rPr>
        <w:t xml:space="preserve">BMI, waist circumference in both genders were significantly correlated with LDL-C/HDL-C ratio in all </w:t>
      </w:r>
      <w:proofErr w:type="spellStart"/>
      <w:r w:rsidRPr="006C5F44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6C5F44">
        <w:rPr>
          <w:rFonts w:asciiTheme="majorBidi" w:hAnsiTheme="majorBidi" w:cstheme="majorBidi"/>
          <w:sz w:val="24"/>
          <w:szCs w:val="24"/>
        </w:rPr>
        <w:t xml:space="preserve">. But diabetes was negatively correlated in lower </w:t>
      </w:r>
      <w:proofErr w:type="spellStart"/>
      <w:r w:rsidRPr="006C5F44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6C5F44">
        <w:rPr>
          <w:rFonts w:asciiTheme="majorBidi" w:hAnsiTheme="majorBidi" w:cstheme="majorBidi"/>
          <w:sz w:val="24"/>
          <w:szCs w:val="24"/>
        </w:rPr>
        <w:t xml:space="preserve"> and positively at upper ones. Smoking in men had a positive correlation with LDL-C/HDL-C ratio so that regression coefficients tend to increase at high </w:t>
      </w:r>
      <w:proofErr w:type="spellStart"/>
      <w:r w:rsidRPr="006C5F44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6C5F44">
        <w:rPr>
          <w:rFonts w:asciiTheme="majorBidi" w:hAnsiTheme="majorBidi" w:cstheme="majorBidi"/>
          <w:sz w:val="24"/>
          <w:szCs w:val="24"/>
        </w:rPr>
        <w:t xml:space="preserve">. High physical activity decreased LDL-C/HDL-C ratio at all </w:t>
      </w:r>
      <w:proofErr w:type="spellStart"/>
      <w:r w:rsidRPr="006C5F44">
        <w:rPr>
          <w:rFonts w:asciiTheme="majorBidi" w:hAnsiTheme="majorBidi" w:cstheme="majorBidi"/>
          <w:sz w:val="24"/>
          <w:szCs w:val="24"/>
        </w:rPr>
        <w:t>quantiles</w:t>
      </w:r>
      <w:proofErr w:type="spellEnd"/>
      <w:r w:rsidRPr="006C5F44">
        <w:rPr>
          <w:rFonts w:asciiTheme="majorBidi" w:hAnsiTheme="majorBidi" w:cstheme="majorBidi"/>
          <w:sz w:val="24"/>
          <w:szCs w:val="24"/>
        </w:rPr>
        <w:t>. This ratio was increased in married and also university educated men (Table S9 and S10).</w:t>
      </w:r>
    </w:p>
    <w:p w:rsidR="00B71052" w:rsidRDefault="009120FE">
      <w:pPr>
        <w:rPr>
          <w:rFonts w:hint="cs"/>
          <w:rtl/>
        </w:rPr>
      </w:pPr>
    </w:p>
    <w:p w:rsidR="009120FE" w:rsidRDefault="009120FE">
      <w:pPr>
        <w:rPr>
          <w:rFonts w:hint="cs"/>
          <w:rtl/>
        </w:rPr>
      </w:pPr>
    </w:p>
    <w:p w:rsidR="009120FE" w:rsidRDefault="009120FE">
      <w:pPr>
        <w:rPr>
          <w:rFonts w:hint="cs"/>
          <w:rtl/>
        </w:rPr>
      </w:pPr>
    </w:p>
    <w:p w:rsidR="009120FE" w:rsidRDefault="009120FE">
      <w:pPr>
        <w:rPr>
          <w:rFonts w:hint="cs"/>
          <w:rtl/>
        </w:rPr>
      </w:pPr>
    </w:p>
    <w:p w:rsidR="009120FE" w:rsidRDefault="009120FE">
      <w:pPr>
        <w:rPr>
          <w:rFonts w:hint="cs"/>
          <w:rtl/>
        </w:rPr>
      </w:pPr>
    </w:p>
    <w:p w:rsidR="009120FE" w:rsidRDefault="009120FE">
      <w:pPr>
        <w:rPr>
          <w:rFonts w:hint="cs"/>
          <w:rtl/>
        </w:rPr>
      </w:pPr>
    </w:p>
    <w:p w:rsidR="009120FE" w:rsidRDefault="009120FE">
      <w:pPr>
        <w:rPr>
          <w:rFonts w:hint="cs"/>
          <w:rtl/>
        </w:r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lastRenderedPageBreak/>
        <w:t>Table S1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 xml:space="preserve">coefficients for 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TG in 2016 National STEPs study.  </w:t>
      </w:r>
    </w:p>
    <w:tbl>
      <w:tblPr>
        <w:tblStyle w:val="LightShading1"/>
        <w:bidiVisual/>
        <w:tblW w:w="10226" w:type="dxa"/>
        <w:jc w:val="center"/>
        <w:tblLook w:val="04A0" w:firstRow="1" w:lastRow="0" w:firstColumn="1" w:lastColumn="0" w:noHBand="0" w:noVBand="1"/>
      </w:tblPr>
      <w:tblGrid>
        <w:gridCol w:w="1936"/>
        <w:gridCol w:w="1324"/>
        <w:gridCol w:w="1324"/>
        <w:gridCol w:w="1286"/>
        <w:gridCol w:w="1391"/>
        <w:gridCol w:w="1232"/>
        <w:gridCol w:w="1733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-0.33 ± 0.11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(0.003)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-0.53 ± 0.28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-0.41 ± 0.13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0.05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(0.57)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(0.56)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0.08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4.37 ± 0.37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8.15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0.90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6.46 ± 0.52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3.96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0.50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2.49 ± 0.39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1.47 ± 0.23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0.63 ± 0.12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0.86 ± 0.27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0.56 ± 0.16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0.46 ± 0.13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0.42 ± 0.11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0.34 ± 0.07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23.68 ± 3.47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35.14 ± 12.55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(0.006)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27.29 ± 4.83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19.42 ± 3.96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9.40 ± 2.21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5.40 ± 3.40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9.22 ± 2.47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18.24 ± 6.90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(0.009)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11.57 ± 3.95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7.46 ± 2.55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3.53 ± 1.30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(0.008)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2.54 ± 1.09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9.17 ± 2.54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9.23 ± 6.46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(0.15)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12.53 ± 2.92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6.87 ± 1.74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6.29 ± 1.22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5.18 ± 1.40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spacing w:line="1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-9.14 ± 2.74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(0.17)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-12.79 ± 6.73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-8.06 ± 4.69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-4.31 ± 3.13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-2.53 ± 1.65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-1.43 ± 1.65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(0.38)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-10.57 ± 2.27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-12.23 ± 6.40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-11.32 ± 3.22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-6.70 ± 1.60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-6.11 ± 1.44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-2.00 ± 1.14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Education Level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8.53 ± 4.69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(0.06)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12.15 ± 8.31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(0.14)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8.62 ± 4.01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7.38 ± 2.72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(0.007)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5.18 ± 2.74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4.93 ± 2.21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18.62 ± 4.62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27.76 ± 9.79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(0.005)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15.63 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4.23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14.11 ± 2.72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8.70 ± 2.55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8.26 ± 2.30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22.01 ± 4.95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25.54 ± 9.51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(0.008)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19.89 ± 5.70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16.62 ± 3.36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12.72 ± 2.79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11.06 ± 2.45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&gt;12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Marital Status 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12.21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3.43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18.64 ± 8.94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9.84 ± 4.67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8.94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2.77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3.26 ± 2.25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(0.15)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0.89 ± 1.68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(0.59)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9120FE" w:rsidRPr="00D81F72" w:rsidTr="0027186E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8.35 ± 10.30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(0.41)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22.29 ± 22.55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(0.32)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16.88 ± 16.91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(0.32)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0.14 ± 11.73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(0.99)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3.97 ± 5.58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3.60 ± 7.04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(0.61)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Divorced/  Widowed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272.20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100.82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15.18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D81F72">
              <w:rPr>
                <w:rFonts w:ascii="Times New Roman" w:hAnsi="Times New Roman" w:cs="Times New Roman"/>
              </w:rPr>
              <w:t>ICC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lang w:bidi="fa-IR"/>
              </w:rPr>
              <w:t>Province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2469.09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159.6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21.65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3.92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0.06</w:t>
            </w:r>
          </w:p>
        </w:tc>
        <w:tc>
          <w:tcPr>
            <w:tcW w:w="1324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286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91" w:type="dxa"/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32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</w:rPr>
            </w:pPr>
            <w:r w:rsidRPr="00D81F72">
              <w:rPr>
                <w:rFonts w:ascii="Times New Roman" w:hAnsi="Times New Roman" w:cs="Times New Roman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33819.21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12588.84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5959.84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5803.39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7334.20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trHeight w:val="1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6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89759.5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95925.8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90448.6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86445.5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84523.4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84235.9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spacing w:line="22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TG.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Pr="00D81F72" w:rsidRDefault="009120FE" w:rsidP="009120FE">
      <w:pPr>
        <w:rPr>
          <w:rFonts w:ascii="Times New Roman" w:eastAsia="Calibri" w:hAnsi="Times New Roman" w:cs="Times New Roman"/>
          <w:sz w:val="18"/>
          <w:szCs w:val="18"/>
        </w:rPr>
        <w:sectPr w:rsidR="009120FE" w:rsidRPr="00D81F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D81F72" w:rsidRDefault="009120FE" w:rsidP="009120FE">
      <w:pPr>
        <w:spacing w:after="0"/>
        <w:rPr>
          <w:rFonts w:ascii="Times New Roman" w:eastAsia="Calibri" w:hAnsi="Times New Roman" w:cs="Times New Roman"/>
          <w:sz w:val="24"/>
          <w:szCs w:val="24"/>
          <w:rtl/>
          <w:lang w:bidi="fa-IR"/>
        </w:r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t>Table S2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>coefficients for fe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TG in 2016 National STEPs study.  </w:t>
      </w:r>
    </w:p>
    <w:tbl>
      <w:tblPr>
        <w:tblStyle w:val="LightShading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309"/>
        <w:gridCol w:w="1421"/>
        <w:gridCol w:w="1252"/>
        <w:gridCol w:w="1761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0.65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± 0.08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1.00 ± 0.24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0.79 ± 0.11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0.55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0.41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1.37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± 022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2.82 ± 0.71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2.27 ± 0.45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1.48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0.20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0.12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0.71 ± 0.12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0.76 ± 0.08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1.06 ± 0.26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0.82 ± 0.20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0.55 ± 0.10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0.42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0.30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27.97 ± 2.31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57.41 ± 7.79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35.21 ± 4.59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20.43 ± 3.10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10.11 ± 1.90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6.53 ± 1.82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7.48 ± 1.80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10.70 ±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3.43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9.45 ± 2.50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6.39 ± 1.30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4.15 ± 1.42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3.15 ± 1.21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-1.25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1.89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(0.50)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-3.69 ± 4.29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(0.39)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-1.39 ± 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>2.73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(0.60)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1.70 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1.68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2.10 ± 1.04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2.20 ± 0.99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-4.55 ± 2.06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-6.07 ± 5.67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(0.28)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-7.08 ± 2.30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-4.90 ± 1.68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-2.10 ± 1.25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(0.09)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-0.35 ± 1.04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(0.73)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Education Level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2.26 ± 2.52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(0.36)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8.37 ± 4.76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6.00 ± 3.42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2.26 ± 1.54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(0.14)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2.23 ± 1.64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2.08 ± 1.31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8.03 ± 2.59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12.09 ± 6.93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(0.08)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9.32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3.58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5.99 ± 2.00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4.28 ± 1.93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2.47 ± 1.54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5.64 ± 2.90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9.48 ± 6.17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6.69 ± 3.76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2.36 ± 1.58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(0.13)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2.68 ± 2.20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2.84 ± 1.58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&gt;12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765.9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133.29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39.61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25.98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13.59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289.8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38.67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10.81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13.25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4.32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23073.61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8712.35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4039.87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3875.06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4893.00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104733.5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112469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105984.7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100960.8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98540.9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98180.7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TG.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Default="009120FE" w:rsidP="009120FE">
      <w:pPr>
        <w:rPr>
          <w:rFonts w:ascii="Times New Roman" w:eastAsia="Calibri" w:hAnsi="Times New Roman" w:cs="Times New Roman"/>
          <w:sz w:val="36"/>
          <w:szCs w:val="36"/>
        </w:rPr>
      </w:pPr>
    </w:p>
    <w:p w:rsidR="009120FE" w:rsidRPr="00D81F72" w:rsidRDefault="009120FE" w:rsidP="009120FE">
      <w:pPr>
        <w:rPr>
          <w:rFonts w:ascii="Times New Roman" w:eastAsia="Calibri" w:hAnsi="Times New Roman" w:cs="Times New Roman"/>
          <w:sz w:val="36"/>
          <w:szCs w:val="36"/>
        </w:rPr>
        <w:sectPr w:rsidR="009120FE" w:rsidRPr="00D81F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D81F72" w:rsidRDefault="009120FE" w:rsidP="009120FE">
      <w:pPr>
        <w:rPr>
          <w:rFonts w:ascii="Times New Roman" w:eastAsia="Calibri" w:hAnsi="Times New Roman" w:cs="Times New Roman"/>
          <w:sz w:val="36"/>
          <w:szCs w:val="36"/>
        </w:r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t>Table S3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 xml:space="preserve">coefficients for 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LDL-C in 2016 National STEPs study.  </w:t>
      </w:r>
    </w:p>
    <w:tbl>
      <w:tblPr>
        <w:tblStyle w:val="LightShading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309"/>
        <w:gridCol w:w="1421"/>
        <w:gridCol w:w="1312"/>
        <w:gridCol w:w="1701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0.24 ± 0.03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0.39 ± 0.07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0.39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0.30 ± 0.03</w:t>
            </w:r>
          </w:p>
          <w:p w:rsidR="009120FE" w:rsidRPr="00D81F72" w:rsidRDefault="009120FE" w:rsidP="0027186E">
            <w:pPr>
              <w:tabs>
                <w:tab w:val="left" w:pos="330"/>
                <w:tab w:val="center" w:pos="8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0.20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0.12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0.78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0.11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1.34 ± 0.27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0.87 ± 0.21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0.17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0.13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0.82 ± 0.17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0.19 ± 0.04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0.09 ± 0.11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0.24 ± 0.08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(0.005)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0.20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0.24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0.11 ± 0.07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(0.15)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-4.83 ± 1.09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2.67 ± 2.52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(0.27)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-1.76 ± 1.73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(0.31)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-4.01 ± 1.72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-9.80 ± 1.74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-12.15 ± 1.99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0.90 ± 0.77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(0.24)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2.30 ± 1.19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1.19 ± 0.89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(0.18)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0.46 ± 0.99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(0.64)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-0.97 ± 0.91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(0.29)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-2.02 ± 1.31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</w:tr>
      <w:tr w:rsidR="009120FE" w:rsidRPr="00D81F72" w:rsidTr="0027186E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-2.36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0.85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(0.005)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-1.58 ± 2.23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-3.35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1.23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(0.009)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-3.32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1.15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-1.98 ± 1.07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-1.50 ± 1.22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-1.91 ± 0.70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-3.68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1.01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-2.41 ± 0.77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-1.77 ± 1.58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-1.56 ± 0.76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-1.30 ± 0.81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(0.11)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Marital Status 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0.50 ± 1.06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(0.63)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-2.13 ± 2.48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(0.39)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0.75 ± 1.36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(0.68)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0.81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2.28 ± 0.90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2.43 ± 1.11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0.25 ± 3.22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(0.93)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-1.68 ± 8.29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0.88 ± 5.38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(0.87)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0.84 ± 5.16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(0.87)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-1.88 ± 3.73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(0.61)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2.50 ± 2.95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(0.39)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Divorced/  Widowed</w:t>
            </w:r>
          </w:p>
        </w:tc>
      </w:tr>
      <w:tr w:rsidR="009120FE" w:rsidRPr="00D81F72" w:rsidTr="0027186E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107.29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40.49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11.49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11.69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12.90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31.98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30.57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10.67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5.38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0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2658.43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1392.78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894.01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1157.36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1867.10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72191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76636.8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73765.7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72061.1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72321.1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73899.6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LDL-cholesterol.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Pr="00D81F72" w:rsidRDefault="009120FE" w:rsidP="009120FE">
      <w:pPr>
        <w:jc w:val="center"/>
        <w:rPr>
          <w:rFonts w:ascii="Times New Roman" w:eastAsia="Calibri" w:hAnsi="Times New Roman" w:cs="B Titr"/>
        </w:rPr>
      </w:pPr>
    </w:p>
    <w:p w:rsidR="009120FE" w:rsidRPr="00D81F72" w:rsidRDefault="009120FE" w:rsidP="009120FE">
      <w:pPr>
        <w:rPr>
          <w:rFonts w:ascii="Times New Roman" w:eastAsia="Calibri" w:hAnsi="Times New Roman" w:cs="B Titr"/>
        </w:rPr>
        <w:sectPr w:rsidR="009120FE" w:rsidRPr="00D81F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D81F72" w:rsidRDefault="009120FE" w:rsidP="009120FE">
      <w:pPr>
        <w:rPr>
          <w:rFonts w:ascii="Times New Roman" w:eastAsia="Calibri" w:hAnsi="Times New Roman" w:cs="B Titr"/>
        </w:r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t>Table S4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>coefficients for fe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LDL-C in 2016 National STEPs study.  </w:t>
      </w:r>
    </w:p>
    <w:tbl>
      <w:tblPr>
        <w:tblStyle w:val="LightShading1"/>
        <w:bidiVisual/>
        <w:tblW w:w="10616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436"/>
        <w:gridCol w:w="1350"/>
        <w:gridCol w:w="1440"/>
        <w:gridCol w:w="1350"/>
        <w:gridCol w:w="1710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0.56 ± 0.03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0.86 ± 0.07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0.79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0.61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0.51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0.43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0.71 ± 0.09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0.78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0.18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0.74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0.16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0.79  ± 0.11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1.06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0.16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0.09 ± 0.05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0.13 ± 0.07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0.08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(0.14)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-0.009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(0.84)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-0.10 ± 0.05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-2.19 ± 0.92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-0.42 ± 2.65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(0.87)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-0.19 ± 1.26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(0.78)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-2.23 ± 0.96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-3.60 ± 1.29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(0.006)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-6.73 ± 1.54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1.07 ± 0.72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1.71 ± 1.03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2.45 ± 1.05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1.22 ± 0.59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-0.59 ± 1.03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(0.57)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-1.77 ± 0.84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3.96 ± 3.88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(0.30)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-4.89 ± 5.81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(0.40)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5.23 ± 4.52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(0.24)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4.15 ± 2.71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7.72 ± 3.94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9.76 ± 3.88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Education Level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0.56 ± 1.00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(0.57)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1.50 ± 2.10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(0.47)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1.25 ± 1.35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(0.35)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1.31 ± 1.18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(0.26)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1.57 ± 1.42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(0.27)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0.45 ± 1.45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(0.75)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2.02 ± 1.03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(0.05)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3.47 ± 2.35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(0.14)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1.52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2.11 ± 1.39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(0.13)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2.97 ± 1.40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3.53 ± 1.56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3.43 ± 1.16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4.73 ± 1.99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3.68 ± 1.69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2.08 ± 1.35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2.76 ± 1.34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2.64 ± 1.70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&gt;12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Marital Status 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2.49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± 1.03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0.90 ± 2.50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(0.71)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0.77 ± 1.60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35 ± 1.00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1.13 ± 0.81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(0.16)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-1.44 ± 1.06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3.29 ± 1.43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1.61 ± 3.33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(0.62)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0.73 ± 1.84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(0.69)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2.38 ± 1.21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1.77 ± 1.44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1.27 ± 1.40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(0.86)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Divorced/  Widowed</w:t>
            </w:r>
          </w:p>
        </w:tc>
      </w:tr>
      <w:tr w:rsidR="009120FE" w:rsidRPr="00D81F72" w:rsidTr="0027186E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48.93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20.78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16.69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10.17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18.61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61.14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31.62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19.79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9.27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12.21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02</w:t>
            </w:r>
          </w:p>
        </w:tc>
        <w:tc>
          <w:tcPr>
            <w:tcW w:w="1436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44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2890.13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1456.94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906.61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1156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1817.31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87894.4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93420.6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89608.7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87301.7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87460.4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89145.1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LDL-cholesterol.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Pr="00D81F72" w:rsidRDefault="009120FE" w:rsidP="009120FE">
      <w:pPr>
        <w:rPr>
          <w:rFonts w:ascii="Times New Roman" w:eastAsia="Calibri" w:hAnsi="Times New Roman" w:cs="Times New Roman"/>
          <w:sz w:val="18"/>
          <w:szCs w:val="18"/>
          <w:rtl/>
          <w:lang w:bidi="fa-IR"/>
        </w:rPr>
        <w:sectPr w:rsidR="009120FE" w:rsidRPr="00D81F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D81F72" w:rsidRDefault="009120FE" w:rsidP="009120FE">
      <w:pPr>
        <w:spacing w:after="0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lastRenderedPageBreak/>
        <w:t>Table S5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 xml:space="preserve">coefficients for 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HDL-C in 2016 National STEPs study.  </w:t>
      </w:r>
    </w:p>
    <w:tbl>
      <w:tblPr>
        <w:tblStyle w:val="LightShading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309"/>
        <w:gridCol w:w="1421"/>
        <w:gridCol w:w="1252"/>
        <w:gridCol w:w="1761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0.06 ± 0.01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0.10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0.07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0.06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0.05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-0.39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± 0.04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-0.42 ± 0.10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-0.41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-0.35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-0.37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-0.30 ± 0.07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-0.07 ± 0.01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-0.11±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-0.09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-0.08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-0.06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(0.007)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-0.07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(0.006)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-1.20  ± 0.37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-1.05 ± 1.04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-1.37 ± 0.42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-1.22 ± 0.29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-1.30 ± 0.30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-1.26 ± 0.40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-2.14 ± 0.27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-2.41 ± 0.73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-2.15 ± 0.43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-2.22 ± 0.31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-2.02 ± 0.21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2.12 ± 0.27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0.46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0.29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0.27 ± 0.91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(0.76)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0.07 ± 0.52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(0.79)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0.49 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0.38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(0.20)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0.78 ± 0.35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0.63 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0.41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(0.13)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1.62 ± 0.24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1.89  ± 0.53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1.55 ± 0.35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1.43 ± 0.24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1.35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0.22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1.02 ± 0.34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4.60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2.87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2.41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1.55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3.88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4.09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3.49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1.69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367.48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175.03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101.60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121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185.23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56164.0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61595.4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58025.6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55595.4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55209.7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56404.7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HDL-cholesterol.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Pr="00D81F72" w:rsidRDefault="009120FE" w:rsidP="009120FE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lastRenderedPageBreak/>
        <w:t>Table S6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>coefficients for fe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HDL-C in 2016 National STEPs study.  </w:t>
      </w:r>
    </w:p>
    <w:tbl>
      <w:tblPr>
        <w:tblStyle w:val="LightShading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309"/>
        <w:gridCol w:w="1421"/>
        <w:gridCol w:w="1252"/>
        <w:gridCol w:w="1761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0.08 ± 0.01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0.14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0.10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0.09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0.08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-0.18 ± 0.03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-0.24</w:t>
            </w:r>
            <w:r w:rsidRPr="00D81F72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B Nazanin"/>
                <w:sz w:val="20"/>
                <w:szCs w:val="20"/>
              </w:rPr>
              <w:t xml:space="preserve"> ± 0.08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-0.24 ± 0.07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-0.14 ± 0.04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-0.15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-0.08 ± 0.07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(0.28)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-0.10 ± 0.01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-0.12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-0.10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-0.12 ± 0.01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- 0.10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-0.09 ± 0.02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-1.45 ± 0.36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-1.76 ± 0.81</w:t>
            </w:r>
            <w:r w:rsidRPr="00D81F72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 xml:space="preserve"> (0.03)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-1.94 ± 0.52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-1.60 ± 0.41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-1.31 ± 0.42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-1.51 ± 0.37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 xml:space="preserve">0.06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0.30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(0.98)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0.13</w:t>
            </w: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 </w:t>
            </w:r>
            <w:r w:rsidRPr="00D81F72">
              <w:rPr>
                <w:rFonts w:ascii="Times New Roman" w:hAnsi="Times New Roman" w:cs="B Nazanin"/>
                <w:sz w:val="20"/>
                <w:szCs w:val="20"/>
              </w:rPr>
              <w:t>± 0.84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(0.87)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0.34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0.51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0.01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0.42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(0.97)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-0.61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0.42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(0.14)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-0.42 ± 0.49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(0.38)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1.20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± 0.32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 xml:space="preserve">1.14 </w:t>
            </w:r>
            <w:r w:rsidRPr="00D81F72">
              <w:rPr>
                <w:rFonts w:ascii="Times New Roman" w:hAnsi="Times New Roman" w:cs="B Nazanin"/>
                <w:sz w:val="20"/>
                <w:szCs w:val="20"/>
              </w:rPr>
              <w:t>± 0.81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(0.16)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0.98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0.64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(0.13)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0.78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0.35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0.45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0.33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1.21 ± 0.35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Education Level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0.53 ± 0.40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(0.18)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0.43 ± 0.95 (0.65)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0.42 ± 0.64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0.46 ± 0.40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(0.25)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0.40 ± 0.50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(0.43)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0.80 ± 0.57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(0.16)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0.67 ± 0.41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(0.10)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1.48 ± 1.02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(0.14)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0.65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(0.18)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0.64 ± 0.57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(0.26)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0.69 ± 0.54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(0.20)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0.83 ± 0.61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1.93 ± 0.46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2.84 ± 1.28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2.17 ± 0.87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2.14 ± 0.58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1.45 ± 0.56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1.63 ± 0.75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&gt;12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Marital Status 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-0.60 ± 0.41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1.81</w:t>
            </w:r>
            <w:r w:rsidRPr="00D81F72">
              <w:rPr>
                <w:rFonts w:ascii="Times New Roman" w:hAnsi="Times New Roman" w:cs="B Nazanin"/>
                <w:sz w:val="20"/>
                <w:szCs w:val="20"/>
                <w:rtl/>
              </w:rPr>
              <w:t>-</w:t>
            </w:r>
            <w:r w:rsidRPr="00D81F72">
              <w:rPr>
                <w:rFonts w:ascii="Times New Roman" w:hAnsi="Times New Roman" w:cs="B Nazanin"/>
                <w:sz w:val="20"/>
                <w:szCs w:val="20"/>
              </w:rPr>
              <w:t>± 0.92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-1.52 ± 0.58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-1.13 ± 0.50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-1.09 ± 0.49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-0.15 ± 0.58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(0.78)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9120FE" w:rsidRPr="00D81F72" w:rsidTr="0027186E">
        <w:trPr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-0.68 ± 0.57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(0.22)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-2.75 ± 1.18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-1.64 ± 0.70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-1.13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0.49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-0.86 ± 0.72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(0.23)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-0.32 ± 0.80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(0.68)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Divorced/  Widowed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>5.23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0.87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1.28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4.32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0.003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0.006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>5.72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2.56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2.13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1.46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65.88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0.008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>494.17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244.29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146.89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178.75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278.89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71079.2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  <w:lang w:bidi="fa-IR"/>
              </w:rPr>
              <w:t>77199.9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73190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70572.4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70341.4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71988.8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HDL-cholesterol.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Pr="00D81F72" w:rsidRDefault="009120FE" w:rsidP="009120FE">
      <w:pPr>
        <w:rPr>
          <w:rFonts w:ascii="Times New Roman" w:eastAsia="Calibri" w:hAnsi="Times New Roman" w:cs="Times New Roman"/>
          <w:sz w:val="18"/>
          <w:szCs w:val="18"/>
        </w:rPr>
        <w:sectPr w:rsidR="009120FE" w:rsidRPr="00D81F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lastRenderedPageBreak/>
        <w:t>Table S7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 xml:space="preserve">coefficients for 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TC/HDL-C in 2016 National STEPs study.  </w:t>
      </w:r>
    </w:p>
    <w:tbl>
      <w:tblPr>
        <w:tblStyle w:val="LightShading1"/>
        <w:bidiVisual/>
        <w:tblW w:w="10660" w:type="dxa"/>
        <w:jc w:val="center"/>
        <w:tblLook w:val="04A0" w:firstRow="1" w:lastRow="0" w:firstColumn="1" w:lastColumn="0" w:noHBand="0" w:noVBand="1"/>
      </w:tblPr>
      <w:tblGrid>
        <w:gridCol w:w="2070"/>
        <w:gridCol w:w="1399"/>
        <w:gridCol w:w="1350"/>
        <w:gridCol w:w="1407"/>
        <w:gridCol w:w="1421"/>
        <w:gridCol w:w="1252"/>
        <w:gridCol w:w="1761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 ± 0.001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(0.57)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0.004 ± 0.003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(0.24)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0.004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0.001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(0.32)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0.001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(0.45)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(0.88)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0.07 ± 0.005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0.01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0.10 ± 0.01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0.08 ± 0.01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0.05 ± 0.008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0.01 ± 0.002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0.009 ± 0.005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0.04 ± 0.05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(0.38)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0.48 ± 0.13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0.13 ± 0.10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(0.19)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-0.04 ± 0.07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(0.49)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-0.08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(0.17)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-0.15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0.32 ± 0.03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0.56 ± 0.09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0.34 ± 0.05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0.31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0.21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0.13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Physical Activity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-0.16 ± 0.04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(0.001)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-0.19 ± 0.10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(0.06)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-0.15 ± 0.09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-0.16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-0.10 ± 0.05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-0.13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-0.22 ± 0.03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-0.29 ± 0.09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-0.27 ± 0.05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-0.22 ± 0.04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-0.17 ± 0.03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-0.13 ± 0.03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Education Level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0.02 ± 0.07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(0.77)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-0.12 ± 0.18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0.06 ± 0.11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(0.61)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0.10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0.05 ± 0.07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(0.43)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0.03 ± 0.07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(0.64)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0.13 ± 0.07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(0.05)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0.15 ± 0.19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± 0.12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(0.16)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0.19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(0.007)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0.16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0.11 ± 0.06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0.20 ± 0.07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0.22 ± 0.17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(0.21)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0.29 ± 0.13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0.27 ± 0.08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0.26 ± 0.08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0.19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(0.006)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&gt;12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Marital Status 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0.14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± 0.05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(0.008)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0.18 ± 0.10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(0.07)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0.11 ± 0.08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(0.18)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 xml:space="preserve"> ± 0.05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(0.009)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0.10 ± 0.04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0.09 ± 0.05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Married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0.08 ± 0.16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(0.59)</w:t>
            </w: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0.47 ± 0.30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0.36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(0.90)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0.03 ± 0.26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(0.90)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-0.09 ± 0.16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(0.57)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0.16 ± 0.15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(0.29)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Divorced/  Widowed</w:t>
            </w:r>
          </w:p>
        </w:tc>
      </w:tr>
      <w:tr w:rsidR="009120FE" w:rsidRPr="00D81F72" w:rsidTr="0027186E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0.12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0.03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4.88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0.56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0.70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0.22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4.41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34.15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99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50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0.55</w:t>
            </w:r>
          </w:p>
        </w:tc>
        <w:tc>
          <w:tcPr>
            <w:tcW w:w="1407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0.93</w:t>
            </w:r>
          </w:p>
        </w:tc>
        <w:tc>
          <w:tcPr>
            <w:tcW w:w="1252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  <w:tc>
          <w:tcPr>
            <w:tcW w:w="1761" w:type="dxa"/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7.34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3.57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2.07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2.46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3.64</w:t>
            </w:r>
          </w:p>
        </w:tc>
        <w:tc>
          <w:tcPr>
            <w:tcW w:w="1761" w:type="dxa"/>
            <w:tcBorders>
              <w:bottom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26766.1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31995.4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28511.2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26129.7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25730.9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26680.7</w:t>
            </w:r>
          </w:p>
        </w:tc>
        <w:tc>
          <w:tcPr>
            <w:tcW w:w="1761" w:type="dxa"/>
            <w:tcBorders>
              <w:top w:val="single" w:sz="4" w:space="0" w:color="auto"/>
            </w:tcBorders>
            <w:shd w:val="clear" w:color="auto" w:fill="auto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total cholesterol/LDL.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</w:t>
      </w:r>
    </w:p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  <w:sectPr w:rsidR="009120FE" w:rsidRPr="00D81F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D81F72" w:rsidRDefault="009120FE" w:rsidP="009120FE">
      <w:pPr>
        <w:rPr>
          <w:rFonts w:ascii="Times New Roman" w:eastAsia="Calibri" w:hAnsi="Times New Roman" w:cs="Times New Roman"/>
          <w:sz w:val="24"/>
          <w:szCs w:val="24"/>
          <w:rtl/>
          <w:lang w:bidi="fa-IR"/>
        </w:rPr>
      </w:pPr>
    </w:p>
    <w:p w:rsidR="009120FE" w:rsidRPr="00D81F72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t>Table S8</w:t>
      </w:r>
      <w:r w:rsidRPr="00D81F72">
        <w:rPr>
          <w:rFonts w:ascii="Times New Roman" w:eastAsia="Calibri" w:hAnsi="Times New Roman" w:cs="B Titr"/>
        </w:rPr>
        <w:t xml:space="preserve"> Three-level </w:t>
      </w:r>
      <w:proofErr w:type="spellStart"/>
      <w:r w:rsidRPr="00D81F72">
        <w:rPr>
          <w:rFonts w:ascii="Times New Roman" w:eastAsia="Calibri" w:hAnsi="Times New Roman" w:cs="Times New Roman"/>
        </w:rPr>
        <w:t>Quantile</w:t>
      </w:r>
      <w:proofErr w:type="spellEnd"/>
      <w:r w:rsidRPr="00D81F72">
        <w:rPr>
          <w:rFonts w:ascii="Times New Roman" w:eastAsia="Calibri" w:hAnsi="Times New Roman" w:cs="Times New Roman"/>
        </w:rPr>
        <w:t xml:space="preserve"> regression </w:t>
      </w:r>
      <w:r w:rsidRPr="00D81F72">
        <w:rPr>
          <w:rFonts w:ascii="Times New Roman" w:eastAsia="Calibri" w:hAnsi="Times New Roman" w:cs="B Titr"/>
        </w:rPr>
        <w:t>coefficients for fe</w:t>
      </w:r>
      <w:r w:rsidRPr="00D81F72">
        <w:rPr>
          <w:rFonts w:ascii="Times New Roman" w:eastAsia="Calibri" w:hAnsi="Times New Roman" w:cs="Times New Roman"/>
        </w:rPr>
        <w:t>male participants’</w:t>
      </w:r>
      <w:r w:rsidRPr="00D81F72">
        <w:rPr>
          <w:rFonts w:ascii="Times New Roman" w:eastAsia="Calibri" w:hAnsi="Times New Roman" w:cs="B Titr"/>
        </w:rPr>
        <w:t xml:space="preserve"> TC/HDL-C in 2016 National STEPs study.  </w:t>
      </w:r>
    </w:p>
    <w:tbl>
      <w:tblPr>
        <w:tblStyle w:val="LightShading1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342"/>
        <w:gridCol w:w="1317"/>
        <w:gridCol w:w="1421"/>
        <w:gridCol w:w="1402"/>
        <w:gridCol w:w="1611"/>
      </w:tblGrid>
      <w:tr w:rsidR="009120FE" w:rsidRPr="00D81F72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rPr>
                <w:rFonts w:ascii="Times New Roman" w:hAnsi="Times New Roman" w:cs="B Nazanin"/>
              </w:rPr>
            </w:pPr>
            <w:r w:rsidRPr="00D81F72">
              <w:rPr>
                <w:rFonts w:ascii="Times New Roman" w:hAnsi="Times New Roman" w:cs="Times New Roman"/>
              </w:rPr>
              <w:t>Linear Regression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90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75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vertAlign w:val="subscript"/>
              </w:rPr>
            </w:pPr>
            <w:r w:rsidRPr="00D81F72">
              <w:rPr>
                <w:rFonts w:ascii="Times New Roman" w:hAnsi="Times New Roman" w:cs="B Nazanin"/>
              </w:rPr>
              <w:t>P</w:t>
            </w:r>
            <w:r w:rsidRPr="00D81F72">
              <w:rPr>
                <w:rFonts w:ascii="Times New Roman" w:hAnsi="Times New Roman" w:cs="B Nazanin"/>
                <w:vertAlign w:val="subscript"/>
              </w:rPr>
              <w:t>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81F72">
              <w:rPr>
                <w:rFonts w:ascii="Times New Roman" w:hAnsi="Times New Roman" w:cs="Times New Roman"/>
              </w:rPr>
              <w:t>Factors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0.01 ± 0.001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0.005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0.005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  <w:r w:rsidRPr="00D81F72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(year)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0.03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± 0.003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0.05 ± 0.01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0.008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0.03 ± 0.005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0.03 ± 0.004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0.02 ± 0.004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BMI(kg/m</w:t>
            </w:r>
            <w:r w:rsidRPr="00D81F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0.01 ± 0.001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0.01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0.009 ± 0.002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0.006 ± 0.001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WC (cm)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0.15 ± 0.04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(0.14)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0.37 ± 0.09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0.22 ± 0.06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0.08 ± 0.05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(0.14)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0.04 ± 0.04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(0.35)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-0.01 ± 0.05</w:t>
            </w:r>
          </w:p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(0.75)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Diabetes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0.09 ± 0.03</w:t>
            </w:r>
          </w:p>
          <w:p w:rsidR="009120FE" w:rsidRPr="00D81F72" w:rsidRDefault="009120FE" w:rsidP="0027186E">
            <w:pPr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(0.003)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0.20 ± 0.05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0.07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(0.12)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0.06 ± 0.04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(0.10)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0.03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(0.22)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-0.02 ± 0.03</w:t>
            </w:r>
          </w:p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(0.43)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</w:tr>
      <w:tr w:rsidR="009120FE" w:rsidRPr="00D81F72" w:rsidTr="0027186E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Residence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0.18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1.65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7.59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0.46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D81F72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0.04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7.40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-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0.70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0.07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ICC</w:t>
            </w:r>
          </w:p>
        </w:tc>
      </w:tr>
      <w:tr w:rsidR="009120FE" w:rsidRPr="00D81F72" w:rsidTr="0027186E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6.45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3.02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1.69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1.90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2.72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D81F72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bidi="fa-IR"/>
              </w:rPr>
              <w:t>30561.6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37449.5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32928.8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29593.6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28699.1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1F72">
              <w:rPr>
                <w:rFonts w:ascii="Times New Roman" w:hAnsi="Times New Roman" w:cs="Times New Roman"/>
                <w:sz w:val="20"/>
                <w:szCs w:val="20"/>
              </w:rPr>
              <w:t>29486.3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D81F72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B Nazanin"/>
                <w:sz w:val="20"/>
                <w:szCs w:val="20"/>
                <w:rtl/>
                <w:lang w:bidi="fa-IR"/>
              </w:rPr>
            </w:pPr>
            <w:r w:rsidRPr="00D81F72">
              <w:rPr>
                <w:rFonts w:ascii="Times New Roman" w:hAnsi="Times New Roman" w:cs="B Nazanin"/>
                <w:sz w:val="20"/>
                <w:szCs w:val="20"/>
              </w:rPr>
              <w:t>AIC</w:t>
            </w:r>
          </w:p>
        </w:tc>
      </w:tr>
    </w:tbl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D81F72">
        <w:rPr>
          <w:rFonts w:ascii="Times New Roman" w:eastAsia="Calibri" w:hAnsi="Times New Roman" w:cs="B Titr"/>
          <w:sz w:val="18"/>
          <w:szCs w:val="18"/>
        </w:rPr>
        <w:t>β</w:t>
      </w:r>
      <w:r w:rsidRPr="00D81F72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D81F72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25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50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>, 75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D81F72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D81F72">
        <w:rPr>
          <w:rFonts w:ascii="Times New Roman" w:eastAsia="Calibri" w:hAnsi="Times New Roman" w:cs="B Titr"/>
          <w:sz w:val="18"/>
          <w:szCs w:val="18"/>
        </w:rPr>
        <w:t xml:space="preserve"> percentiles of total cholesterol/HDL. Significant coefficients are shown in Bold.  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D81F72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D81F72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D81F72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br w:type="page"/>
      </w:r>
    </w:p>
    <w:p w:rsidR="009120FE" w:rsidRPr="00D81F72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Pr="00CD344D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t>Table S9</w:t>
      </w:r>
      <w:r w:rsidRPr="00CD344D">
        <w:rPr>
          <w:rFonts w:ascii="Times New Roman" w:eastAsia="Calibri" w:hAnsi="Times New Roman" w:cs="B Titr"/>
        </w:rPr>
        <w:t xml:space="preserve"> Three-level </w:t>
      </w:r>
      <w:proofErr w:type="spellStart"/>
      <w:r w:rsidRPr="00CD344D">
        <w:rPr>
          <w:rFonts w:ascii="Times New Roman" w:eastAsia="Calibri" w:hAnsi="Times New Roman" w:cs="Times New Roman"/>
        </w:rPr>
        <w:t>Quantile</w:t>
      </w:r>
      <w:proofErr w:type="spellEnd"/>
      <w:r w:rsidRPr="00CD344D">
        <w:rPr>
          <w:rFonts w:ascii="Times New Roman" w:eastAsia="Calibri" w:hAnsi="Times New Roman" w:cs="Times New Roman"/>
        </w:rPr>
        <w:t xml:space="preserve"> regression </w:t>
      </w:r>
      <w:r w:rsidRPr="00CD344D">
        <w:rPr>
          <w:rFonts w:ascii="Times New Roman" w:eastAsia="Calibri" w:hAnsi="Times New Roman" w:cs="B Titr"/>
        </w:rPr>
        <w:t xml:space="preserve">coefficients for </w:t>
      </w:r>
      <w:r w:rsidRPr="00CD344D">
        <w:rPr>
          <w:rFonts w:ascii="Times New Roman" w:eastAsia="Calibri" w:hAnsi="Times New Roman" w:cs="Times New Roman"/>
        </w:rPr>
        <w:t>male participants’</w:t>
      </w:r>
      <w:r w:rsidRPr="00CD344D">
        <w:rPr>
          <w:rFonts w:ascii="Times New Roman" w:eastAsia="Calibri" w:hAnsi="Times New Roman" w:cs="B Titr"/>
        </w:rPr>
        <w:t xml:space="preserve"> LDL-C/HDL-C in 2016 National STEPs study.  </w:t>
      </w:r>
    </w:p>
    <w:tbl>
      <w:tblPr>
        <w:tblStyle w:val="LightShading2"/>
        <w:bidiVisual/>
        <w:tblW w:w="10423" w:type="dxa"/>
        <w:jc w:val="center"/>
        <w:tblLook w:val="04A0" w:firstRow="1" w:lastRow="0" w:firstColumn="1" w:lastColumn="0" w:noHBand="0" w:noVBand="1"/>
      </w:tblPr>
      <w:tblGrid>
        <w:gridCol w:w="1980"/>
        <w:gridCol w:w="1350"/>
        <w:gridCol w:w="1350"/>
        <w:gridCol w:w="1342"/>
        <w:gridCol w:w="1388"/>
        <w:gridCol w:w="1402"/>
        <w:gridCol w:w="1611"/>
      </w:tblGrid>
      <w:tr w:rsidR="009120FE" w:rsidRPr="00CD344D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rPr>
                <w:rFonts w:asciiTheme="majorBidi" w:hAnsiTheme="majorBidi" w:cstheme="majorBidi"/>
              </w:rPr>
            </w:pPr>
            <w:r w:rsidRPr="00CD344D">
              <w:rPr>
                <w:rFonts w:asciiTheme="majorBidi" w:hAnsiTheme="majorBidi" w:cstheme="majorBidi"/>
              </w:rPr>
              <w:t>Linear Regression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75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50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10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344D">
              <w:rPr>
                <w:rFonts w:asciiTheme="majorBidi" w:hAnsiTheme="majorBidi" w:cstheme="majorBidi"/>
              </w:rPr>
              <w:t>Factors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0.002 ± 0.001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0.006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0.005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0.001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(0.04)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0.001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 xml:space="preserve">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(0.31)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(0.75)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Age</w:t>
            </w:r>
            <w:r w:rsidRPr="00CD34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(year)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0.04 ± 0.004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0.07</w:t>
            </w:r>
            <w:r w:rsidRPr="00CD34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 xml:space="preserve"> ± 0.009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0.06 ± 0.009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0.006 ± 0.008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0.03 ± 0.007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0.03 ± 0.006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BMI(kg/m</w:t>
            </w:r>
            <w:r w:rsidRPr="00CD34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0.01 ± 0.001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0.009 ± 0.004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0.006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WC (cm)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-0.05 ± 0.03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(0.20)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0.27 ± 0.07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-0.03 ± 0.07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(0.63)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-0.02 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(0.09)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-0.14 ± 0.06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-0.18 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(0.002)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Diabetes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0.23 ± 0.02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0.41 ± 0.06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0.25 ± 0.04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0.20 ± 0.02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0.16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0.10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Smoking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Physical Activity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-0.10</w:t>
            </w: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± 0.03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-0.07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0.06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(0.24)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-0.08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0.06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(0.17)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-0.11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(0.003)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-0.11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0.04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-0.07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-0.15 ± 0.02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-0.20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-0.19 ± 0.04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-1.48 ± 2.89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-0.12 ± 0.02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-0.08 ± 0.03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Education Level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-0.01 ± 0.05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(0.77)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-0.03 ± 0.11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(0.75)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0.03 ± 0.08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(0.71)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0.04 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(0.09)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0.06 ± 0.06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(0.37)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0.05±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(0.33)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1-6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0.05 ± 0.05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(0.26)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0.08 ± 0.12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(0.49)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0.09 ± 0.08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(0.27)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0.11 ± 0.05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(0.10)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0.12 ± 0.06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(0.05)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0.11 ± 0.05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(0.04)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7-12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0.11 ± 0.05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0.12 ± 0.12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(0.30)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0.19 ± 0.09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0.18 ± 0.07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0.18 ± 0.08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0.13 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&gt;12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 xml:space="preserve">Marital Status 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0.07 ± 0.03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0.06 ± 0.08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(0.44)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0.10 ± 0.06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(0.08)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0.10 ± 0.03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(0.01)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0.09 ± 0.03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(0.009)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0.06 ± 0.04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(0.13)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Married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0.05 ± 0.11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(0.66)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0.48 ± 0.22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0.19 ± 0.28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(0.48)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0.10 ± 0.11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(0.86)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0.07 ± 0.16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(0.66)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0.06 ± 0.10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(0.57)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Divorced/  Widowed</w:t>
            </w:r>
          </w:p>
        </w:tc>
      </w:tr>
      <w:tr w:rsidR="009120FE" w:rsidRPr="00CD344D" w:rsidTr="0027186E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Residence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0.02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0.68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ICC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0.78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0.29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ICC</w:t>
            </w:r>
          </w:p>
        </w:tc>
      </w:tr>
      <w:tr w:rsidR="009120FE" w:rsidRPr="00CD344D" w:rsidTr="0027186E">
        <w:trPr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3.72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1.87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1.12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1.39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2.13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21927.2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26818.4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23668.5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21544.7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21453.6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22647.4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</w:tr>
    </w:tbl>
    <w:p w:rsidR="009120FE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CD344D">
        <w:rPr>
          <w:rFonts w:ascii="Times New Roman" w:eastAsia="Calibri" w:hAnsi="Times New Roman" w:cs="B Titr"/>
          <w:sz w:val="18"/>
          <w:szCs w:val="18"/>
        </w:rPr>
        <w:t>β</w:t>
      </w:r>
      <w:r w:rsidRPr="00CD344D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CD344D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>, 25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>, 50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>, 75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 xml:space="preserve"> percentiles of LDL-C/HDL-C. Significant coefficients are shown in Bold.  </w:t>
      </w:r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CD344D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CD344D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CD344D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Pr="00CD344D" w:rsidRDefault="009120FE" w:rsidP="009120F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9120FE" w:rsidRPr="00CD344D" w:rsidRDefault="009120FE" w:rsidP="009120FE">
      <w:pPr>
        <w:rPr>
          <w:rFonts w:ascii="Times New Roman" w:eastAsia="Calibri" w:hAnsi="Times New Roman" w:cs="Times New Roman"/>
          <w:sz w:val="18"/>
          <w:szCs w:val="18"/>
        </w:rPr>
        <w:sectPr w:rsidR="009120FE" w:rsidRPr="00CD34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20FE" w:rsidRPr="00CD344D" w:rsidRDefault="009120FE" w:rsidP="009120FE">
      <w:pPr>
        <w:spacing w:after="0" w:line="240" w:lineRule="auto"/>
        <w:ind w:left="907" w:hanging="907"/>
        <w:rPr>
          <w:rFonts w:ascii="Times New Roman" w:eastAsia="Calibri" w:hAnsi="Times New Roman" w:cs="B Titr"/>
        </w:rPr>
      </w:pPr>
      <w:r w:rsidRPr="00B27EAB">
        <w:rPr>
          <w:rFonts w:ascii="Times New Roman" w:eastAsia="Calibri" w:hAnsi="Times New Roman" w:cs="B Titr"/>
          <w:b/>
          <w:bCs/>
        </w:rPr>
        <w:lastRenderedPageBreak/>
        <w:t>Table S10</w:t>
      </w:r>
      <w:r w:rsidRPr="00CD344D">
        <w:rPr>
          <w:rFonts w:ascii="Times New Roman" w:eastAsia="Calibri" w:hAnsi="Times New Roman" w:cs="B Titr"/>
        </w:rPr>
        <w:t xml:space="preserve"> Three-level </w:t>
      </w:r>
      <w:proofErr w:type="spellStart"/>
      <w:r w:rsidRPr="00CD344D">
        <w:rPr>
          <w:rFonts w:ascii="Times New Roman" w:eastAsia="Calibri" w:hAnsi="Times New Roman" w:cs="Times New Roman"/>
        </w:rPr>
        <w:t>Quantile</w:t>
      </w:r>
      <w:proofErr w:type="spellEnd"/>
      <w:r w:rsidRPr="00CD344D">
        <w:rPr>
          <w:rFonts w:ascii="Times New Roman" w:eastAsia="Calibri" w:hAnsi="Times New Roman" w:cs="Times New Roman"/>
        </w:rPr>
        <w:t xml:space="preserve"> regression </w:t>
      </w:r>
      <w:r w:rsidRPr="00CD344D">
        <w:rPr>
          <w:rFonts w:ascii="Times New Roman" w:eastAsia="Calibri" w:hAnsi="Times New Roman" w:cs="B Titr"/>
        </w:rPr>
        <w:t>coefficients for fe</w:t>
      </w:r>
      <w:r w:rsidRPr="00CD344D">
        <w:rPr>
          <w:rFonts w:ascii="Times New Roman" w:eastAsia="Calibri" w:hAnsi="Times New Roman" w:cs="Times New Roman"/>
        </w:rPr>
        <w:t>male participants’</w:t>
      </w:r>
      <w:r w:rsidRPr="00CD344D">
        <w:rPr>
          <w:rFonts w:ascii="Times New Roman" w:eastAsia="Calibri" w:hAnsi="Times New Roman" w:cs="B Titr"/>
        </w:rPr>
        <w:t xml:space="preserve"> LDL-C/HDL-C in 2016 National STEPs study.  </w:t>
      </w:r>
    </w:p>
    <w:tbl>
      <w:tblPr>
        <w:tblStyle w:val="LightShading2"/>
        <w:bidiVisual/>
        <w:tblW w:w="10432" w:type="dxa"/>
        <w:jc w:val="center"/>
        <w:tblLook w:val="04A0" w:firstRow="1" w:lastRow="0" w:firstColumn="1" w:lastColumn="0" w:noHBand="0" w:noVBand="1"/>
      </w:tblPr>
      <w:tblGrid>
        <w:gridCol w:w="1980"/>
        <w:gridCol w:w="1256"/>
        <w:gridCol w:w="1350"/>
        <w:gridCol w:w="1403"/>
        <w:gridCol w:w="1421"/>
        <w:gridCol w:w="1402"/>
        <w:gridCol w:w="1620"/>
      </w:tblGrid>
      <w:tr w:rsidR="009120FE" w:rsidRPr="00CD344D" w:rsidTr="00271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rPr>
                <w:rFonts w:asciiTheme="majorBidi" w:hAnsiTheme="majorBidi" w:cstheme="majorBidi"/>
              </w:rPr>
            </w:pPr>
            <w:r w:rsidRPr="00CD344D">
              <w:rPr>
                <w:rFonts w:asciiTheme="majorBidi" w:hAnsiTheme="majorBidi" w:cstheme="majorBidi"/>
              </w:rPr>
              <w:t>Linear Regression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90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75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50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25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vertAlign w:val="subscript"/>
              </w:rPr>
            </w:pPr>
            <w:r w:rsidRPr="00CD344D">
              <w:rPr>
                <w:rFonts w:asciiTheme="majorBidi" w:hAnsiTheme="majorBidi" w:cstheme="majorBidi"/>
              </w:rPr>
              <w:t>P</w:t>
            </w:r>
            <w:r w:rsidRPr="00CD344D">
              <w:rPr>
                <w:rFonts w:asciiTheme="majorBidi" w:hAnsiTheme="majorBidi" w:cstheme="majorBidi"/>
                <w:vertAlign w:val="subscript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CD344D">
              <w:rPr>
                <w:rFonts w:asciiTheme="majorBidi" w:hAnsiTheme="majorBidi" w:cstheme="majorBidi"/>
              </w:rPr>
              <w:t>Factors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0.01 ± 0.001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0.009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 xml:space="preserve">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0.009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Age</w:t>
            </w:r>
            <w:r w:rsidRPr="00CD34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(year)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0.01 ± 0.003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0.02 ± 0.006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 w:rsidRPr="00CD34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(0.004)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</w:t>
            </w:r>
            <w:r w:rsidRPr="00CD344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0.004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0.004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BMI(kg/m</w:t>
            </w:r>
            <w:r w:rsidRPr="00CD344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0.01 ± 0.001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0.01 ± 0.003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0.009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0.009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0.008 ± 0.001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0.004 ± 0.002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WC (cm)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0.37 ± 0.04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0.51 ± 0.10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0.35 ± 0.07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0.21 ± 0.04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(&lt;0.001)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0.09 ± 0.06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(0.16)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0.06 ± 0.05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(0.26)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Diabetes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0.17 ± 0.03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(&lt;0.001)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0.11 ± 0.05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(0.02)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0.07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(0.03)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0.10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(0.005)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0.10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0.09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(0.007)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Hypertension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Physical Activity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 xml:space="preserve">-0.04 </w:t>
            </w: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± 0.03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(0.13)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-0.04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0.04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(0.36)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-0.01 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(0.71)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0.005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(0.84)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-0.01</w:t>
            </w: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D344D">
              <w:rPr>
                <w:rFonts w:asciiTheme="majorBidi" w:hAnsiTheme="majorBidi" w:cstheme="majorBidi"/>
                <w:sz w:val="20"/>
                <w:szCs w:val="20"/>
              </w:rPr>
              <w:t>± 0.03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(0.73)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-0.01 ± 0.04</w:t>
            </w:r>
          </w:p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(0.74)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Moderate</w:t>
            </w:r>
          </w:p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-0.04 ± 0.03</w:t>
            </w:r>
          </w:p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(0.18)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-0.07 ± 0.06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(0.24)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-0.04 ± 0.03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(0.17)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-0.04 ± 0.03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(0.18)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-0.07 ± 0.03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(0.04)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-0.07 ± 0.04</w:t>
            </w:r>
          </w:p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(0.07)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High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Residence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2.05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7.81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9.21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0.01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0.58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0.82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0.78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ICC</w:t>
            </w:r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Province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0.52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0.13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0.19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0.11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0.06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vertAlign w:val="subscript"/>
                <w:rtl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CD344D" w:rsidTr="002718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0.04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0.11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0.06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0.02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ICC</w:t>
            </w:r>
          </w:p>
        </w:tc>
      </w:tr>
      <w:tr w:rsidR="009120FE" w:rsidRPr="00CD344D" w:rsidTr="00271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6.00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2.52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1.44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1.69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2.52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e</m:t>
                    </m:r>
                  </m:sub>
                  <m:sup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2</m:t>
                    </m:r>
                  </m:sup>
                </m:sSubSup>
              </m:oMath>
            </m:oMathPara>
          </w:p>
        </w:tc>
      </w:tr>
      <w:tr w:rsidR="009120FE" w:rsidRPr="00CD344D" w:rsidTr="0027186E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</w:pPr>
            <w:r w:rsidRPr="00CD344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bidi="fa-IR"/>
              </w:rPr>
              <w:t>36785.9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39137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33382.2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29996.6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  <w:lang w:bidi="fa-IR"/>
              </w:rPr>
              <w:t>29373.1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D0D0D"/>
                <w:sz w:val="20"/>
                <w:szCs w:val="20"/>
                <w:rtl/>
              </w:rPr>
            </w:pPr>
            <w:r w:rsidRPr="00CD344D">
              <w:rPr>
                <w:rFonts w:asciiTheme="majorBidi" w:hAnsiTheme="majorBidi" w:cstheme="majorBidi"/>
                <w:color w:val="0D0D0D"/>
                <w:sz w:val="20"/>
                <w:szCs w:val="20"/>
              </w:rPr>
              <w:t>30748.3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20FE" w:rsidRPr="00CD344D" w:rsidRDefault="009120FE" w:rsidP="0027186E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CD344D"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</w:tr>
    </w:tbl>
    <w:p w:rsidR="009120FE" w:rsidRPr="00CD344D" w:rsidRDefault="009120FE" w:rsidP="009120FE">
      <w:pPr>
        <w:spacing w:after="0" w:line="240" w:lineRule="auto"/>
        <w:rPr>
          <w:rFonts w:ascii="Calibri" w:eastAsia="Calibri" w:hAnsi="Calibri" w:cs="B Nazanin"/>
          <w:sz w:val="24"/>
          <w:szCs w:val="24"/>
        </w:rPr>
      </w:pPr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Entries show </w:t>
      </w:r>
      <w:r w:rsidRPr="00CD344D">
        <w:rPr>
          <w:rFonts w:ascii="Times New Roman" w:eastAsia="Calibri" w:hAnsi="Times New Roman" w:cs="B Titr"/>
          <w:sz w:val="18"/>
          <w:szCs w:val="18"/>
        </w:rPr>
        <w:t>β</w:t>
      </w:r>
      <w:r w:rsidRPr="00CD344D">
        <w:rPr>
          <w:rFonts w:ascii="Times New Roman" w:eastAsia="Calibri" w:hAnsi="Times New Roman" w:cs="B Titr" w:hint="cs"/>
          <w:sz w:val="18"/>
          <w:szCs w:val="18"/>
          <w:rtl/>
        </w:rPr>
        <w:t xml:space="preserve"> </w:t>
      </w:r>
      <w:r w:rsidRPr="00CD344D">
        <w:rPr>
          <w:rFonts w:ascii="Times New Roman" w:eastAsia="Calibri" w:hAnsi="Times New Roman" w:cs="B Titr"/>
          <w:sz w:val="18"/>
          <w:szCs w:val="18"/>
        </w:rPr>
        <w:t>± SE (p - value) for 10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>, 25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>, 50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>, 75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 xml:space="preserve"> and 90</w:t>
      </w:r>
      <w:r w:rsidRPr="00CD344D">
        <w:rPr>
          <w:rFonts w:ascii="Times New Roman" w:eastAsia="Calibri" w:hAnsi="Times New Roman" w:cs="B Titr"/>
          <w:sz w:val="18"/>
          <w:szCs w:val="18"/>
          <w:vertAlign w:val="superscript"/>
        </w:rPr>
        <w:t>th</w:t>
      </w:r>
      <w:r w:rsidRPr="00CD344D">
        <w:rPr>
          <w:rFonts w:ascii="Times New Roman" w:eastAsia="Calibri" w:hAnsi="Times New Roman" w:cs="B Titr"/>
          <w:sz w:val="18"/>
          <w:szCs w:val="18"/>
        </w:rPr>
        <w:t xml:space="preserve"> percentiles of LDL-C/HDL-C. Significant coefficients are shown in Bold.  </w:t>
      </w:r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AIC: </w:t>
      </w:r>
      <w:proofErr w:type="spellStart"/>
      <w:r w:rsidRPr="00CD344D">
        <w:rPr>
          <w:rFonts w:ascii="Times New Roman" w:eastAsia="Calibri" w:hAnsi="Times New Roman" w:cs="Times New Roman"/>
          <w:sz w:val="18"/>
          <w:szCs w:val="18"/>
        </w:rPr>
        <w:t>Akaike</w:t>
      </w:r>
      <w:proofErr w:type="spellEnd"/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 Information Criterion, ICC: </w:t>
      </w:r>
      <w:proofErr w:type="spellStart"/>
      <w:r w:rsidRPr="00CD344D">
        <w:rPr>
          <w:rFonts w:ascii="Times New Roman" w:eastAsia="Calibri" w:hAnsi="Times New Roman" w:cs="Times New Roman"/>
          <w:sz w:val="18"/>
          <w:szCs w:val="18"/>
        </w:rPr>
        <w:t>Intraclass</w:t>
      </w:r>
      <w:proofErr w:type="spellEnd"/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 Correlation Coefficient</w:t>
      </w:r>
      <w:proofErr w:type="gramStart"/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,  </w:t>
      </w:r>
      <w:proofErr w:type="gramEnd"/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b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: Random effect variance,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  <w:color w:val="000000"/>
                <w:sz w:val="18"/>
                <w:szCs w:val="18"/>
              </w:rPr>
            </m:ctrlPr>
          </m:sSubSupPr>
          <m:e>
            <m:r>
              <w:rPr>
                <w:rFonts w:ascii="Cambria Math" w:eastAsia="Calibri" w:hAnsi="Cambria Math" w:cs="Times New Roman"/>
                <w:sz w:val="18"/>
                <w:szCs w:val="18"/>
              </w:rPr>
              <m:t>σ</m:t>
            </m:r>
          </m:e>
          <m:sub>
            <m:r>
              <w:rPr>
                <w:rFonts w:ascii="Cambria Math" w:eastAsia="Calibri" w:hAnsi="Cambria Math" w:cs="Times New Roman"/>
                <w:sz w:val="18"/>
                <w:szCs w:val="18"/>
              </w:rPr>
              <m:t>e</m:t>
            </m:r>
          </m:sub>
          <m:sup>
            <m:r>
              <w:rPr>
                <w:rFonts w:ascii="Cambria Math" w:eastAsia="Calibri" w:hAnsi="Cambria Math" w:cs="Times New Roman"/>
                <w:sz w:val="18"/>
                <w:szCs w:val="18"/>
              </w:rPr>
              <m:t>2</m:t>
            </m:r>
          </m:sup>
        </m:sSubSup>
      </m:oMath>
      <w:r w:rsidRPr="00CD344D">
        <w:rPr>
          <w:rFonts w:ascii="Times New Roman" w:eastAsia="Calibri" w:hAnsi="Times New Roman" w:cs="Times New Roman"/>
          <w:b/>
          <w:bCs/>
          <w:sz w:val="18"/>
          <w:szCs w:val="18"/>
          <w:vertAlign w:val="subscript"/>
        </w:rPr>
        <w:t>:</w:t>
      </w:r>
      <w:r w:rsidRPr="00CD344D">
        <w:rPr>
          <w:rFonts w:ascii="Times New Roman" w:eastAsia="Calibri" w:hAnsi="Times New Roman" w:cs="Times New Roman"/>
          <w:sz w:val="18"/>
          <w:szCs w:val="18"/>
        </w:rPr>
        <w:t xml:space="preserve"> Error variance. </w:t>
      </w:r>
    </w:p>
    <w:p w:rsidR="009120FE" w:rsidRDefault="009120FE" w:rsidP="009120FE">
      <w:pPr>
        <w:jc w:val="center"/>
      </w:pPr>
    </w:p>
    <w:p w:rsidR="009120FE" w:rsidRDefault="009120FE"/>
    <w:sectPr w:rsidR="00912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246"/>
    <w:multiLevelType w:val="multilevel"/>
    <w:tmpl w:val="220E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70578"/>
    <w:multiLevelType w:val="hybridMultilevel"/>
    <w:tmpl w:val="E95AE2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3D18"/>
    <w:multiLevelType w:val="multilevel"/>
    <w:tmpl w:val="16C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F2AE1"/>
    <w:multiLevelType w:val="multilevel"/>
    <w:tmpl w:val="5F60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10F36"/>
    <w:multiLevelType w:val="hybridMultilevel"/>
    <w:tmpl w:val="92D8FD24"/>
    <w:lvl w:ilvl="0" w:tplc="3E14F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116DB"/>
    <w:multiLevelType w:val="hybridMultilevel"/>
    <w:tmpl w:val="71927CCC"/>
    <w:lvl w:ilvl="0" w:tplc="47FC1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07A84"/>
    <w:multiLevelType w:val="multilevel"/>
    <w:tmpl w:val="FE34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2B3B"/>
    <w:multiLevelType w:val="multilevel"/>
    <w:tmpl w:val="71E2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1CE6"/>
    <w:multiLevelType w:val="multilevel"/>
    <w:tmpl w:val="B244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5F579F"/>
    <w:multiLevelType w:val="hybridMultilevel"/>
    <w:tmpl w:val="F88A872A"/>
    <w:lvl w:ilvl="0" w:tplc="87D0C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92CC5"/>
    <w:multiLevelType w:val="hybridMultilevel"/>
    <w:tmpl w:val="CBEA74B6"/>
    <w:lvl w:ilvl="0" w:tplc="D70EB2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FE6192"/>
    <w:multiLevelType w:val="hybridMultilevel"/>
    <w:tmpl w:val="D29C34DA"/>
    <w:lvl w:ilvl="0" w:tplc="C44418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B56B4B"/>
    <w:multiLevelType w:val="multilevel"/>
    <w:tmpl w:val="D70C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12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FE"/>
    <w:rsid w:val="00033A54"/>
    <w:rsid w:val="006B696B"/>
    <w:rsid w:val="0091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FE"/>
  </w:style>
  <w:style w:type="paragraph" w:styleId="Heading1">
    <w:name w:val="heading 1"/>
    <w:basedOn w:val="Normal"/>
    <w:link w:val="Heading1Char"/>
    <w:uiPriority w:val="9"/>
    <w:qFormat/>
    <w:rsid w:val="0091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0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FE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20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ndNoteBibliographyTitle">
    <w:name w:val="EndNote Bibliography Title"/>
    <w:basedOn w:val="Normal"/>
    <w:link w:val="EndNoteBibliographyTitleChar"/>
    <w:rsid w:val="009120F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120F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120FE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120FE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120F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20FE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20FE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120F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9120FE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9120F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120F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0FE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120FE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9120FE"/>
  </w:style>
  <w:style w:type="paragraph" w:styleId="FootnoteText">
    <w:name w:val="footnote text"/>
    <w:basedOn w:val="Normal"/>
    <w:link w:val="FootnoteTextChar"/>
    <w:semiHidden/>
    <w:rsid w:val="0091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0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120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20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-Accent61">
    <w:name w:val="Light Grid - Accent 61"/>
    <w:basedOn w:val="TableNormal"/>
    <w:next w:val="LightGrid-Accent6"/>
    <w:uiPriority w:val="62"/>
    <w:rsid w:val="009120FE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9120F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9120FE"/>
    <w:pPr>
      <w:spacing w:after="0" w:line="240" w:lineRule="auto"/>
    </w:pPr>
    <w:rPr>
      <w:rFonts w:eastAsia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9120F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9120F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9120FE"/>
    <w:pPr>
      <w:bidi/>
      <w:spacing w:after="0" w:line="240" w:lineRule="auto"/>
    </w:pPr>
    <w:rPr>
      <w:rFonts w:eastAsia="Calibri" w:cs="B Nazanin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9120F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9120FE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120F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0FE"/>
    <w:rPr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9120F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6">
    <w:name w:val="Medium List 1 Accent 6"/>
    <w:basedOn w:val="TableNormal"/>
    <w:uiPriority w:val="65"/>
    <w:rsid w:val="009120FE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9120FE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9120FE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9120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20FE"/>
    <w:pPr>
      <w:spacing w:after="0" w:line="240" w:lineRule="auto"/>
    </w:pPr>
    <w:rPr>
      <w:rFonts w:eastAsiaTheme="minorEastAsia"/>
    </w:rPr>
  </w:style>
  <w:style w:type="character" w:customStyle="1" w:styleId="BalloonTextChar1">
    <w:name w:val="Balloon Text Char1"/>
    <w:basedOn w:val="DefaultParagraphFont"/>
    <w:uiPriority w:val="99"/>
    <w:semiHidden/>
    <w:rsid w:val="009120F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0FE"/>
    <w:rPr>
      <w:rFonts w:eastAsiaTheme="minorHAnsi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120FE"/>
    <w:rPr>
      <w:b/>
      <w:bCs/>
      <w:sz w:val="20"/>
      <w:szCs w:val="20"/>
    </w:rPr>
  </w:style>
  <w:style w:type="table" w:customStyle="1" w:styleId="LightShading2">
    <w:name w:val="Light Shading2"/>
    <w:basedOn w:val="TableNormal"/>
    <w:next w:val="LightShading"/>
    <w:uiPriority w:val="60"/>
    <w:rsid w:val="009120F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basedOn w:val="DefaultParagraphFont"/>
    <w:uiPriority w:val="22"/>
    <w:qFormat/>
    <w:rsid w:val="009120FE"/>
    <w:rPr>
      <w:b/>
      <w:bCs/>
    </w:rPr>
  </w:style>
  <w:style w:type="character" w:customStyle="1" w:styleId="longtext1">
    <w:name w:val="long_text1"/>
    <w:rsid w:val="009120FE"/>
    <w:rPr>
      <w:sz w:val="20"/>
      <w:szCs w:val="20"/>
    </w:rPr>
  </w:style>
  <w:style w:type="paragraph" w:customStyle="1" w:styleId="fixedtext">
    <w:name w:val="fixedtext"/>
    <w:basedOn w:val="Normal"/>
    <w:rsid w:val="0091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CM14">
    <w:name w:val="CM14"/>
    <w:basedOn w:val="Normal"/>
    <w:next w:val="Normal"/>
    <w:uiPriority w:val="99"/>
    <w:rsid w:val="009120FE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sz w:val="24"/>
      <w:szCs w:val="24"/>
      <w:lang w:bidi="fa-IR"/>
    </w:rPr>
  </w:style>
  <w:style w:type="character" w:customStyle="1" w:styleId="citation-doi">
    <w:name w:val="citation-doi"/>
    <w:basedOn w:val="DefaultParagraphFont"/>
    <w:rsid w:val="009120FE"/>
  </w:style>
  <w:style w:type="paragraph" w:styleId="HTMLPreformatted">
    <w:name w:val="HTML Preformatted"/>
    <w:basedOn w:val="Normal"/>
    <w:link w:val="HTMLPreformattedChar"/>
    <w:uiPriority w:val="99"/>
    <w:unhideWhenUsed/>
    <w:rsid w:val="00912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20F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0FE"/>
  </w:style>
  <w:style w:type="paragraph" w:styleId="Heading1">
    <w:name w:val="heading 1"/>
    <w:basedOn w:val="Normal"/>
    <w:link w:val="Heading1Char"/>
    <w:uiPriority w:val="9"/>
    <w:qFormat/>
    <w:rsid w:val="0091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0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FE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20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EndNoteBibliographyTitle">
    <w:name w:val="EndNote Bibliography Title"/>
    <w:basedOn w:val="Normal"/>
    <w:link w:val="EndNoteBibliographyTitleChar"/>
    <w:rsid w:val="009120F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120FE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120FE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120FE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9120F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120FE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20FE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9120FE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9120FE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9120F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9120F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0FE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9120FE"/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9120FE"/>
  </w:style>
  <w:style w:type="paragraph" w:styleId="FootnoteText">
    <w:name w:val="footnote text"/>
    <w:basedOn w:val="Normal"/>
    <w:link w:val="FootnoteTextChar"/>
    <w:semiHidden/>
    <w:rsid w:val="00912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20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120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120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ghtGrid-Accent61">
    <w:name w:val="Light Grid - Accent 61"/>
    <w:basedOn w:val="TableNormal"/>
    <w:next w:val="LightGrid-Accent6"/>
    <w:uiPriority w:val="62"/>
    <w:rsid w:val="009120FE"/>
    <w:pPr>
      <w:spacing w:after="0" w:line="240" w:lineRule="auto"/>
    </w:pPr>
    <w:rPr>
      <w:rFonts w:eastAsia="Calibri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9120F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9120FE"/>
    <w:pPr>
      <w:spacing w:after="0" w:line="240" w:lineRule="auto"/>
    </w:pPr>
    <w:rPr>
      <w:rFonts w:eastAsia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9120F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9120F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next w:val="NoSpacing"/>
    <w:uiPriority w:val="1"/>
    <w:qFormat/>
    <w:rsid w:val="009120FE"/>
    <w:pPr>
      <w:bidi/>
      <w:spacing w:after="0" w:line="240" w:lineRule="auto"/>
    </w:pPr>
    <w:rPr>
      <w:rFonts w:eastAsia="Calibri" w:cs="B Nazanin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9120F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9120FE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9120F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0FE"/>
    <w:rPr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9120F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1-Accent6">
    <w:name w:val="Medium List 1 Accent 6"/>
    <w:basedOn w:val="TableNormal"/>
    <w:uiPriority w:val="65"/>
    <w:rsid w:val="009120FE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ghtShading-Accent2">
    <w:name w:val="Light Shading Accent 2"/>
    <w:basedOn w:val="TableNormal"/>
    <w:uiPriority w:val="60"/>
    <w:rsid w:val="009120FE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">
    <w:name w:val="Light Shading"/>
    <w:basedOn w:val="TableNormal"/>
    <w:uiPriority w:val="60"/>
    <w:rsid w:val="009120FE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9120F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20FE"/>
    <w:pPr>
      <w:spacing w:after="0" w:line="240" w:lineRule="auto"/>
    </w:pPr>
    <w:rPr>
      <w:rFonts w:eastAsiaTheme="minorEastAsia"/>
    </w:rPr>
  </w:style>
  <w:style w:type="character" w:customStyle="1" w:styleId="BalloonTextChar1">
    <w:name w:val="Balloon Text Char1"/>
    <w:basedOn w:val="DefaultParagraphFont"/>
    <w:uiPriority w:val="99"/>
    <w:semiHidden/>
    <w:rsid w:val="009120F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0FE"/>
    <w:rPr>
      <w:rFonts w:eastAsiaTheme="minorHAnsi"/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120FE"/>
    <w:rPr>
      <w:b/>
      <w:bCs/>
      <w:sz w:val="20"/>
      <w:szCs w:val="20"/>
    </w:rPr>
  </w:style>
  <w:style w:type="table" w:customStyle="1" w:styleId="LightShading2">
    <w:name w:val="Light Shading2"/>
    <w:basedOn w:val="TableNormal"/>
    <w:next w:val="LightShading"/>
    <w:uiPriority w:val="60"/>
    <w:rsid w:val="009120F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Strong">
    <w:name w:val="Strong"/>
    <w:basedOn w:val="DefaultParagraphFont"/>
    <w:uiPriority w:val="22"/>
    <w:qFormat/>
    <w:rsid w:val="009120FE"/>
    <w:rPr>
      <w:b/>
      <w:bCs/>
    </w:rPr>
  </w:style>
  <w:style w:type="character" w:customStyle="1" w:styleId="longtext1">
    <w:name w:val="long_text1"/>
    <w:rsid w:val="009120FE"/>
    <w:rPr>
      <w:sz w:val="20"/>
      <w:szCs w:val="20"/>
    </w:rPr>
  </w:style>
  <w:style w:type="paragraph" w:customStyle="1" w:styleId="fixedtext">
    <w:name w:val="fixedtext"/>
    <w:basedOn w:val="Normal"/>
    <w:rsid w:val="0091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CM14">
    <w:name w:val="CM14"/>
    <w:basedOn w:val="Normal"/>
    <w:next w:val="Normal"/>
    <w:uiPriority w:val="99"/>
    <w:rsid w:val="009120FE"/>
    <w:pPr>
      <w:widowControl w:val="0"/>
      <w:autoSpaceDE w:val="0"/>
      <w:autoSpaceDN w:val="0"/>
      <w:adjustRightInd w:val="0"/>
      <w:spacing w:after="240" w:line="240" w:lineRule="auto"/>
    </w:pPr>
    <w:rPr>
      <w:rFonts w:ascii="Arial" w:eastAsia="Times New Roman" w:hAnsi="Arial" w:cs="Arial"/>
      <w:sz w:val="24"/>
      <w:szCs w:val="24"/>
      <w:lang w:bidi="fa-IR"/>
    </w:rPr>
  </w:style>
  <w:style w:type="character" w:customStyle="1" w:styleId="citation-doi">
    <w:name w:val="citation-doi"/>
    <w:basedOn w:val="DefaultParagraphFont"/>
    <w:rsid w:val="009120FE"/>
  </w:style>
  <w:style w:type="paragraph" w:styleId="HTMLPreformatted">
    <w:name w:val="HTML Preformatted"/>
    <w:basedOn w:val="Normal"/>
    <w:link w:val="HTMLPreformattedChar"/>
    <w:uiPriority w:val="99"/>
    <w:unhideWhenUsed/>
    <w:rsid w:val="00912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20F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2021-09-20T12:19:00Z</dcterms:created>
  <dcterms:modified xsi:type="dcterms:W3CDTF">2021-09-20T12:24:00Z</dcterms:modified>
</cp:coreProperties>
</file>