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D157E" w14:textId="5E262A3C" w:rsidR="00AB1D60" w:rsidRPr="009E247E" w:rsidRDefault="007D2D01">
      <w:pPr>
        <w:rPr>
          <w:rFonts w:ascii="Times New Roman" w:hAnsi="Times New Roman" w:cs="Times New Roman"/>
          <w:b/>
          <w:bCs/>
        </w:rPr>
      </w:pPr>
      <w:r w:rsidRPr="009E247E">
        <w:rPr>
          <w:rFonts w:ascii="Times New Roman" w:hAnsi="Times New Roman" w:cs="Times New Roman"/>
          <w:b/>
          <w:bCs/>
        </w:rPr>
        <w:t>Table 1. OBE-guided BOPPPS teaching protocol for Traditional Chinese Medicine (TCM) nursing techniques (using constipation as an example, total 25 credit hours)</w:t>
      </w:r>
    </w:p>
    <w:tbl>
      <w:tblPr>
        <w:tblStyle w:val="af2"/>
        <w:tblW w:w="14743" w:type="dxa"/>
        <w:tblInd w:w="-431" w:type="dxa"/>
        <w:tblLook w:val="04A0" w:firstRow="1" w:lastRow="0" w:firstColumn="1" w:lastColumn="0" w:noHBand="0" w:noVBand="1"/>
      </w:tblPr>
      <w:tblGrid>
        <w:gridCol w:w="1533"/>
        <w:gridCol w:w="2187"/>
        <w:gridCol w:w="4481"/>
        <w:gridCol w:w="2512"/>
        <w:gridCol w:w="2206"/>
        <w:gridCol w:w="1824"/>
      </w:tblGrid>
      <w:tr w:rsidR="00B62228" w:rsidRPr="00B62228" w14:paraId="6979D016" w14:textId="77777777" w:rsidTr="00B62228">
        <w:trPr>
          <w:trHeight w:val="828"/>
        </w:trPr>
        <w:tc>
          <w:tcPr>
            <w:tcW w:w="1533" w:type="dxa"/>
            <w:shd w:val="clear" w:color="auto" w:fill="E2EFD9" w:themeFill="accent6" w:themeFillTint="33"/>
          </w:tcPr>
          <w:p w14:paraId="4652CAE7" w14:textId="319F7D8B" w:rsidR="007D2D01" w:rsidRPr="00B62228" w:rsidRDefault="007D2D01" w:rsidP="00B62228">
            <w:pPr>
              <w:rPr>
                <w:rFonts w:ascii="Times New Roman" w:hAnsi="Times New Roman" w:cs="Times New Roman"/>
                <w:b/>
                <w:bCs/>
                <w:szCs w:val="22"/>
              </w:rPr>
            </w:pPr>
            <w:r w:rsidRPr="00B62228">
              <w:rPr>
                <w:rFonts w:ascii="Times New Roman" w:hAnsi="Times New Roman" w:cs="Times New Roman"/>
                <w:b/>
                <w:bCs/>
                <w:szCs w:val="22"/>
              </w:rPr>
              <w:t>Phase</w:t>
            </w:r>
          </w:p>
        </w:tc>
        <w:tc>
          <w:tcPr>
            <w:tcW w:w="2187" w:type="dxa"/>
            <w:shd w:val="clear" w:color="auto" w:fill="E2EFD9" w:themeFill="accent6" w:themeFillTint="33"/>
          </w:tcPr>
          <w:p w14:paraId="713EC9AA" w14:textId="51629CB0" w:rsidR="007D2D01" w:rsidRPr="00B62228" w:rsidRDefault="007D2D01" w:rsidP="00B62228">
            <w:pPr>
              <w:rPr>
                <w:rFonts w:ascii="Times New Roman" w:hAnsi="Times New Roman" w:cs="Times New Roman"/>
                <w:szCs w:val="22"/>
              </w:rPr>
            </w:pPr>
            <w:r w:rsidRPr="00B62228">
              <w:rPr>
                <w:rFonts w:ascii="Times New Roman" w:hAnsi="Times New Roman" w:cs="Times New Roman"/>
                <w:b/>
                <w:bCs/>
                <w:szCs w:val="22"/>
              </w:rPr>
              <w:t>Time Allocation</w:t>
            </w:r>
          </w:p>
        </w:tc>
        <w:tc>
          <w:tcPr>
            <w:tcW w:w="4481" w:type="dxa"/>
            <w:shd w:val="clear" w:color="auto" w:fill="E2EFD9" w:themeFill="accent6" w:themeFillTint="33"/>
          </w:tcPr>
          <w:p w14:paraId="10CB6CE8" w14:textId="432D6F7C" w:rsidR="007D2D01" w:rsidRPr="00B62228" w:rsidRDefault="007D2D01" w:rsidP="00B62228">
            <w:pPr>
              <w:rPr>
                <w:rFonts w:ascii="Times New Roman" w:hAnsi="Times New Roman" w:cs="Times New Roman"/>
                <w:szCs w:val="22"/>
              </w:rPr>
            </w:pPr>
            <w:r w:rsidRPr="00B62228">
              <w:rPr>
                <w:rFonts w:ascii="Times New Roman" w:hAnsi="Times New Roman" w:cs="Times New Roman"/>
                <w:b/>
                <w:bCs/>
                <w:szCs w:val="22"/>
              </w:rPr>
              <w:t>Implementation Steps</w:t>
            </w:r>
          </w:p>
        </w:tc>
        <w:tc>
          <w:tcPr>
            <w:tcW w:w="2512" w:type="dxa"/>
            <w:shd w:val="clear" w:color="auto" w:fill="E2EFD9" w:themeFill="accent6" w:themeFillTint="33"/>
          </w:tcPr>
          <w:p w14:paraId="671DB45B" w14:textId="76C7830D" w:rsidR="007D2D01" w:rsidRPr="00B62228" w:rsidRDefault="007D2D01" w:rsidP="00B62228">
            <w:pPr>
              <w:rPr>
                <w:rFonts w:ascii="Times New Roman" w:hAnsi="Times New Roman" w:cs="Times New Roman"/>
                <w:szCs w:val="22"/>
              </w:rPr>
            </w:pPr>
            <w:r w:rsidRPr="00B62228">
              <w:rPr>
                <w:rFonts w:ascii="Times New Roman" w:hAnsi="Times New Roman" w:cs="Times New Roman"/>
                <w:b/>
                <w:bCs/>
                <w:szCs w:val="22"/>
              </w:rPr>
              <w:t>Rationale &amp; Significance</w:t>
            </w:r>
          </w:p>
        </w:tc>
        <w:tc>
          <w:tcPr>
            <w:tcW w:w="2206" w:type="dxa"/>
            <w:shd w:val="clear" w:color="auto" w:fill="E2EFD9" w:themeFill="accent6" w:themeFillTint="33"/>
          </w:tcPr>
          <w:p w14:paraId="799CEA1C" w14:textId="3CAC46F2" w:rsidR="007D2D01" w:rsidRPr="00B62228" w:rsidRDefault="007D2D01" w:rsidP="00B62228">
            <w:pPr>
              <w:rPr>
                <w:rFonts w:ascii="Times New Roman" w:hAnsi="Times New Roman" w:cs="Times New Roman"/>
                <w:szCs w:val="22"/>
              </w:rPr>
            </w:pPr>
            <w:r w:rsidRPr="00B62228">
              <w:rPr>
                <w:rFonts w:ascii="Times New Roman" w:hAnsi="Times New Roman" w:cs="Times New Roman"/>
                <w:b/>
                <w:bCs/>
                <w:szCs w:val="22"/>
              </w:rPr>
              <w:t>Teaching Methods</w:t>
            </w:r>
          </w:p>
        </w:tc>
        <w:tc>
          <w:tcPr>
            <w:tcW w:w="1824" w:type="dxa"/>
            <w:shd w:val="clear" w:color="auto" w:fill="E2EFD9" w:themeFill="accent6" w:themeFillTint="33"/>
          </w:tcPr>
          <w:p w14:paraId="13CE3953" w14:textId="05CB35CA" w:rsidR="007D2D01" w:rsidRPr="00B62228" w:rsidRDefault="007D2D01" w:rsidP="00B62228">
            <w:pPr>
              <w:rPr>
                <w:rFonts w:ascii="Times New Roman" w:hAnsi="Times New Roman" w:cs="Times New Roman"/>
                <w:szCs w:val="22"/>
              </w:rPr>
            </w:pPr>
            <w:r w:rsidRPr="00B62228">
              <w:rPr>
                <w:rFonts w:ascii="Times New Roman" w:hAnsi="Times New Roman" w:cs="Times New Roman"/>
                <w:b/>
                <w:bCs/>
                <w:szCs w:val="22"/>
              </w:rPr>
              <w:t>Evaluation Metrics</w:t>
            </w:r>
          </w:p>
        </w:tc>
      </w:tr>
      <w:tr w:rsidR="00B62228" w:rsidRPr="00B62228" w14:paraId="3FE98F67" w14:textId="77777777" w:rsidTr="00B62228">
        <w:trPr>
          <w:trHeight w:val="2941"/>
        </w:trPr>
        <w:tc>
          <w:tcPr>
            <w:tcW w:w="1533" w:type="dxa"/>
          </w:tcPr>
          <w:p w14:paraId="0130B8E8" w14:textId="56D4AB02" w:rsidR="007D2D01" w:rsidRPr="00B62228" w:rsidRDefault="007D2D01" w:rsidP="00B62228">
            <w:pPr>
              <w:rPr>
                <w:rFonts w:ascii="Times New Roman" w:hAnsi="Times New Roman" w:cs="Times New Roman"/>
                <w:b/>
                <w:bCs/>
                <w:szCs w:val="22"/>
              </w:rPr>
            </w:pPr>
            <w:r w:rsidRPr="00B62228">
              <w:rPr>
                <w:rFonts w:ascii="Times New Roman" w:hAnsi="Times New Roman" w:cs="Times New Roman"/>
                <w:b/>
                <w:bCs/>
                <w:szCs w:val="22"/>
              </w:rPr>
              <w:t>Bridge-in (B)</w:t>
            </w:r>
          </w:p>
        </w:tc>
        <w:tc>
          <w:tcPr>
            <w:tcW w:w="2187" w:type="dxa"/>
          </w:tcPr>
          <w:p w14:paraId="453258C0" w14:textId="219D3837"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5~10 mins</w:t>
            </w:r>
          </w:p>
        </w:tc>
        <w:tc>
          <w:tcPr>
            <w:tcW w:w="4481" w:type="dxa"/>
          </w:tcPr>
          <w:p w14:paraId="378387A2" w14:textId="5DB012BB"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 xml:space="preserve">Establish a </w:t>
            </w:r>
            <w:proofErr w:type="spellStart"/>
            <w:r w:rsidRPr="00B62228">
              <w:rPr>
                <w:rFonts w:ascii="Times New Roman" w:hAnsi="Times New Roman" w:cs="Times New Roman"/>
                <w:szCs w:val="22"/>
              </w:rPr>
              <w:t>DingTalk</w:t>
            </w:r>
            <w:proofErr w:type="spellEnd"/>
            <w:r w:rsidRPr="00B62228">
              <w:rPr>
                <w:rFonts w:ascii="Times New Roman" w:hAnsi="Times New Roman" w:cs="Times New Roman"/>
                <w:szCs w:val="22"/>
              </w:rPr>
              <w:t xml:space="preserve"> (an enterprise communication app) group. The teaching team leader posts classic medical cases related to the teaching content. For example, when teaching syndrome differentiation of constipation, an animated video titled “Adventures of the Poop Boat” is created to vividly explain the etiology and pathogenesis of different constipation syndromes.</w:t>
            </w:r>
          </w:p>
        </w:tc>
        <w:tc>
          <w:tcPr>
            <w:tcW w:w="2512" w:type="dxa"/>
          </w:tcPr>
          <w:p w14:paraId="4BF7148A" w14:textId="25E3FF89"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Provides a “gamified + scenario-based” learning experience, preventing inefficient online learning due to overwhelming pre-study materials.</w:t>
            </w:r>
          </w:p>
        </w:tc>
        <w:tc>
          <w:tcPr>
            <w:tcW w:w="2206" w:type="dxa"/>
          </w:tcPr>
          <w:p w14:paraId="60DBBEEF" w14:textId="6469D58E"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 xml:space="preserve">Online learning: </w:t>
            </w:r>
            <w:proofErr w:type="spellStart"/>
            <w:r w:rsidRPr="00B62228">
              <w:rPr>
                <w:rFonts w:ascii="Times New Roman" w:hAnsi="Times New Roman" w:cs="Times New Roman"/>
                <w:szCs w:val="22"/>
              </w:rPr>
              <w:t>DingTalk</w:t>
            </w:r>
            <w:proofErr w:type="spellEnd"/>
            <w:r w:rsidRPr="00B62228">
              <w:rPr>
                <w:rFonts w:ascii="Times New Roman" w:hAnsi="Times New Roman" w:cs="Times New Roman"/>
                <w:szCs w:val="22"/>
              </w:rPr>
              <w:t xml:space="preserve"> live broadcast + playback</w:t>
            </w:r>
          </w:p>
        </w:tc>
        <w:tc>
          <w:tcPr>
            <w:tcW w:w="1824" w:type="dxa"/>
          </w:tcPr>
          <w:p w14:paraId="6938B7A1" w14:textId="1B687E13"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Video completion rate, number of live comments (</w:t>
            </w:r>
            <w:proofErr w:type="spellStart"/>
            <w:r w:rsidRPr="00B62228">
              <w:rPr>
                <w:rFonts w:ascii="Times New Roman" w:hAnsi="Times New Roman" w:cs="Times New Roman"/>
                <w:szCs w:val="22"/>
              </w:rPr>
              <w:t>danmu</w:t>
            </w:r>
            <w:proofErr w:type="spellEnd"/>
            <w:r w:rsidRPr="00B62228">
              <w:rPr>
                <w:rFonts w:ascii="Times New Roman" w:hAnsi="Times New Roman" w:cs="Times New Roman"/>
                <w:szCs w:val="22"/>
              </w:rPr>
              <w:t>).</w:t>
            </w:r>
          </w:p>
        </w:tc>
      </w:tr>
      <w:tr w:rsidR="00B62228" w:rsidRPr="00B62228" w14:paraId="5487F21B" w14:textId="77777777" w:rsidTr="00B62228">
        <w:trPr>
          <w:trHeight w:val="416"/>
        </w:trPr>
        <w:tc>
          <w:tcPr>
            <w:tcW w:w="1533" w:type="dxa"/>
            <w:shd w:val="clear" w:color="auto" w:fill="C5E0B3" w:themeFill="accent6" w:themeFillTint="66"/>
          </w:tcPr>
          <w:p w14:paraId="7E2F3C2E" w14:textId="7DF7C784" w:rsidR="007D2D01" w:rsidRPr="00B62228" w:rsidRDefault="007D2D01" w:rsidP="00B62228">
            <w:pPr>
              <w:rPr>
                <w:rFonts w:ascii="Times New Roman" w:hAnsi="Times New Roman" w:cs="Times New Roman"/>
                <w:b/>
                <w:bCs/>
                <w:szCs w:val="22"/>
              </w:rPr>
            </w:pPr>
            <w:r w:rsidRPr="00B62228">
              <w:rPr>
                <w:rFonts w:ascii="Times New Roman" w:hAnsi="Times New Roman" w:cs="Times New Roman"/>
                <w:b/>
                <w:bCs/>
                <w:szCs w:val="22"/>
              </w:rPr>
              <w:t>Objective (O)</w:t>
            </w:r>
          </w:p>
        </w:tc>
        <w:tc>
          <w:tcPr>
            <w:tcW w:w="2187" w:type="dxa"/>
            <w:shd w:val="clear" w:color="auto" w:fill="C5E0B3" w:themeFill="accent6" w:themeFillTint="66"/>
          </w:tcPr>
          <w:p w14:paraId="7524A1C6" w14:textId="5890EC2D"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5~10 mins before online training</w:t>
            </w:r>
          </w:p>
        </w:tc>
        <w:tc>
          <w:tcPr>
            <w:tcW w:w="4481" w:type="dxa"/>
            <w:shd w:val="clear" w:color="auto" w:fill="C5E0B3" w:themeFill="accent6" w:themeFillTint="66"/>
          </w:tcPr>
          <w:p w14:paraId="195F2CE2" w14:textId="570B208B"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 xml:space="preserve">Weekly objectives are posted via the </w:t>
            </w:r>
            <w:proofErr w:type="spellStart"/>
            <w:r w:rsidRPr="00B62228">
              <w:rPr>
                <w:rFonts w:ascii="Times New Roman" w:hAnsi="Times New Roman" w:cs="Times New Roman"/>
                <w:szCs w:val="22"/>
              </w:rPr>
              <w:t>DingTalk</w:t>
            </w:r>
            <w:proofErr w:type="spellEnd"/>
            <w:r w:rsidRPr="00B62228">
              <w:rPr>
                <w:rFonts w:ascii="Times New Roman" w:hAnsi="Times New Roman" w:cs="Times New Roman"/>
                <w:szCs w:val="22"/>
              </w:rPr>
              <w:t xml:space="preserve"> group. </w:t>
            </w:r>
            <w:r w:rsidRPr="00B62228">
              <w:rPr>
                <w:rFonts w:ascii="Times New Roman" w:hAnsi="Times New Roman" w:cs="Times New Roman"/>
                <w:b/>
                <w:bCs/>
                <w:szCs w:val="22"/>
              </w:rPr>
              <w:t>1. Knowledge objective:</w:t>
            </w:r>
            <w:r w:rsidRPr="00B62228">
              <w:rPr>
                <w:rFonts w:ascii="Times New Roman" w:hAnsi="Times New Roman" w:cs="Times New Roman"/>
                <w:szCs w:val="22"/>
              </w:rPr>
              <w:t> Describe the etiology, pathogenesis, and TCM syndromes of constipation. </w:t>
            </w:r>
            <w:r w:rsidRPr="00B62228">
              <w:rPr>
                <w:rFonts w:ascii="Times New Roman" w:hAnsi="Times New Roman" w:cs="Times New Roman"/>
                <w:b/>
                <w:bCs/>
                <w:szCs w:val="22"/>
              </w:rPr>
              <w:t>2. Skill objective:</w:t>
            </w:r>
            <w:r w:rsidRPr="00B62228">
              <w:rPr>
                <w:rFonts w:ascii="Times New Roman" w:hAnsi="Times New Roman" w:cs="Times New Roman"/>
                <w:szCs w:val="22"/>
              </w:rPr>
              <w:t> Utilizing the “four diagnostic methods” (inspection, auscultation/olfaction, inquiry, palpation), correctly identify the TCM syndrome of constipation and apply the appropriate TCM techniques. </w:t>
            </w:r>
            <w:r w:rsidRPr="00B62228">
              <w:rPr>
                <w:rFonts w:ascii="Times New Roman" w:hAnsi="Times New Roman" w:cs="Times New Roman"/>
                <w:b/>
                <w:bCs/>
                <w:szCs w:val="22"/>
              </w:rPr>
              <w:t>3. Attitude objective:</w:t>
            </w:r>
            <w:r w:rsidRPr="00B62228">
              <w:rPr>
                <w:rFonts w:ascii="Times New Roman" w:hAnsi="Times New Roman" w:cs="Times New Roman"/>
                <w:szCs w:val="22"/>
              </w:rPr>
              <w:t xml:space="preserve"> Enhance nurses’ confidence in implementing TCM nursing techniques for patients with </w:t>
            </w:r>
            <w:r w:rsidRPr="00B62228">
              <w:rPr>
                <w:rFonts w:ascii="Times New Roman" w:hAnsi="Times New Roman" w:cs="Times New Roman"/>
                <w:szCs w:val="22"/>
              </w:rPr>
              <w:lastRenderedPageBreak/>
              <w:t>constipation.</w:t>
            </w:r>
          </w:p>
        </w:tc>
        <w:tc>
          <w:tcPr>
            <w:tcW w:w="2512" w:type="dxa"/>
            <w:shd w:val="clear" w:color="auto" w:fill="C5E0B3" w:themeFill="accent6" w:themeFillTint="66"/>
          </w:tcPr>
          <w:p w14:paraId="734988A1" w14:textId="52820A7C"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lastRenderedPageBreak/>
              <w:t xml:space="preserve">These session-specific objectives are strictly mapped to the </w:t>
            </w:r>
            <w:proofErr w:type="gramStart"/>
            <w:r w:rsidRPr="00B62228">
              <w:rPr>
                <w:rFonts w:ascii="Times New Roman" w:hAnsi="Times New Roman" w:cs="Times New Roman"/>
                <w:szCs w:val="22"/>
              </w:rPr>
              <w:t>macro Outcome</w:t>
            </w:r>
            <w:proofErr w:type="gramEnd"/>
            <w:r w:rsidRPr="00B62228">
              <w:rPr>
                <w:rFonts w:ascii="Times New Roman" w:hAnsi="Times New Roman" w:cs="Times New Roman"/>
                <w:szCs w:val="22"/>
              </w:rPr>
              <w:t xml:space="preserve">-Based Education (OBE) competency requirements derived from the Phase 1 baseline assessment; clear, tiered goals (knowledge, skill, attitude) allow trainees to </w:t>
            </w:r>
            <w:r w:rsidRPr="00B62228">
              <w:rPr>
                <w:rFonts w:ascii="Times New Roman" w:hAnsi="Times New Roman" w:cs="Times New Roman"/>
                <w:szCs w:val="22"/>
              </w:rPr>
              <w:lastRenderedPageBreak/>
              <w:t>study with purpose.</w:t>
            </w:r>
          </w:p>
        </w:tc>
        <w:tc>
          <w:tcPr>
            <w:tcW w:w="2206" w:type="dxa"/>
            <w:shd w:val="clear" w:color="auto" w:fill="C5E0B3" w:themeFill="accent6" w:themeFillTint="66"/>
          </w:tcPr>
          <w:p w14:paraId="670B80F9" w14:textId="424CC02D"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lastRenderedPageBreak/>
              <w:t>Online learning</w:t>
            </w:r>
          </w:p>
        </w:tc>
        <w:tc>
          <w:tcPr>
            <w:tcW w:w="1824" w:type="dxa"/>
            <w:shd w:val="clear" w:color="auto" w:fill="C5E0B3" w:themeFill="accent6" w:themeFillTint="66"/>
          </w:tcPr>
          <w:p w14:paraId="3F5FAD4B" w14:textId="6F8E9870"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Viewership and completion rate.</w:t>
            </w:r>
          </w:p>
        </w:tc>
      </w:tr>
      <w:tr w:rsidR="00B62228" w:rsidRPr="00B62228" w14:paraId="1461B9EB" w14:textId="77777777" w:rsidTr="00B62228">
        <w:trPr>
          <w:trHeight w:val="828"/>
        </w:trPr>
        <w:tc>
          <w:tcPr>
            <w:tcW w:w="1533" w:type="dxa"/>
          </w:tcPr>
          <w:p w14:paraId="7E5FEA2B" w14:textId="7F4E752A" w:rsidR="007D2D01" w:rsidRPr="00B62228" w:rsidRDefault="007D2D01" w:rsidP="00B62228">
            <w:pPr>
              <w:rPr>
                <w:rFonts w:ascii="Times New Roman" w:hAnsi="Times New Roman" w:cs="Times New Roman"/>
                <w:b/>
                <w:bCs/>
                <w:szCs w:val="22"/>
              </w:rPr>
            </w:pPr>
            <w:r w:rsidRPr="00B62228">
              <w:rPr>
                <w:rFonts w:ascii="Times New Roman" w:hAnsi="Times New Roman" w:cs="Times New Roman"/>
                <w:b/>
                <w:bCs/>
                <w:szCs w:val="22"/>
              </w:rPr>
              <w:t>Pre-assessment (P)</w:t>
            </w:r>
          </w:p>
        </w:tc>
        <w:tc>
          <w:tcPr>
            <w:tcW w:w="2187" w:type="dxa"/>
          </w:tcPr>
          <w:p w14:paraId="40A77732" w14:textId="3D1A2DDA"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5~10 mins, 1 week before training</w:t>
            </w:r>
          </w:p>
        </w:tc>
        <w:tc>
          <w:tcPr>
            <w:tcW w:w="4481" w:type="dxa"/>
          </w:tcPr>
          <w:p w14:paraId="73949180" w14:textId="21C66D48"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An online quiz is used to assess trainees’ baseline knowledge and understanding of TCM theories and skills. Weaknesses identified serve as key teaching points. The teaching team adjusts the teaching content promptly based on these results.</w:t>
            </w:r>
          </w:p>
        </w:tc>
        <w:tc>
          <w:tcPr>
            <w:tcW w:w="2512" w:type="dxa"/>
          </w:tcPr>
          <w:p w14:paraId="259EE1A0" w14:textId="049C0A2B"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Assesses the cohort’s baseline mastery, allows real-time adjustment of teaching focus, and stimulates trainees’ TCM clinical thinking.</w:t>
            </w:r>
          </w:p>
        </w:tc>
        <w:tc>
          <w:tcPr>
            <w:tcW w:w="2206" w:type="dxa"/>
          </w:tcPr>
          <w:p w14:paraId="5B426FFF" w14:textId="031F3257"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 xml:space="preserve">Online quiz via </w:t>
            </w:r>
            <w:proofErr w:type="spellStart"/>
            <w:r w:rsidRPr="00B62228">
              <w:rPr>
                <w:rFonts w:ascii="Times New Roman" w:hAnsi="Times New Roman" w:cs="Times New Roman"/>
                <w:szCs w:val="22"/>
              </w:rPr>
              <w:t>Wenjuanxing</w:t>
            </w:r>
            <w:proofErr w:type="spellEnd"/>
            <w:r w:rsidRPr="00B62228">
              <w:rPr>
                <w:rFonts w:ascii="Times New Roman" w:hAnsi="Times New Roman" w:cs="Times New Roman"/>
                <w:szCs w:val="22"/>
              </w:rPr>
              <w:t xml:space="preserve"> platform (5 questions).</w:t>
            </w:r>
          </w:p>
        </w:tc>
        <w:tc>
          <w:tcPr>
            <w:tcW w:w="1824" w:type="dxa"/>
          </w:tcPr>
          <w:p w14:paraId="1ECF5E4F" w14:textId="6AA3BD04" w:rsidR="007D2D01" w:rsidRPr="00B62228" w:rsidRDefault="007D2D01" w:rsidP="00B62228">
            <w:pPr>
              <w:rPr>
                <w:rFonts w:ascii="Times New Roman" w:hAnsi="Times New Roman" w:cs="Times New Roman"/>
                <w:szCs w:val="22"/>
              </w:rPr>
            </w:pPr>
            <w:r w:rsidRPr="00B62228">
              <w:rPr>
                <w:rFonts w:ascii="Times New Roman" w:hAnsi="Times New Roman" w:cs="Times New Roman"/>
                <w:szCs w:val="22"/>
              </w:rPr>
              <w:t>Exam completion rate, scores.</w:t>
            </w:r>
          </w:p>
        </w:tc>
      </w:tr>
      <w:tr w:rsidR="00B62228" w:rsidRPr="00B62228" w14:paraId="14C7541B" w14:textId="77777777" w:rsidTr="00B62228">
        <w:trPr>
          <w:trHeight w:val="828"/>
        </w:trPr>
        <w:tc>
          <w:tcPr>
            <w:tcW w:w="1533" w:type="dxa"/>
            <w:vMerge w:val="restart"/>
            <w:shd w:val="clear" w:color="auto" w:fill="C5E0B3" w:themeFill="accent6" w:themeFillTint="66"/>
          </w:tcPr>
          <w:p w14:paraId="04262F36" w14:textId="17C46DD6" w:rsidR="00B62228" w:rsidRPr="00B62228" w:rsidRDefault="00B62228" w:rsidP="00B62228">
            <w:pPr>
              <w:rPr>
                <w:rFonts w:ascii="Times New Roman" w:hAnsi="Times New Roman" w:cs="Times New Roman"/>
                <w:b/>
                <w:bCs/>
                <w:szCs w:val="22"/>
              </w:rPr>
            </w:pPr>
            <w:r w:rsidRPr="00B62228">
              <w:rPr>
                <w:rFonts w:ascii="Times New Roman" w:hAnsi="Times New Roman" w:cs="Times New Roman"/>
                <w:b/>
                <w:bCs/>
                <w:szCs w:val="22"/>
              </w:rPr>
              <w:t>Participatory Learning (P)</w:t>
            </w:r>
          </w:p>
        </w:tc>
        <w:tc>
          <w:tcPr>
            <w:tcW w:w="2187" w:type="dxa"/>
            <w:shd w:val="clear" w:color="auto" w:fill="C5E0B3" w:themeFill="accent6" w:themeFillTint="66"/>
          </w:tcPr>
          <w:p w14:paraId="47EDDEFE" w14:textId="60680824" w:rsidR="00B62228" w:rsidRPr="00B62228" w:rsidRDefault="00B62228" w:rsidP="00B62228">
            <w:pPr>
              <w:rPr>
                <w:rFonts w:ascii="Times New Roman" w:hAnsi="Times New Roman" w:cs="Times New Roman"/>
                <w:szCs w:val="22"/>
              </w:rPr>
            </w:pPr>
            <w:r w:rsidRPr="00B62228">
              <w:rPr>
                <w:rFonts w:ascii="Times New Roman" w:hAnsi="Times New Roman" w:cs="Times New Roman"/>
                <w:b/>
                <w:bCs/>
                <w:szCs w:val="22"/>
              </w:rPr>
              <w:t>Total 12 hours</w:t>
            </w:r>
            <w:r w:rsidRPr="00B62228">
              <w:rPr>
                <w:rFonts w:ascii="Times New Roman" w:hAnsi="Times New Roman" w:cs="Times New Roman"/>
                <w:b/>
                <w:bCs/>
                <w:szCs w:val="22"/>
              </w:rPr>
              <w:t>:</w:t>
            </w:r>
            <w:r w:rsidRPr="00B62228">
              <w:rPr>
                <w:rFonts w:ascii="Times New Roman" w:hAnsi="Times New Roman" w:cs="Times New Roman"/>
                <w:szCs w:val="22"/>
              </w:rPr>
              <w:t xml:space="preserve"> </w:t>
            </w:r>
            <w:r w:rsidRPr="00B62228">
              <w:rPr>
                <w:rFonts w:ascii="Times New Roman" w:hAnsi="Times New Roman" w:cs="Times New Roman"/>
                <w:szCs w:val="22"/>
              </w:rPr>
              <w:t>Lesson 1: Basic TCM Theory (Constipation as an example) </w:t>
            </w:r>
          </w:p>
        </w:tc>
        <w:tc>
          <w:tcPr>
            <w:tcW w:w="4481" w:type="dxa"/>
            <w:shd w:val="clear" w:color="auto" w:fill="C5E0B3" w:themeFill="accent6" w:themeFillTint="66"/>
          </w:tcPr>
          <w:p w14:paraId="0B908ED8" w14:textId="61979464"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 xml:space="preserve">Revolve around the Bridge-in case to introduce the Yin-Yang theory. Interact with trainees using a video (“Ink Dripping into Water”), diagrams of the Five Elements and Eight Trigrams, and health preservation concepts from the Huangdi </w:t>
            </w:r>
            <w:proofErr w:type="spellStart"/>
            <w:r w:rsidRPr="00B62228">
              <w:rPr>
                <w:rFonts w:ascii="Times New Roman" w:hAnsi="Times New Roman" w:cs="Times New Roman"/>
                <w:szCs w:val="22"/>
              </w:rPr>
              <w:t>Neijing</w:t>
            </w:r>
            <w:proofErr w:type="spellEnd"/>
            <w:r w:rsidRPr="00B62228">
              <w:rPr>
                <w:rFonts w:ascii="Times New Roman" w:hAnsi="Times New Roman" w:cs="Times New Roman"/>
                <w:szCs w:val="22"/>
              </w:rPr>
              <w:t> (Yellow Emperor’s Inner Canon). </w:t>
            </w:r>
            <w:r w:rsidRPr="00B62228">
              <w:rPr>
                <w:rFonts w:ascii="Times New Roman" w:hAnsi="Times New Roman" w:cs="Times New Roman"/>
                <w:b/>
                <w:bCs/>
                <w:szCs w:val="22"/>
              </w:rPr>
              <w:t xml:space="preserve">Case interaction (e.g., </w:t>
            </w:r>
            <w:proofErr w:type="gramStart"/>
            <w:r w:rsidRPr="00B62228">
              <w:rPr>
                <w:rFonts w:ascii="Times New Roman" w:hAnsi="Times New Roman" w:cs="Times New Roman"/>
                <w:b/>
                <w:bCs/>
                <w:szCs w:val="22"/>
              </w:rPr>
              <w:t>Post-operative</w:t>
            </w:r>
            <w:proofErr w:type="gramEnd"/>
            <w:r w:rsidRPr="00B62228">
              <w:rPr>
                <w:rFonts w:ascii="Times New Roman" w:hAnsi="Times New Roman" w:cs="Times New Roman"/>
                <w:b/>
                <w:bCs/>
                <w:szCs w:val="22"/>
              </w:rPr>
              <w:t xml:space="preserve"> intestinal paralysis):</w:t>
            </w:r>
            <w:r w:rsidRPr="00B62228">
              <w:rPr>
                <w:rFonts w:ascii="Times New Roman" w:hAnsi="Times New Roman" w:cs="Times New Roman"/>
                <w:szCs w:val="22"/>
              </w:rPr>
              <w:t> Yang deficiency leads to impaired Qi transformation → abdominal distension → warming Yang and promoting Qi; Severe Yin leads to non-dissipation of form → constipation → nourishing Yin and lubricating the intestines. Use a trainee currently experiencing constipation symptoms for on-site live syndrome differentiation and interactive Q&amp;A to facilitate the understanding of basic TCM concepts.</w:t>
            </w:r>
          </w:p>
        </w:tc>
        <w:tc>
          <w:tcPr>
            <w:tcW w:w="2512" w:type="dxa"/>
            <w:shd w:val="clear" w:color="auto" w:fill="C5E0B3" w:themeFill="accent6" w:themeFillTint="66"/>
          </w:tcPr>
          <w:p w14:paraId="43C49C68" w14:textId="5ABB6D58"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Stimulates interest in learning TCM techniques. Adopts a student-centered approach with immersive and real/simulated cases to help trainees empathize with patients’ states of mind, enhancing professional empathy.</w:t>
            </w:r>
          </w:p>
        </w:tc>
        <w:tc>
          <w:tcPr>
            <w:tcW w:w="2206" w:type="dxa"/>
            <w:shd w:val="clear" w:color="auto" w:fill="C5E0B3" w:themeFill="accent6" w:themeFillTint="66"/>
          </w:tcPr>
          <w:p w14:paraId="68B11480" w14:textId="714D144F"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PowerPoint presentations, videos, case studies, mind maps, real-time live demonstration of syndrome differentiation.</w:t>
            </w:r>
          </w:p>
        </w:tc>
        <w:tc>
          <w:tcPr>
            <w:tcW w:w="1824" w:type="dxa"/>
            <w:shd w:val="clear" w:color="auto" w:fill="C5E0B3" w:themeFill="accent6" w:themeFillTint="66"/>
          </w:tcPr>
          <w:p w14:paraId="6C6C60B8" w14:textId="360E1820"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Enthusiasm in answering questions, post-class quizzes.</w:t>
            </w:r>
          </w:p>
        </w:tc>
      </w:tr>
      <w:tr w:rsidR="00B62228" w:rsidRPr="00B62228" w14:paraId="6AACD875" w14:textId="77777777" w:rsidTr="00B62228">
        <w:trPr>
          <w:trHeight w:val="828"/>
        </w:trPr>
        <w:tc>
          <w:tcPr>
            <w:tcW w:w="1533" w:type="dxa"/>
            <w:vMerge/>
          </w:tcPr>
          <w:p w14:paraId="3DF23A98" w14:textId="77777777" w:rsidR="00B62228" w:rsidRPr="00B62228" w:rsidRDefault="00B62228" w:rsidP="00B62228">
            <w:pPr>
              <w:rPr>
                <w:rFonts w:ascii="Times New Roman" w:hAnsi="Times New Roman" w:cs="Times New Roman"/>
                <w:b/>
                <w:bCs/>
                <w:szCs w:val="22"/>
              </w:rPr>
            </w:pPr>
          </w:p>
        </w:tc>
        <w:tc>
          <w:tcPr>
            <w:tcW w:w="2187" w:type="dxa"/>
            <w:shd w:val="clear" w:color="auto" w:fill="C5E0B3" w:themeFill="accent6" w:themeFillTint="66"/>
          </w:tcPr>
          <w:p w14:paraId="10BEA832" w14:textId="1BD29BDB"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TCM Skill Operation: 4 hours</w:t>
            </w:r>
          </w:p>
        </w:tc>
        <w:tc>
          <w:tcPr>
            <w:tcW w:w="4481" w:type="dxa"/>
            <w:shd w:val="clear" w:color="auto" w:fill="C5E0B3" w:themeFill="accent6" w:themeFillTint="66"/>
          </w:tcPr>
          <w:p w14:paraId="7A713E3B" w14:textId="77777777" w:rsidR="00B62228" w:rsidRPr="00B62228" w:rsidRDefault="00B62228" w:rsidP="00B62228">
            <w:pPr>
              <w:rPr>
                <w:rFonts w:ascii="Times New Roman" w:hAnsi="Times New Roman" w:cs="Times New Roman"/>
                <w:szCs w:val="22"/>
              </w:rPr>
            </w:pPr>
            <w:r w:rsidRPr="00B62228">
              <w:rPr>
                <w:rFonts w:ascii="Times New Roman" w:hAnsi="Times New Roman" w:cs="Times New Roman"/>
                <w:b/>
                <w:bCs/>
                <w:szCs w:val="22"/>
              </w:rPr>
              <w:t>1. Acupoint Application:</w:t>
            </w:r>
            <w:r w:rsidRPr="00B62228">
              <w:rPr>
                <w:rFonts w:ascii="Times New Roman" w:hAnsi="Times New Roman" w:cs="Times New Roman"/>
                <w:szCs w:val="22"/>
              </w:rPr>
              <w:t> Introduced via the story of “</w:t>
            </w:r>
            <w:proofErr w:type="spellStart"/>
            <w:r w:rsidRPr="00B62228">
              <w:rPr>
                <w:rFonts w:ascii="Times New Roman" w:hAnsi="Times New Roman" w:cs="Times New Roman"/>
                <w:szCs w:val="22"/>
              </w:rPr>
              <w:t>Shennong</w:t>
            </w:r>
            <w:proofErr w:type="spellEnd"/>
            <w:r w:rsidRPr="00B62228">
              <w:rPr>
                <w:rFonts w:ascii="Times New Roman" w:hAnsi="Times New Roman" w:cs="Times New Roman"/>
                <w:szCs w:val="22"/>
              </w:rPr>
              <w:t xml:space="preserve"> tasting hundreds of herbs” to present the hospital’s prescribed TCM formulas for acupoint application. Real raw herbs are shown to teach meridian tropism (nature and flavor). Using meridian diagrams and the “Jiu </w:t>
            </w:r>
            <w:proofErr w:type="spellStart"/>
            <w:r w:rsidRPr="00B62228">
              <w:rPr>
                <w:rFonts w:ascii="Times New Roman" w:hAnsi="Times New Roman" w:cs="Times New Roman"/>
                <w:szCs w:val="22"/>
              </w:rPr>
              <w:t>Daifu</w:t>
            </w:r>
            <w:proofErr w:type="spellEnd"/>
            <w:r w:rsidRPr="00B62228">
              <w:rPr>
                <w:rFonts w:ascii="Times New Roman" w:hAnsi="Times New Roman" w:cs="Times New Roman"/>
                <w:szCs w:val="22"/>
              </w:rPr>
              <w:t>” app, acupoints and meridians are introduced. Trainees then pair up to locate acupoints on each other. The operation is demonstrated on the trainee from the real case above. </w:t>
            </w:r>
          </w:p>
          <w:p w14:paraId="7D474ADF" w14:textId="298F5309" w:rsidR="00B62228" w:rsidRPr="00B62228" w:rsidRDefault="00B62228" w:rsidP="00B62228">
            <w:pPr>
              <w:rPr>
                <w:rFonts w:ascii="Times New Roman" w:hAnsi="Times New Roman" w:cs="Times New Roman"/>
                <w:szCs w:val="22"/>
              </w:rPr>
            </w:pPr>
            <w:r w:rsidRPr="00B62228">
              <w:rPr>
                <w:rFonts w:ascii="Times New Roman" w:hAnsi="Times New Roman" w:cs="Times New Roman"/>
                <w:b/>
                <w:bCs/>
                <w:szCs w:val="22"/>
              </w:rPr>
              <w:t>2. Auricular Acupressure:</w:t>
            </w:r>
            <w:r w:rsidRPr="00B62228">
              <w:rPr>
                <w:rFonts w:ascii="Times New Roman" w:hAnsi="Times New Roman" w:cs="Times New Roman"/>
                <w:szCs w:val="22"/>
              </w:rPr>
              <w:t> Explain the origins to introduce point selection skills for different constipation syndromes. Deepen understanding by having trainees draw auricular models. Demonstrate the technique on a real case, followed by scenario simulations where trainees practice in pairs.</w:t>
            </w:r>
          </w:p>
        </w:tc>
        <w:tc>
          <w:tcPr>
            <w:tcW w:w="2512" w:type="dxa"/>
            <w:shd w:val="clear" w:color="auto" w:fill="C5E0B3" w:themeFill="accent6" w:themeFillTint="66"/>
          </w:tcPr>
          <w:p w14:paraId="33103C82" w14:textId="5D39806B"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(Continued from above)</w:t>
            </w:r>
          </w:p>
        </w:tc>
        <w:tc>
          <w:tcPr>
            <w:tcW w:w="2206" w:type="dxa"/>
            <w:shd w:val="clear" w:color="auto" w:fill="C5E0B3" w:themeFill="accent6" w:themeFillTint="66"/>
          </w:tcPr>
          <w:p w14:paraId="10EE057F" w14:textId="61C6EBDD"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Standard operation protocols, flowcharts, demonstrations, peer practice in groups.</w:t>
            </w:r>
          </w:p>
        </w:tc>
        <w:tc>
          <w:tcPr>
            <w:tcW w:w="1824" w:type="dxa"/>
            <w:shd w:val="clear" w:color="auto" w:fill="C5E0B3" w:themeFill="accent6" w:themeFillTint="66"/>
          </w:tcPr>
          <w:p w14:paraId="16558A71" w14:textId="74EF998F"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Trainee participation rate, enthusiasm during discussions.</w:t>
            </w:r>
          </w:p>
        </w:tc>
      </w:tr>
      <w:tr w:rsidR="00B62228" w:rsidRPr="00B62228" w14:paraId="3CE12C90" w14:textId="77777777" w:rsidTr="00B62228">
        <w:trPr>
          <w:trHeight w:val="828"/>
        </w:trPr>
        <w:tc>
          <w:tcPr>
            <w:tcW w:w="1533" w:type="dxa"/>
            <w:vMerge w:val="restart"/>
          </w:tcPr>
          <w:p w14:paraId="3976F581" w14:textId="379F2709" w:rsidR="00B62228" w:rsidRPr="00B62228" w:rsidRDefault="00B62228" w:rsidP="00B62228">
            <w:pPr>
              <w:rPr>
                <w:rFonts w:ascii="Times New Roman" w:hAnsi="Times New Roman" w:cs="Times New Roman"/>
                <w:b/>
                <w:bCs/>
                <w:szCs w:val="22"/>
              </w:rPr>
            </w:pPr>
            <w:r w:rsidRPr="00B62228">
              <w:rPr>
                <w:rFonts w:ascii="Times New Roman" w:hAnsi="Times New Roman" w:cs="Times New Roman"/>
                <w:b/>
                <w:bCs/>
                <w:szCs w:val="22"/>
              </w:rPr>
              <w:t>Post-assessment (P)</w:t>
            </w:r>
          </w:p>
        </w:tc>
        <w:tc>
          <w:tcPr>
            <w:tcW w:w="2187" w:type="dxa"/>
          </w:tcPr>
          <w:p w14:paraId="23B5394C" w14:textId="438F33F6"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On-site Assessment: 2 hours</w:t>
            </w:r>
          </w:p>
        </w:tc>
        <w:tc>
          <w:tcPr>
            <w:tcW w:w="4481" w:type="dxa"/>
          </w:tcPr>
          <w:p w14:paraId="7A63CD81" w14:textId="1F2D4234"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Theoretical and practical assessments are conducted based on the teaching content.</w:t>
            </w:r>
          </w:p>
        </w:tc>
        <w:tc>
          <w:tcPr>
            <w:tcW w:w="2512" w:type="dxa"/>
          </w:tcPr>
          <w:p w14:paraId="61CFD735" w14:textId="5FB71BE8"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Evaluates teaching quality and the trainees’ mastery of theories and operations.</w:t>
            </w:r>
          </w:p>
        </w:tc>
        <w:tc>
          <w:tcPr>
            <w:tcW w:w="2206" w:type="dxa"/>
          </w:tcPr>
          <w:p w14:paraId="6E47BA64" w14:textId="77777777" w:rsidR="00B62228" w:rsidRPr="00B62228" w:rsidRDefault="00B62228" w:rsidP="00B62228">
            <w:pPr>
              <w:rPr>
                <w:rFonts w:ascii="Times New Roman" w:hAnsi="Times New Roman" w:cs="Times New Roman"/>
                <w:szCs w:val="22"/>
              </w:rPr>
            </w:pPr>
            <w:r w:rsidRPr="00B62228">
              <w:rPr>
                <w:rFonts w:ascii="Times New Roman" w:hAnsi="Times New Roman" w:cs="Times New Roman"/>
                <w:b/>
                <w:bCs/>
                <w:szCs w:val="22"/>
              </w:rPr>
              <w:t>Theory:</w:t>
            </w:r>
            <w:r w:rsidRPr="00B62228">
              <w:rPr>
                <w:rFonts w:ascii="Times New Roman" w:hAnsi="Times New Roman" w:cs="Times New Roman"/>
                <w:szCs w:val="22"/>
              </w:rPr>
              <w:t> Randomized questions from the bank. </w:t>
            </w:r>
          </w:p>
          <w:p w14:paraId="7D7FE424" w14:textId="5B3A7FDA" w:rsidR="00B62228" w:rsidRPr="00B62228" w:rsidRDefault="00B62228" w:rsidP="00B62228">
            <w:pPr>
              <w:rPr>
                <w:rFonts w:ascii="Times New Roman" w:hAnsi="Times New Roman" w:cs="Times New Roman"/>
                <w:szCs w:val="22"/>
              </w:rPr>
            </w:pPr>
            <w:r w:rsidRPr="00B62228">
              <w:rPr>
                <w:rFonts w:ascii="Times New Roman" w:hAnsi="Times New Roman" w:cs="Times New Roman"/>
                <w:b/>
                <w:bCs/>
                <w:szCs w:val="22"/>
              </w:rPr>
              <w:t>Practice:</w:t>
            </w:r>
            <w:r w:rsidRPr="00B62228">
              <w:rPr>
                <w:rFonts w:ascii="Times New Roman" w:hAnsi="Times New Roman" w:cs="Times New Roman"/>
                <w:szCs w:val="22"/>
              </w:rPr>
              <w:t xml:space="preserve"> One-on-one OSCE (Objective Structured Clinical Examination) station assessment with </w:t>
            </w:r>
            <w:r w:rsidRPr="00B62228">
              <w:rPr>
                <w:rFonts w:ascii="Times New Roman" w:hAnsi="Times New Roman" w:cs="Times New Roman"/>
                <w:szCs w:val="22"/>
              </w:rPr>
              <w:lastRenderedPageBreak/>
              <w:t>simulated cases.</w:t>
            </w:r>
          </w:p>
        </w:tc>
        <w:tc>
          <w:tcPr>
            <w:tcW w:w="1824" w:type="dxa"/>
          </w:tcPr>
          <w:p w14:paraId="2E603BC1" w14:textId="2FA8119E"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lastRenderedPageBreak/>
              <w:t>Practical exam scores.</w:t>
            </w:r>
          </w:p>
        </w:tc>
      </w:tr>
      <w:tr w:rsidR="00B62228" w:rsidRPr="00B62228" w14:paraId="3F597710" w14:textId="77777777" w:rsidTr="00B62228">
        <w:trPr>
          <w:trHeight w:val="828"/>
        </w:trPr>
        <w:tc>
          <w:tcPr>
            <w:tcW w:w="1533" w:type="dxa"/>
            <w:vMerge/>
          </w:tcPr>
          <w:p w14:paraId="0EE5410A" w14:textId="77777777" w:rsidR="00B62228" w:rsidRPr="00B62228" w:rsidRDefault="00B62228" w:rsidP="00B62228">
            <w:pPr>
              <w:rPr>
                <w:rFonts w:ascii="Times New Roman" w:hAnsi="Times New Roman" w:cs="Times New Roman"/>
                <w:b/>
                <w:bCs/>
                <w:szCs w:val="22"/>
              </w:rPr>
            </w:pPr>
          </w:p>
        </w:tc>
        <w:tc>
          <w:tcPr>
            <w:tcW w:w="2187" w:type="dxa"/>
          </w:tcPr>
          <w:p w14:paraId="0BFCE0D2" w14:textId="197A5F3A"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Clinical Supervision: 2 hours</w:t>
            </w:r>
          </w:p>
        </w:tc>
        <w:tc>
          <w:tcPr>
            <w:tcW w:w="4481" w:type="dxa"/>
          </w:tcPr>
          <w:p w14:paraId="7F499700" w14:textId="460E0FDE"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Integrated Traditional Chinese and Western Medicine (ITCWM) specialist nurses patrol each nursing unit to provide operational supervision for the trainees.</w:t>
            </w:r>
          </w:p>
        </w:tc>
        <w:tc>
          <w:tcPr>
            <w:tcW w:w="2512" w:type="dxa"/>
          </w:tcPr>
          <w:p w14:paraId="4532DC7A" w14:textId="7C9F96C8"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1. Evaluates trainees’ clinical capability; mentors directly monitor learning outcomes via on-site supervision. 2. Observes the clinical efficacy of TCM techniques. 3. Identifies difficulties in implementing TCM techniques in general hospitals to inform future training.</w:t>
            </w:r>
          </w:p>
        </w:tc>
        <w:tc>
          <w:tcPr>
            <w:tcW w:w="2206" w:type="dxa"/>
          </w:tcPr>
          <w:p w14:paraId="4B41095D" w14:textId="044D78E0"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Supervised practice on real patients in clinical settings.</w:t>
            </w:r>
          </w:p>
        </w:tc>
        <w:tc>
          <w:tcPr>
            <w:tcW w:w="1824" w:type="dxa"/>
          </w:tcPr>
          <w:p w14:paraId="191114D9" w14:textId="0951ED62"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Incidence of adverse events, volume and clinical efficacy of TCM techniques performed, patient satisfaction, patient compliance.</w:t>
            </w:r>
          </w:p>
        </w:tc>
      </w:tr>
      <w:tr w:rsidR="007D2D01" w:rsidRPr="00B62228" w14:paraId="589BFA04" w14:textId="77777777" w:rsidTr="00B62228">
        <w:trPr>
          <w:trHeight w:val="828"/>
        </w:trPr>
        <w:tc>
          <w:tcPr>
            <w:tcW w:w="1533" w:type="dxa"/>
            <w:shd w:val="clear" w:color="auto" w:fill="C5E0B3" w:themeFill="accent6" w:themeFillTint="66"/>
          </w:tcPr>
          <w:p w14:paraId="71DA7857" w14:textId="106090D9" w:rsidR="007D2D01" w:rsidRPr="00B62228" w:rsidRDefault="00B62228" w:rsidP="00B62228">
            <w:pPr>
              <w:rPr>
                <w:rFonts w:ascii="Times New Roman" w:hAnsi="Times New Roman" w:cs="Times New Roman"/>
                <w:b/>
                <w:bCs/>
                <w:szCs w:val="22"/>
              </w:rPr>
            </w:pPr>
            <w:r w:rsidRPr="00B62228">
              <w:rPr>
                <w:rFonts w:ascii="Times New Roman" w:hAnsi="Times New Roman" w:cs="Times New Roman"/>
                <w:b/>
                <w:bCs/>
                <w:szCs w:val="22"/>
              </w:rPr>
              <w:t>Summary (S)</w:t>
            </w:r>
          </w:p>
        </w:tc>
        <w:tc>
          <w:tcPr>
            <w:tcW w:w="2187" w:type="dxa"/>
            <w:shd w:val="clear" w:color="auto" w:fill="C5E0B3" w:themeFill="accent6" w:themeFillTint="66"/>
          </w:tcPr>
          <w:p w14:paraId="6547A434" w14:textId="6C54237E" w:rsidR="007D2D01" w:rsidRPr="00B62228" w:rsidRDefault="00B62228" w:rsidP="00B62228">
            <w:pPr>
              <w:rPr>
                <w:rFonts w:ascii="Times New Roman" w:hAnsi="Times New Roman" w:cs="Times New Roman"/>
                <w:szCs w:val="22"/>
              </w:rPr>
            </w:pPr>
            <w:r w:rsidRPr="00B62228">
              <w:rPr>
                <w:rFonts w:ascii="Times New Roman" w:hAnsi="Times New Roman" w:cs="Times New Roman"/>
                <w:szCs w:val="22"/>
              </w:rPr>
              <w:t>4 hours within 3 months post-training</w:t>
            </w:r>
          </w:p>
        </w:tc>
        <w:tc>
          <w:tcPr>
            <w:tcW w:w="4481" w:type="dxa"/>
            <w:shd w:val="clear" w:color="auto" w:fill="C5E0B3" w:themeFill="accent6" w:themeFillTint="66"/>
          </w:tcPr>
          <w:p w14:paraId="08734FD0" w14:textId="1328C600" w:rsidR="007D2D01" w:rsidRPr="00B62228" w:rsidRDefault="00B62228" w:rsidP="00B62228">
            <w:pPr>
              <w:rPr>
                <w:rFonts w:ascii="Times New Roman" w:hAnsi="Times New Roman" w:cs="Times New Roman"/>
                <w:szCs w:val="22"/>
              </w:rPr>
            </w:pPr>
            <w:r w:rsidRPr="00B62228">
              <w:rPr>
                <w:rFonts w:ascii="Times New Roman" w:hAnsi="Times New Roman" w:cs="Times New Roman"/>
                <w:szCs w:val="22"/>
              </w:rPr>
              <w:t xml:space="preserve">1. Unit-based face-to-face or one-on-one </w:t>
            </w:r>
            <w:proofErr w:type="spellStart"/>
            <w:r w:rsidRPr="00B62228">
              <w:rPr>
                <w:rFonts w:ascii="Times New Roman" w:hAnsi="Times New Roman" w:cs="Times New Roman"/>
                <w:szCs w:val="22"/>
              </w:rPr>
              <w:t>DingTalk</w:t>
            </w:r>
            <w:proofErr w:type="spellEnd"/>
            <w:r w:rsidRPr="00B62228">
              <w:rPr>
                <w:rFonts w:ascii="Times New Roman" w:hAnsi="Times New Roman" w:cs="Times New Roman"/>
                <w:szCs w:val="22"/>
              </w:rPr>
              <w:t xml:space="preserve"> communications are held to review and summarize what was learned. Clinical issues are collected monthly and discussed via PPT at head nurse and nurse educator meetings. 2. ITCWM specialist nurses refine knowledge points and regularly invite senior mentors from TCM hospitals to lecture, helping nurses build a complete knowledge framework, resolving confusion, and closing the feedback loop.</w:t>
            </w:r>
          </w:p>
        </w:tc>
        <w:tc>
          <w:tcPr>
            <w:tcW w:w="2512" w:type="dxa"/>
            <w:shd w:val="clear" w:color="auto" w:fill="C5E0B3" w:themeFill="accent6" w:themeFillTint="66"/>
          </w:tcPr>
          <w:p w14:paraId="4AC987C6" w14:textId="0DC510EB" w:rsidR="007D2D01" w:rsidRPr="00B62228" w:rsidRDefault="00B62228" w:rsidP="00B62228">
            <w:pPr>
              <w:rPr>
                <w:rFonts w:ascii="Times New Roman" w:hAnsi="Times New Roman" w:cs="Times New Roman"/>
                <w:szCs w:val="22"/>
              </w:rPr>
            </w:pPr>
            <w:r w:rsidRPr="00B62228">
              <w:rPr>
                <w:rFonts w:ascii="Times New Roman" w:hAnsi="Times New Roman" w:cs="Times New Roman"/>
                <w:szCs w:val="22"/>
              </w:rPr>
              <w:t>Collects clinical issues for real-time feedback and improvement, combining internal learning with external expert guidance.</w:t>
            </w:r>
          </w:p>
        </w:tc>
        <w:tc>
          <w:tcPr>
            <w:tcW w:w="2206" w:type="dxa"/>
            <w:shd w:val="clear" w:color="auto" w:fill="C5E0B3" w:themeFill="accent6" w:themeFillTint="66"/>
          </w:tcPr>
          <w:p w14:paraId="306A8D06" w14:textId="27BB532E" w:rsidR="007D2D01" w:rsidRPr="00B62228" w:rsidRDefault="00B62228" w:rsidP="00B62228">
            <w:pPr>
              <w:rPr>
                <w:rFonts w:ascii="Times New Roman" w:hAnsi="Times New Roman" w:cs="Times New Roman"/>
                <w:szCs w:val="22"/>
              </w:rPr>
            </w:pPr>
            <w:r w:rsidRPr="00B62228">
              <w:rPr>
                <w:rFonts w:ascii="Times New Roman" w:hAnsi="Times New Roman" w:cs="Times New Roman"/>
                <w:szCs w:val="22"/>
              </w:rPr>
              <w:t>Face-to-face communication, meetings, slide-based lectures.</w:t>
            </w:r>
          </w:p>
        </w:tc>
        <w:tc>
          <w:tcPr>
            <w:tcW w:w="1824" w:type="dxa"/>
            <w:shd w:val="clear" w:color="auto" w:fill="C5E0B3" w:themeFill="accent6" w:themeFillTint="66"/>
          </w:tcPr>
          <w:p w14:paraId="02B0EDB5" w14:textId="1884BB6A" w:rsidR="007D2D01" w:rsidRPr="00B62228" w:rsidRDefault="00B62228" w:rsidP="00B62228">
            <w:pPr>
              <w:rPr>
                <w:rFonts w:ascii="Times New Roman" w:hAnsi="Times New Roman" w:cs="Times New Roman"/>
                <w:szCs w:val="22"/>
              </w:rPr>
            </w:pPr>
            <w:r w:rsidRPr="00B62228">
              <w:rPr>
                <w:rFonts w:ascii="Times New Roman" w:hAnsi="Times New Roman" w:cs="Times New Roman"/>
                <w:szCs w:val="22"/>
              </w:rPr>
              <w:t>Rate of issues fed back, trainee participation rate.</w:t>
            </w:r>
          </w:p>
        </w:tc>
      </w:tr>
      <w:tr w:rsidR="00B62228" w:rsidRPr="00B62228" w14:paraId="513ABAA3" w14:textId="77777777" w:rsidTr="00B62228">
        <w:trPr>
          <w:trHeight w:val="828"/>
        </w:trPr>
        <w:tc>
          <w:tcPr>
            <w:tcW w:w="1533" w:type="dxa"/>
          </w:tcPr>
          <w:p w14:paraId="27CF6260" w14:textId="06FB7216" w:rsidR="00B62228" w:rsidRPr="00B62228" w:rsidRDefault="00B62228" w:rsidP="00B62228">
            <w:pPr>
              <w:rPr>
                <w:rFonts w:ascii="Times New Roman" w:hAnsi="Times New Roman" w:cs="Times New Roman"/>
                <w:b/>
                <w:bCs/>
                <w:szCs w:val="22"/>
              </w:rPr>
            </w:pPr>
            <w:r w:rsidRPr="00B62228">
              <w:rPr>
                <w:rFonts w:ascii="Times New Roman" w:hAnsi="Times New Roman" w:cs="Times New Roman"/>
                <w:b/>
                <w:bCs/>
                <w:szCs w:val="22"/>
              </w:rPr>
              <w:lastRenderedPageBreak/>
              <w:t>Tracking</w:t>
            </w:r>
          </w:p>
        </w:tc>
        <w:tc>
          <w:tcPr>
            <w:tcW w:w="2187" w:type="dxa"/>
          </w:tcPr>
          <w:p w14:paraId="59FDD5BD" w14:textId="1D7BF362"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Once per quarter</w:t>
            </w:r>
          </w:p>
        </w:tc>
        <w:tc>
          <w:tcPr>
            <w:tcW w:w="4481" w:type="dxa"/>
          </w:tcPr>
          <w:p w14:paraId="79FD9DD5" w14:textId="358BBB72"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ITCWM specialist nurses conduct regular rounds and quality control.</w:t>
            </w:r>
          </w:p>
        </w:tc>
        <w:tc>
          <w:tcPr>
            <w:tcW w:w="2512" w:type="dxa"/>
          </w:tcPr>
          <w:p w14:paraId="119CDCFB" w14:textId="04FD03A4"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Consolidates knowledge and ensures sustained practice.</w:t>
            </w:r>
          </w:p>
        </w:tc>
        <w:tc>
          <w:tcPr>
            <w:tcW w:w="2206" w:type="dxa"/>
          </w:tcPr>
          <w:p w14:paraId="49D6528A" w14:textId="1D4F6B2C"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Summary reports.</w:t>
            </w:r>
          </w:p>
        </w:tc>
        <w:tc>
          <w:tcPr>
            <w:tcW w:w="1824" w:type="dxa"/>
          </w:tcPr>
          <w:p w14:paraId="3E294B4E" w14:textId="165D042D" w:rsidR="00B62228" w:rsidRPr="00B62228" w:rsidRDefault="00B62228" w:rsidP="00B62228">
            <w:pPr>
              <w:rPr>
                <w:rFonts w:ascii="Times New Roman" w:hAnsi="Times New Roman" w:cs="Times New Roman"/>
                <w:szCs w:val="22"/>
              </w:rPr>
            </w:pPr>
            <w:r w:rsidRPr="00B62228">
              <w:rPr>
                <w:rFonts w:ascii="Times New Roman" w:hAnsi="Times New Roman" w:cs="Times New Roman"/>
                <w:szCs w:val="22"/>
              </w:rPr>
              <w:t>Incidence of adverse events, volume and clinical efficacy of TCM techniques performed, patient satisfaction, compliance.</w:t>
            </w:r>
          </w:p>
        </w:tc>
      </w:tr>
    </w:tbl>
    <w:p w14:paraId="021914F8" w14:textId="77777777" w:rsidR="007D2D01" w:rsidRPr="00B62228" w:rsidRDefault="007D2D01" w:rsidP="00B62228">
      <w:pPr>
        <w:spacing w:line="240" w:lineRule="auto"/>
      </w:pPr>
    </w:p>
    <w:sectPr w:rsidR="007D2D01" w:rsidRPr="00B62228" w:rsidSect="007D2D01">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63EFD" w14:textId="77777777" w:rsidR="00B71EF7" w:rsidRDefault="00B71EF7" w:rsidP="007D2D01">
      <w:pPr>
        <w:spacing w:after="0" w:line="240" w:lineRule="auto"/>
        <w:rPr>
          <w:rFonts w:hint="eastAsia"/>
        </w:rPr>
      </w:pPr>
      <w:r>
        <w:separator/>
      </w:r>
    </w:p>
  </w:endnote>
  <w:endnote w:type="continuationSeparator" w:id="0">
    <w:p w14:paraId="1090E8A3" w14:textId="77777777" w:rsidR="00B71EF7" w:rsidRDefault="00B71EF7" w:rsidP="007D2D0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98C4" w14:textId="77777777" w:rsidR="00B71EF7" w:rsidRDefault="00B71EF7" w:rsidP="007D2D01">
      <w:pPr>
        <w:spacing w:after="0" w:line="240" w:lineRule="auto"/>
        <w:rPr>
          <w:rFonts w:hint="eastAsia"/>
        </w:rPr>
      </w:pPr>
      <w:r>
        <w:separator/>
      </w:r>
    </w:p>
  </w:footnote>
  <w:footnote w:type="continuationSeparator" w:id="0">
    <w:p w14:paraId="40081DF6" w14:textId="77777777" w:rsidR="00B71EF7" w:rsidRDefault="00B71EF7" w:rsidP="007D2D01">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60"/>
    <w:rsid w:val="007D2D01"/>
    <w:rsid w:val="009E247E"/>
    <w:rsid w:val="00AB1D60"/>
    <w:rsid w:val="00B62228"/>
    <w:rsid w:val="00B71EF7"/>
    <w:rsid w:val="00C6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61E01"/>
  <w15:chartTrackingRefBased/>
  <w15:docId w15:val="{4FD91E9B-A260-46FE-8F4F-870C9CBA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B1D6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B1D6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B1D6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B1D6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B1D6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B1D6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B1D6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B1D6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B1D6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1D6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B1D6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B1D6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B1D60"/>
    <w:rPr>
      <w:rFonts w:cstheme="majorBidi"/>
      <w:color w:val="2F5496" w:themeColor="accent1" w:themeShade="BF"/>
      <w:sz w:val="28"/>
      <w:szCs w:val="28"/>
    </w:rPr>
  </w:style>
  <w:style w:type="character" w:customStyle="1" w:styleId="50">
    <w:name w:val="标题 5 字符"/>
    <w:basedOn w:val="a0"/>
    <w:link w:val="5"/>
    <w:uiPriority w:val="9"/>
    <w:semiHidden/>
    <w:rsid w:val="00AB1D60"/>
    <w:rPr>
      <w:rFonts w:cstheme="majorBidi"/>
      <w:color w:val="2F5496" w:themeColor="accent1" w:themeShade="BF"/>
      <w:sz w:val="24"/>
    </w:rPr>
  </w:style>
  <w:style w:type="character" w:customStyle="1" w:styleId="60">
    <w:name w:val="标题 6 字符"/>
    <w:basedOn w:val="a0"/>
    <w:link w:val="6"/>
    <w:uiPriority w:val="9"/>
    <w:semiHidden/>
    <w:rsid w:val="00AB1D60"/>
    <w:rPr>
      <w:rFonts w:cstheme="majorBidi"/>
      <w:b/>
      <w:bCs/>
      <w:color w:val="2F5496" w:themeColor="accent1" w:themeShade="BF"/>
    </w:rPr>
  </w:style>
  <w:style w:type="character" w:customStyle="1" w:styleId="70">
    <w:name w:val="标题 7 字符"/>
    <w:basedOn w:val="a0"/>
    <w:link w:val="7"/>
    <w:uiPriority w:val="9"/>
    <w:semiHidden/>
    <w:rsid w:val="00AB1D60"/>
    <w:rPr>
      <w:rFonts w:cstheme="majorBidi"/>
      <w:b/>
      <w:bCs/>
      <w:color w:val="595959" w:themeColor="text1" w:themeTint="A6"/>
    </w:rPr>
  </w:style>
  <w:style w:type="character" w:customStyle="1" w:styleId="80">
    <w:name w:val="标题 8 字符"/>
    <w:basedOn w:val="a0"/>
    <w:link w:val="8"/>
    <w:uiPriority w:val="9"/>
    <w:semiHidden/>
    <w:rsid w:val="00AB1D60"/>
    <w:rPr>
      <w:rFonts w:cstheme="majorBidi"/>
      <w:color w:val="595959" w:themeColor="text1" w:themeTint="A6"/>
    </w:rPr>
  </w:style>
  <w:style w:type="character" w:customStyle="1" w:styleId="90">
    <w:name w:val="标题 9 字符"/>
    <w:basedOn w:val="a0"/>
    <w:link w:val="9"/>
    <w:uiPriority w:val="9"/>
    <w:semiHidden/>
    <w:rsid w:val="00AB1D60"/>
    <w:rPr>
      <w:rFonts w:eastAsiaTheme="majorEastAsia" w:cstheme="majorBidi"/>
      <w:color w:val="595959" w:themeColor="text1" w:themeTint="A6"/>
    </w:rPr>
  </w:style>
  <w:style w:type="paragraph" w:styleId="a3">
    <w:name w:val="Title"/>
    <w:basedOn w:val="a"/>
    <w:next w:val="a"/>
    <w:link w:val="a4"/>
    <w:uiPriority w:val="10"/>
    <w:qFormat/>
    <w:rsid w:val="00AB1D6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B1D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1D6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B1D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1D60"/>
    <w:pPr>
      <w:spacing w:before="160"/>
      <w:jc w:val="center"/>
    </w:pPr>
    <w:rPr>
      <w:i/>
      <w:iCs/>
      <w:color w:val="404040" w:themeColor="text1" w:themeTint="BF"/>
    </w:rPr>
  </w:style>
  <w:style w:type="character" w:customStyle="1" w:styleId="a8">
    <w:name w:val="引用 字符"/>
    <w:basedOn w:val="a0"/>
    <w:link w:val="a7"/>
    <w:uiPriority w:val="29"/>
    <w:rsid w:val="00AB1D60"/>
    <w:rPr>
      <w:i/>
      <w:iCs/>
      <w:color w:val="404040" w:themeColor="text1" w:themeTint="BF"/>
    </w:rPr>
  </w:style>
  <w:style w:type="paragraph" w:styleId="a9">
    <w:name w:val="List Paragraph"/>
    <w:basedOn w:val="a"/>
    <w:uiPriority w:val="34"/>
    <w:qFormat/>
    <w:rsid w:val="00AB1D60"/>
    <w:pPr>
      <w:ind w:left="720"/>
      <w:contextualSpacing/>
    </w:pPr>
  </w:style>
  <w:style w:type="character" w:styleId="aa">
    <w:name w:val="Intense Emphasis"/>
    <w:basedOn w:val="a0"/>
    <w:uiPriority w:val="21"/>
    <w:qFormat/>
    <w:rsid w:val="00AB1D60"/>
    <w:rPr>
      <w:i/>
      <w:iCs/>
      <w:color w:val="2F5496" w:themeColor="accent1" w:themeShade="BF"/>
    </w:rPr>
  </w:style>
  <w:style w:type="paragraph" w:styleId="ab">
    <w:name w:val="Intense Quote"/>
    <w:basedOn w:val="a"/>
    <w:next w:val="a"/>
    <w:link w:val="ac"/>
    <w:uiPriority w:val="30"/>
    <w:qFormat/>
    <w:rsid w:val="00AB1D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B1D60"/>
    <w:rPr>
      <w:i/>
      <w:iCs/>
      <w:color w:val="2F5496" w:themeColor="accent1" w:themeShade="BF"/>
    </w:rPr>
  </w:style>
  <w:style w:type="character" w:styleId="ad">
    <w:name w:val="Intense Reference"/>
    <w:basedOn w:val="a0"/>
    <w:uiPriority w:val="32"/>
    <w:qFormat/>
    <w:rsid w:val="00AB1D60"/>
    <w:rPr>
      <w:b/>
      <w:bCs/>
      <w:smallCaps/>
      <w:color w:val="2F5496" w:themeColor="accent1" w:themeShade="BF"/>
      <w:spacing w:val="5"/>
    </w:rPr>
  </w:style>
  <w:style w:type="paragraph" w:styleId="ae">
    <w:name w:val="header"/>
    <w:basedOn w:val="a"/>
    <w:link w:val="af"/>
    <w:uiPriority w:val="99"/>
    <w:unhideWhenUsed/>
    <w:rsid w:val="007D2D0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D2D01"/>
    <w:rPr>
      <w:sz w:val="18"/>
      <w:szCs w:val="18"/>
    </w:rPr>
  </w:style>
  <w:style w:type="paragraph" w:styleId="af0">
    <w:name w:val="footer"/>
    <w:basedOn w:val="a"/>
    <w:link w:val="af1"/>
    <w:uiPriority w:val="99"/>
    <w:unhideWhenUsed/>
    <w:rsid w:val="007D2D0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D2D01"/>
    <w:rPr>
      <w:sz w:val="18"/>
      <w:szCs w:val="18"/>
    </w:rPr>
  </w:style>
  <w:style w:type="table" w:styleId="af2">
    <w:name w:val="Table Grid"/>
    <w:basedOn w:val="a1"/>
    <w:uiPriority w:val="39"/>
    <w:rsid w:val="007D2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lijiao zhang</dc:creator>
  <cp:keywords/>
  <dc:description/>
  <cp:lastModifiedBy>lijiao zhang</cp:lastModifiedBy>
  <cp:revision>4</cp:revision>
  <dcterms:created xsi:type="dcterms:W3CDTF">2026-03-11T07:27:00Z</dcterms:created>
  <dcterms:modified xsi:type="dcterms:W3CDTF">2026-03-11T15:24:00Z</dcterms:modified>
</cp:coreProperties>
</file>