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28E53" w14:textId="18D4D471" w:rsidR="006A0789" w:rsidRDefault="006A0789">
      <w:pPr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 w:hint="eastAsia"/>
          <w:b/>
          <w:bCs/>
          <w:color w:val="000000"/>
        </w:rPr>
        <w:t>Appendix 1</w:t>
      </w:r>
    </w:p>
    <w:p w14:paraId="7624E8E9" w14:textId="49F3B77A" w:rsidR="00955F2F" w:rsidRPr="00457E96" w:rsidRDefault="00457E96">
      <w:pPr>
        <w:rPr>
          <w:b/>
          <w:bCs/>
        </w:rPr>
      </w:pPr>
      <w:r w:rsidRPr="00457E96">
        <w:rPr>
          <w:rFonts w:asciiTheme="majorBidi" w:hAnsiTheme="majorBidi" w:cstheme="majorBidi"/>
          <w:b/>
          <w:bCs/>
          <w:color w:val="000000"/>
        </w:rPr>
        <w:t>A simple interview guide</w:t>
      </w:r>
    </w:p>
    <w:p w14:paraId="08E90AB3" w14:textId="19EF2831" w:rsidR="00457E96" w:rsidRDefault="00457E96" w:rsidP="00457E96">
      <w:r>
        <w:rPr>
          <w:rFonts w:hint="eastAsia"/>
        </w:rPr>
        <w:t xml:space="preserve">Question 1: </w:t>
      </w:r>
      <w:r>
        <w:t xml:space="preserve">In your opinion, is routine preoperative </w:t>
      </w:r>
      <w:r w:rsidR="00197953">
        <w:rPr>
          <w:rFonts w:hint="eastAsia"/>
        </w:rPr>
        <w:t>p</w:t>
      </w:r>
      <w:r w:rsidR="00197953" w:rsidRPr="00197953">
        <w:t>retransfusion</w:t>
      </w:r>
      <w:r w:rsidR="00197953" w:rsidRPr="00197953">
        <w:t xml:space="preserve"> </w:t>
      </w:r>
      <w:r>
        <w:t>testing necessary for all patients undergoing primary TKR and THR? Why or why not?</w:t>
      </w:r>
    </w:p>
    <w:p w14:paraId="00C3282F" w14:textId="0E76A571" w:rsidR="00457E96" w:rsidRDefault="00457E96" w:rsidP="00457E96">
      <w:r>
        <w:rPr>
          <w:rFonts w:hint="eastAsia"/>
        </w:rPr>
        <w:t xml:space="preserve">Question 2: </w:t>
      </w:r>
      <w:r>
        <w:t>If a selective blood preparation strategy were implemented instead, what concerns or considerations would you have?</w:t>
      </w:r>
    </w:p>
    <w:sectPr w:rsidR="00457E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5420" w14:textId="77777777" w:rsidR="002A1B06" w:rsidRDefault="002A1B06" w:rsidP="006A0789">
      <w:pPr>
        <w:spacing w:after="0" w:line="240" w:lineRule="auto"/>
      </w:pPr>
      <w:r>
        <w:separator/>
      </w:r>
    </w:p>
  </w:endnote>
  <w:endnote w:type="continuationSeparator" w:id="0">
    <w:p w14:paraId="7F158ADD" w14:textId="77777777" w:rsidR="002A1B06" w:rsidRDefault="002A1B06" w:rsidP="006A0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C54F" w14:textId="77777777" w:rsidR="002A1B06" w:rsidRDefault="002A1B06" w:rsidP="006A0789">
      <w:pPr>
        <w:spacing w:after="0" w:line="240" w:lineRule="auto"/>
      </w:pPr>
      <w:r>
        <w:separator/>
      </w:r>
    </w:p>
  </w:footnote>
  <w:footnote w:type="continuationSeparator" w:id="0">
    <w:p w14:paraId="7022B211" w14:textId="77777777" w:rsidR="002A1B06" w:rsidRDefault="002A1B06" w:rsidP="006A0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96"/>
    <w:rsid w:val="00094AD5"/>
    <w:rsid w:val="00197953"/>
    <w:rsid w:val="002A1B06"/>
    <w:rsid w:val="00457E96"/>
    <w:rsid w:val="006128C0"/>
    <w:rsid w:val="006A0789"/>
    <w:rsid w:val="00955F2F"/>
    <w:rsid w:val="009C3C31"/>
    <w:rsid w:val="00A36899"/>
    <w:rsid w:val="00C3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D2DB0"/>
  <w15:chartTrackingRefBased/>
  <w15:docId w15:val="{07189217-6AC8-49A9-A33B-D2C131EC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7E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E9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E9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E9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E9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E9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E9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57E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57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57E9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57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57E9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57E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57E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57E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57E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7E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57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E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57E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57E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E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7E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7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57E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7E9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0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A0789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A0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A07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郭惠敏</dc:creator>
  <cp:keywords/>
  <dc:description/>
  <cp:lastModifiedBy>郭惠敏</cp:lastModifiedBy>
  <cp:revision>3</cp:revision>
  <dcterms:created xsi:type="dcterms:W3CDTF">2026-03-25T12:34:00Z</dcterms:created>
  <dcterms:modified xsi:type="dcterms:W3CDTF">2026-03-25T13:12:00Z</dcterms:modified>
</cp:coreProperties>
</file>