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DD4074" w14:textId="3AD4307A" w:rsidR="00CD3335" w:rsidRPr="00B8649E" w:rsidRDefault="00B85944" w:rsidP="00EE45E9">
      <w:pPr>
        <w:pStyle w:val="Title"/>
        <w:rPr>
          <w:i/>
          <w:iCs/>
        </w:rPr>
      </w:pPr>
      <w:r>
        <w:rPr>
          <w:i/>
          <w:iCs/>
        </w:rPr>
        <w:t>Natural Hazards</w:t>
      </w:r>
    </w:p>
    <w:p w14:paraId="16A29111" w14:textId="77777777" w:rsidR="00CD3335" w:rsidRPr="00CD3335" w:rsidRDefault="00CD3335" w:rsidP="00EE45E9">
      <w:pPr>
        <w:jc w:val="center"/>
      </w:pPr>
    </w:p>
    <w:p w14:paraId="1D8B7955" w14:textId="0259CB6A" w:rsidR="00822D00" w:rsidRDefault="00FB071C" w:rsidP="00EE45E9">
      <w:pPr>
        <w:pStyle w:val="Title"/>
        <w:rPr>
          <w:b w:val="0"/>
          <w:bCs w:val="0"/>
        </w:rPr>
      </w:pPr>
      <w:r>
        <w:rPr>
          <w:b w:val="0"/>
          <w:bCs w:val="0"/>
        </w:rPr>
        <w:t>Supporting Information for</w:t>
      </w:r>
    </w:p>
    <w:p w14:paraId="7A6BF0E8" w14:textId="5100E6A2" w:rsidR="00FB071C" w:rsidRDefault="00FB071C" w:rsidP="00EE45E9">
      <w:pPr>
        <w:jc w:val="center"/>
      </w:pPr>
    </w:p>
    <w:p w14:paraId="1F5E4B20" w14:textId="496FC28C" w:rsidR="00615CC3" w:rsidRDefault="00C66769" w:rsidP="00EE45E9">
      <w:pPr>
        <w:jc w:val="center"/>
        <w:rPr>
          <w:rFonts w:cs="Times New Roman"/>
          <w:b/>
          <w:bCs/>
          <w:szCs w:val="24"/>
        </w:rPr>
      </w:pPr>
      <w:r w:rsidRPr="00C66769">
        <w:rPr>
          <w:rFonts w:cs="Times New Roman"/>
          <w:b/>
          <w:bCs/>
          <w:szCs w:val="24"/>
        </w:rPr>
        <w:t>Seasonal and inter-seasonal soil moisture controls on coseismic shallow landsliding near the Cascadia Subduction Zone</w:t>
      </w:r>
    </w:p>
    <w:p w14:paraId="7B606AB1" w14:textId="77777777" w:rsidR="00C66769" w:rsidRDefault="00C66769" w:rsidP="00EE45E9">
      <w:pPr>
        <w:jc w:val="center"/>
      </w:pPr>
    </w:p>
    <w:p w14:paraId="2C01EE6E" w14:textId="00A73864" w:rsidR="00F1342E" w:rsidRPr="00ED4E78" w:rsidRDefault="008F156F" w:rsidP="00EE45E9">
      <w:pPr>
        <w:jc w:val="center"/>
        <w:rPr>
          <w:vertAlign w:val="superscript"/>
        </w:rPr>
      </w:pPr>
      <w:r w:rsidRPr="00D04599">
        <w:t>Nicolas W. Mathews</w:t>
      </w:r>
      <w:r w:rsidR="002218FE">
        <w:rPr>
          <w:vertAlign w:val="superscript"/>
        </w:rPr>
        <w:t>1</w:t>
      </w:r>
      <w:r w:rsidRPr="00D04599">
        <w:t>, Ben A. Leshchinsky</w:t>
      </w:r>
      <w:r w:rsidR="002218FE">
        <w:rPr>
          <w:vertAlign w:val="superscript"/>
        </w:rPr>
        <w:t>2</w:t>
      </w:r>
      <w:r w:rsidRPr="00D04599">
        <w:t>, Michael J. Olsen</w:t>
      </w:r>
      <w:r w:rsidR="00ED4E78">
        <w:rPr>
          <w:vertAlign w:val="superscript"/>
        </w:rPr>
        <w:t>3</w:t>
      </w:r>
      <w:r w:rsidRPr="00D04599">
        <w:t>, Adam M. Booth</w:t>
      </w:r>
      <w:r w:rsidR="00ED4E78">
        <w:rPr>
          <w:vertAlign w:val="superscript"/>
        </w:rPr>
        <w:t>4</w:t>
      </w:r>
    </w:p>
    <w:p w14:paraId="0D7BB400" w14:textId="77777777" w:rsidR="00F1342E" w:rsidRDefault="00F1342E" w:rsidP="00EE45E9">
      <w:pPr>
        <w:jc w:val="center"/>
      </w:pPr>
    </w:p>
    <w:p w14:paraId="2BF66805" w14:textId="6341511D" w:rsidR="00A81A24" w:rsidRPr="009F4169" w:rsidRDefault="000531B7" w:rsidP="00EE45E9">
      <w:pPr>
        <w:rPr>
          <w:sz w:val="20"/>
          <w:szCs w:val="20"/>
        </w:rPr>
      </w:pPr>
      <w:r>
        <w:rPr>
          <w:sz w:val="20"/>
          <w:szCs w:val="20"/>
          <w:vertAlign w:val="superscript"/>
        </w:rPr>
        <w:t>1</w:t>
      </w:r>
      <w:r w:rsidR="00C66769">
        <w:rPr>
          <w:sz w:val="20"/>
          <w:szCs w:val="20"/>
        </w:rPr>
        <w:t>Sitka Sound Science Center, Sitka, AK</w:t>
      </w:r>
      <w:r w:rsidR="0087440B">
        <w:rPr>
          <w:sz w:val="20"/>
          <w:szCs w:val="20"/>
        </w:rPr>
        <w:t>, USA</w:t>
      </w:r>
      <w:r>
        <w:rPr>
          <w:sz w:val="20"/>
          <w:szCs w:val="20"/>
        </w:rPr>
        <w:t xml:space="preserve">. </w:t>
      </w:r>
      <w:r>
        <w:rPr>
          <w:sz w:val="20"/>
          <w:szCs w:val="20"/>
          <w:vertAlign w:val="superscript"/>
        </w:rPr>
        <w:t>2</w:t>
      </w:r>
      <w:r w:rsidR="00833260">
        <w:rPr>
          <w:sz w:val="20"/>
          <w:szCs w:val="20"/>
        </w:rPr>
        <w:t xml:space="preserve">Oregon State University, </w:t>
      </w:r>
      <w:r w:rsidR="00367025" w:rsidRPr="00367025">
        <w:rPr>
          <w:sz w:val="20"/>
          <w:szCs w:val="20"/>
        </w:rPr>
        <w:t>Department of Forest Engineering, Resources and Management,</w:t>
      </w:r>
      <w:r w:rsidR="00367025">
        <w:rPr>
          <w:sz w:val="20"/>
          <w:szCs w:val="20"/>
        </w:rPr>
        <w:t xml:space="preserve"> Oregon State University, Corvallis, OR, </w:t>
      </w:r>
      <w:r w:rsidR="005A0999">
        <w:rPr>
          <w:sz w:val="20"/>
          <w:szCs w:val="20"/>
        </w:rPr>
        <w:t>USA.</w:t>
      </w:r>
      <w:r w:rsidR="000536D7">
        <w:rPr>
          <w:sz w:val="20"/>
          <w:szCs w:val="20"/>
        </w:rPr>
        <w:t xml:space="preserve"> </w:t>
      </w:r>
      <w:r w:rsidR="000536D7">
        <w:rPr>
          <w:sz w:val="20"/>
          <w:szCs w:val="20"/>
          <w:vertAlign w:val="superscript"/>
        </w:rPr>
        <w:t>3</w:t>
      </w:r>
      <w:r w:rsidR="000536D7">
        <w:rPr>
          <w:sz w:val="20"/>
          <w:szCs w:val="20"/>
        </w:rPr>
        <w:t>Oregon State University, Department of Civil and Construction Engineering, Corvallis, OR, USA.</w:t>
      </w:r>
      <w:r w:rsidR="009F4169">
        <w:rPr>
          <w:sz w:val="20"/>
          <w:szCs w:val="20"/>
        </w:rPr>
        <w:t xml:space="preserve"> </w:t>
      </w:r>
      <w:r w:rsidR="009F4169">
        <w:rPr>
          <w:sz w:val="20"/>
          <w:szCs w:val="20"/>
          <w:vertAlign w:val="superscript"/>
        </w:rPr>
        <w:t>4</w:t>
      </w:r>
      <w:r w:rsidR="0097352B">
        <w:rPr>
          <w:sz w:val="20"/>
          <w:szCs w:val="20"/>
        </w:rPr>
        <w:t>Portland State University, Department of Geology, Portland, OR, USA.</w:t>
      </w:r>
    </w:p>
    <w:p w14:paraId="37396C5D" w14:textId="77777777" w:rsidR="00A81A24" w:rsidRDefault="00A81A24" w:rsidP="00EE45E9">
      <w:pPr>
        <w:jc w:val="center"/>
      </w:pPr>
    </w:p>
    <w:p w14:paraId="153F7F1D" w14:textId="105F2CBA" w:rsidR="00F1342E" w:rsidRDefault="00F1342E" w:rsidP="00EE45E9">
      <w:r>
        <w:t xml:space="preserve">Corresponding Author: </w:t>
      </w:r>
      <w:hyperlink r:id="rId6" w:history="1">
        <w:r w:rsidR="0087440B" w:rsidRPr="00101D5F">
          <w:rPr>
            <w:rStyle w:val="Hyperlink"/>
          </w:rPr>
          <w:t>nmathews@sitkascience.org</w:t>
        </w:r>
      </w:hyperlink>
    </w:p>
    <w:p w14:paraId="11A2E92B" w14:textId="77777777" w:rsidR="00F1342E" w:rsidRDefault="00F1342E" w:rsidP="00EE45E9"/>
    <w:p w14:paraId="2D56759D" w14:textId="77777777" w:rsidR="00F1342E" w:rsidRDefault="00F1342E" w:rsidP="00EE45E9"/>
    <w:p w14:paraId="4875C85E" w14:textId="28DFED54" w:rsidR="00F1342E" w:rsidRDefault="002E7DEC" w:rsidP="00EE45E9">
      <w:pPr>
        <w:rPr>
          <w:b/>
          <w:bCs/>
        </w:rPr>
      </w:pPr>
      <w:r>
        <w:rPr>
          <w:b/>
          <w:bCs/>
        </w:rPr>
        <w:t>Contents of this file:</w:t>
      </w:r>
    </w:p>
    <w:p w14:paraId="31A0884F" w14:textId="77777777" w:rsidR="00771517" w:rsidRDefault="00771517" w:rsidP="00EE45E9">
      <w:pPr>
        <w:rPr>
          <w:b/>
          <w:bCs/>
        </w:rPr>
      </w:pPr>
    </w:p>
    <w:p w14:paraId="311231AB" w14:textId="0D99BACE" w:rsidR="002E7DEC" w:rsidRDefault="00977FDE" w:rsidP="00EE45E9">
      <w:pPr>
        <w:ind w:left="720"/>
      </w:pPr>
      <w:r>
        <w:t>Methodology Details and Parameterization</w:t>
      </w:r>
    </w:p>
    <w:p w14:paraId="63B5E4A4" w14:textId="16EEBAAA" w:rsidR="005C4751" w:rsidRPr="002E7DEC" w:rsidRDefault="005C4751" w:rsidP="001B0A85">
      <w:pPr>
        <w:ind w:left="720"/>
        <w:sectPr w:rsidR="005C4751" w:rsidRPr="002E7DEC" w:rsidSect="00E923E6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  <w:r>
        <w:t>Figures S</w:t>
      </w:r>
      <w:r w:rsidR="001D6AFA">
        <w:t>1</w:t>
      </w:r>
      <w:r>
        <w:t xml:space="preserve"> to S</w:t>
      </w:r>
      <w:r w:rsidR="0087440B">
        <w:t>5</w:t>
      </w:r>
    </w:p>
    <w:p w14:paraId="30042A43" w14:textId="3274DCCC" w:rsidR="00982211" w:rsidRPr="00F2668C" w:rsidRDefault="00982211" w:rsidP="00F2668C">
      <w:pPr>
        <w:pStyle w:val="Heading1"/>
        <w:jc w:val="left"/>
      </w:pPr>
      <w:bookmarkStart w:id="0" w:name="_Toc80734530"/>
      <w:r w:rsidRPr="00F2668C">
        <w:lastRenderedPageBreak/>
        <w:t>Methodology</w:t>
      </w:r>
      <w:r w:rsidR="00977FDE" w:rsidRPr="00F2668C">
        <w:t xml:space="preserve"> Details</w:t>
      </w:r>
    </w:p>
    <w:p w14:paraId="3D951DC9" w14:textId="77777777" w:rsidR="00A62501" w:rsidRPr="00A62501" w:rsidRDefault="00A62501" w:rsidP="00F2668C"/>
    <w:p w14:paraId="3A30DB63" w14:textId="0881E6C7" w:rsidR="00A72248" w:rsidRDefault="00A72248" w:rsidP="00F2668C">
      <w:pPr>
        <w:pStyle w:val="Heading2"/>
      </w:pPr>
      <w:r>
        <w:t xml:space="preserve">RegionGrow3D </w:t>
      </w:r>
      <w:bookmarkEnd w:id="0"/>
      <w:r w:rsidR="00CF4AB0">
        <w:t>Boundary Forces</w:t>
      </w:r>
    </w:p>
    <w:p w14:paraId="2C65103E" w14:textId="77777777" w:rsidR="001F7053" w:rsidRDefault="001F7053" w:rsidP="001C7779">
      <w:pPr>
        <w:jc w:val="both"/>
        <w:rPr>
          <w:rFonts w:eastAsiaTheme="minorEastAsia"/>
        </w:rPr>
      </w:pPr>
    </w:p>
    <w:p w14:paraId="1976AC6C" w14:textId="14E75A91" w:rsidR="001C7779" w:rsidRDefault="00842171" w:rsidP="001C7779">
      <w:pPr>
        <w:jc w:val="both"/>
        <w:rPr>
          <w:rFonts w:eastAsiaTheme="minorEastAsia"/>
        </w:rPr>
      </w:pPr>
      <w:r>
        <w:rPr>
          <w:rFonts w:eastAsiaTheme="minorEastAsia"/>
        </w:rPr>
        <w:tab/>
      </w:r>
      <w:r w:rsidR="00110978">
        <w:rPr>
          <w:rFonts w:eastAsiaTheme="minorEastAsia"/>
        </w:rPr>
        <w:t>We compute</w:t>
      </w:r>
      <w:r w:rsidR="004627DA">
        <w:rPr>
          <w:rFonts w:eastAsiaTheme="minorEastAsia"/>
        </w:rPr>
        <w:t>d</w:t>
      </w:r>
      <w:r w:rsidR="00110978">
        <w:rPr>
          <w:rFonts w:eastAsiaTheme="minorEastAsia"/>
        </w:rPr>
        <w:t xml:space="preserve"> l</w:t>
      </w:r>
      <w:r>
        <w:rPr>
          <w:rFonts w:eastAsiaTheme="minorEastAsia"/>
        </w:rPr>
        <w:t xml:space="preserve">andslide boundary </w:t>
      </w:r>
      <w:r w:rsidR="00ED7863">
        <w:rPr>
          <w:rFonts w:eastAsiaTheme="minorEastAsia"/>
        </w:rPr>
        <w:t>forces</w:t>
      </w:r>
      <w:r w:rsidR="00EA48B4">
        <w:rPr>
          <w:rFonts w:eastAsiaTheme="minorEastAsia"/>
        </w:rPr>
        <w:t xml:space="preserve"> (</w:t>
      </w:r>
      <w:r w:rsidR="00EA48B4" w:rsidRPr="00345680">
        <w:rPr>
          <w:rFonts w:eastAsiaTheme="minorEastAsia"/>
        </w:rPr>
        <w:fldChar w:fldCharType="begin"/>
      </w:r>
      <w:r w:rsidR="00EA48B4" w:rsidRPr="00345680">
        <w:rPr>
          <w:rFonts w:eastAsiaTheme="minorEastAsia"/>
        </w:rPr>
        <w:instrText xml:space="preserve"> REF _Ref87286109 \h  \* MERGEFORMAT </w:instrText>
      </w:r>
      <w:r w:rsidR="00EA48B4" w:rsidRPr="00345680">
        <w:rPr>
          <w:rFonts w:eastAsiaTheme="minorEastAsia"/>
        </w:rPr>
      </w:r>
      <w:r w:rsidR="00EA48B4" w:rsidRPr="00345680">
        <w:rPr>
          <w:rFonts w:eastAsiaTheme="minorEastAsia"/>
        </w:rPr>
        <w:fldChar w:fldCharType="separate"/>
      </w:r>
      <w:r w:rsidR="00B40C6F" w:rsidRPr="00B40C6F">
        <w:t>Figure S1</w:t>
      </w:r>
      <w:r w:rsidR="00EA48B4" w:rsidRPr="00345680">
        <w:rPr>
          <w:rFonts w:eastAsiaTheme="minorEastAsia"/>
        </w:rPr>
        <w:fldChar w:fldCharType="end"/>
      </w:r>
      <w:r w:rsidR="00EA48B4">
        <w:rPr>
          <w:rFonts w:eastAsiaTheme="minorEastAsia"/>
        </w:rPr>
        <w:t>a)</w:t>
      </w:r>
      <w:r w:rsidR="00ED7863">
        <w:rPr>
          <w:rFonts w:eastAsiaTheme="minorEastAsia"/>
        </w:rPr>
        <w:t xml:space="preserve"> as described in</w:t>
      </w:r>
      <w:r w:rsidR="000C0617">
        <w:rPr>
          <w:rFonts w:eastAsiaTheme="minorEastAsia"/>
        </w:rPr>
        <w:t xml:space="preserve"> Mathews et al. (2024)</w:t>
      </w:r>
      <w:r w:rsidR="00ED7863">
        <w:rPr>
          <w:rFonts w:eastAsiaTheme="minorEastAsia"/>
        </w:rPr>
        <w:t>, but</w:t>
      </w:r>
      <w:r w:rsidR="001C7779">
        <w:rPr>
          <w:rFonts w:eastAsiaTheme="minorEastAsia"/>
        </w:rPr>
        <w:t xml:space="preserve"> </w:t>
      </w:r>
      <w:r w:rsidR="00110978">
        <w:rPr>
          <w:rFonts w:eastAsiaTheme="minorEastAsia"/>
        </w:rPr>
        <w:t>modif</w:t>
      </w:r>
      <w:r w:rsidR="000C0617">
        <w:rPr>
          <w:rFonts w:eastAsiaTheme="minorEastAsia"/>
        </w:rPr>
        <w:t>i</w:t>
      </w:r>
      <w:r w:rsidR="004627DA">
        <w:rPr>
          <w:rFonts w:eastAsiaTheme="minorEastAsia"/>
        </w:rPr>
        <w:t>ed</w:t>
      </w:r>
      <w:r w:rsidR="00110978">
        <w:rPr>
          <w:rFonts w:eastAsiaTheme="minorEastAsia"/>
        </w:rPr>
        <w:t xml:space="preserve"> the</w:t>
      </w:r>
      <w:r w:rsidR="00D257FD">
        <w:rPr>
          <w:rFonts w:eastAsiaTheme="minorEastAsia"/>
        </w:rPr>
        <w:t xml:space="preserve"> equation for</w:t>
      </w:r>
      <w:r w:rsidR="00EA48B4">
        <w:rPr>
          <w:rFonts w:eastAsiaTheme="minorEastAsia"/>
        </w:rPr>
        <w:t xml:space="preserve"> prism</w:t>
      </w:r>
      <w:r w:rsidR="00D257FD">
        <w:rPr>
          <w:rFonts w:eastAsiaTheme="minorEastAsia"/>
        </w:rPr>
        <w:t xml:space="preserve"> </w:t>
      </w:r>
      <w:r w:rsidR="001C7779">
        <w:rPr>
          <w:rFonts w:eastAsiaTheme="minorEastAsia"/>
        </w:rPr>
        <w:t>normal intercolumn force</w:t>
      </w:r>
      <w:r w:rsidR="00ED2280">
        <w:rPr>
          <w:rFonts w:eastAsiaTheme="minorEastAsia"/>
        </w:rPr>
        <w:t xml:space="preserve"> to account for seismic acceleration:</w:t>
      </w:r>
    </w:p>
    <w:p w14:paraId="78C17662" w14:textId="77777777" w:rsidR="001C7779" w:rsidRDefault="001C7779" w:rsidP="001C7779">
      <w:pPr>
        <w:jc w:val="both"/>
        <w:rPr>
          <w:rFonts w:eastAsiaTheme="minorEastAsi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895"/>
        <w:gridCol w:w="7470"/>
        <w:gridCol w:w="985"/>
      </w:tblGrid>
      <w:tr w:rsidR="001C7779" w14:paraId="502487AB" w14:textId="77777777" w:rsidTr="00A62AA1">
        <w:tc>
          <w:tcPr>
            <w:tcW w:w="895" w:type="dxa"/>
            <w:vAlign w:val="center"/>
          </w:tcPr>
          <w:p w14:paraId="30E794EC" w14:textId="77777777" w:rsidR="001C7779" w:rsidRDefault="001C7779" w:rsidP="00A62AA1">
            <w:pPr>
              <w:jc w:val="both"/>
              <w:rPr>
                <w:rFonts w:eastAsiaTheme="minorEastAsia"/>
              </w:rPr>
            </w:pPr>
          </w:p>
        </w:tc>
        <w:tc>
          <w:tcPr>
            <w:tcW w:w="7470" w:type="dxa"/>
            <w:vAlign w:val="center"/>
          </w:tcPr>
          <w:p w14:paraId="3F48FD5F" w14:textId="77777777" w:rsidR="001C7779" w:rsidRDefault="006114E2" w:rsidP="00A62AA1">
            <w:pPr>
              <w:jc w:val="both"/>
              <w:rPr>
                <w:rFonts w:eastAsiaTheme="minorEastAsia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prism</m:t>
                    </m:r>
                  </m:sub>
                </m:sSub>
                <m:r>
                  <w:rPr>
                    <w:rFonts w:ascii="Cambria Math" w:hAnsi="Cambria Math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prism</m:t>
                    </m:r>
                  </m:sub>
                </m:sSub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sin</m:t>
                    </m:r>
                  </m:fName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prism</m:t>
                        </m:r>
                      </m:sub>
                    </m:sSub>
                  </m:e>
                </m:func>
                <m:r>
                  <w:rPr>
                    <w:rFonts w:ascii="Cambria Math" w:hAnsi="Cambria Math"/>
                  </w:rPr>
                  <m:t>-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'</m:t>
                        </m:r>
                      </m:sup>
                    </m:sSup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prism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+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prism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u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prism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A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prism</m:t>
                            </m:r>
                          </m:sub>
                        </m:sSub>
                      </m:e>
                    </m:d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tan</m:t>
                        </m:r>
                      </m:fName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ϕ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'</m:t>
                            </m:r>
                          </m:sup>
                        </m:sSup>
                      </m:e>
                    </m:func>
                  </m:e>
                </m:d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cos</m:t>
                    </m:r>
                  </m:fName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prism</m:t>
                        </m:r>
                      </m:sub>
                    </m:sSub>
                  </m:e>
                </m:func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h</m:t>
                    </m:r>
                    <m: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prism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W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prism</m:t>
                    </m:r>
                  </m:sub>
                </m:sSub>
              </m:oMath>
            </m:oMathPara>
          </w:p>
        </w:tc>
        <w:tc>
          <w:tcPr>
            <w:tcW w:w="985" w:type="dxa"/>
            <w:vAlign w:val="center"/>
          </w:tcPr>
          <w:p w14:paraId="6E2D04F8" w14:textId="2A1DA937" w:rsidR="001C7779" w:rsidRDefault="001C7779" w:rsidP="00A62AA1">
            <w:pPr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>(</w:t>
            </w:r>
            <w:r w:rsidR="00951825">
              <w:rPr>
                <w:rFonts w:eastAsiaTheme="minorEastAsia"/>
              </w:rPr>
              <w:t>S</w:t>
            </w:r>
            <w:r>
              <w:rPr>
                <w:rFonts w:eastAsiaTheme="minorEastAsia"/>
              </w:rPr>
              <w:fldChar w:fldCharType="begin"/>
            </w:r>
            <w:r>
              <w:rPr>
                <w:rFonts w:eastAsiaTheme="minorEastAsia"/>
              </w:rPr>
              <w:instrText xml:space="preserve"> SEQ Equation \* ARABIC </w:instrText>
            </w:r>
            <w:r>
              <w:rPr>
                <w:rFonts w:eastAsiaTheme="minorEastAsia"/>
              </w:rPr>
              <w:fldChar w:fldCharType="separate"/>
            </w:r>
            <w:r w:rsidR="00D16477">
              <w:rPr>
                <w:rFonts w:eastAsiaTheme="minorEastAsia"/>
                <w:noProof/>
              </w:rPr>
              <w:t>1</w:t>
            </w:r>
            <w:r>
              <w:rPr>
                <w:rFonts w:eastAsiaTheme="minorEastAsia"/>
              </w:rPr>
              <w:fldChar w:fldCharType="end"/>
            </w:r>
            <w:r>
              <w:rPr>
                <w:rFonts w:eastAsiaTheme="minorEastAsia"/>
              </w:rPr>
              <w:t>)</w:t>
            </w:r>
          </w:p>
        </w:tc>
      </w:tr>
    </w:tbl>
    <w:p w14:paraId="31AAB063" w14:textId="77777777" w:rsidR="001C7779" w:rsidRDefault="001C7779" w:rsidP="001C7779">
      <w:pPr>
        <w:jc w:val="both"/>
        <w:rPr>
          <w:rFonts w:eastAsiaTheme="minorEastAsia"/>
        </w:rPr>
      </w:pPr>
    </w:p>
    <w:p w14:paraId="7C3D9BE7" w14:textId="6955DE02" w:rsidR="001C7779" w:rsidRDefault="00C35019" w:rsidP="001C7779">
      <w:pPr>
        <w:jc w:val="both"/>
        <w:rPr>
          <w:rFonts w:eastAsiaTheme="minorEastAsia"/>
        </w:rPr>
      </w:pPr>
      <w:r>
        <w:rPr>
          <w:rFonts w:eastAsiaTheme="minorEastAsia"/>
        </w:rPr>
        <w:t xml:space="preserve">where </w:t>
      </w: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β</m:t>
            </m:r>
          </m:e>
          <m:sub>
            <m:r>
              <w:rPr>
                <w:rFonts w:ascii="Cambria Math" w:eastAsiaTheme="minorEastAsia" w:hAnsi="Cambria Math"/>
              </w:rPr>
              <m:t>prism</m:t>
            </m:r>
          </m:sub>
        </m:sSub>
      </m:oMath>
      <w:r w:rsidR="001C7779">
        <w:rPr>
          <w:rFonts w:eastAsiaTheme="minorEastAsia"/>
        </w:rPr>
        <w:t xml:space="preserve"> </w:t>
      </w:r>
      <w:r w:rsidR="001C7779">
        <w:t>is the resultant slip surface angle</w:t>
      </w:r>
      <w:r w:rsidR="001C7779">
        <w:rPr>
          <w:rFonts w:eastAsiaTheme="minorEastAsia"/>
        </w:rPr>
        <w:t xml:space="preserve"> of the prism,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prism</m:t>
            </m:r>
          </m:sub>
        </m:sSub>
      </m:oMath>
      <w:r w:rsidR="001C7779">
        <w:rPr>
          <w:rFonts w:eastAsiaTheme="minorEastAsia"/>
        </w:rPr>
        <w:t xml:space="preserve"> is the area of the prism slip surface</w:t>
      </w:r>
      <w:r w:rsidR="00495E10">
        <w:rPr>
          <w:rFonts w:eastAsiaTheme="minorEastAsia"/>
        </w:rPr>
        <w:t xml:space="preserve">, </w:t>
      </w:r>
      <w:r w:rsidR="001C7779">
        <w:rPr>
          <w:rFonts w:eastAsiaTheme="minorEastAsia"/>
        </w:rPr>
        <w:t xml:space="preserve">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/>
              </w:rPr>
              <m:t>u</m:t>
            </m:r>
          </m:e>
          <m:sub>
            <m:r>
              <w:rPr>
                <w:rFonts w:ascii="Cambria Math" w:eastAsiaTheme="minorEastAsia"/>
              </w:rPr>
              <m:t>prism</m:t>
            </m:r>
          </m:sub>
        </m:sSub>
      </m:oMath>
      <w:r w:rsidR="001C7779">
        <w:rPr>
          <w:rFonts w:eastAsiaTheme="minorEastAsia"/>
        </w:rPr>
        <w:t xml:space="preserve"> is </w:t>
      </w:r>
      <w:r w:rsidR="001C7779">
        <w:rPr>
          <w:iCs/>
        </w:rPr>
        <w:t xml:space="preserve">porewater pressure or suction stress </w:t>
      </w:r>
      <w:r w:rsidR="001C7779">
        <w:t xml:space="preserve">at the prism slip surface, and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h,prism</m:t>
            </m:r>
          </m:sub>
        </m:sSub>
      </m:oMath>
      <w:r w:rsidR="001C7779">
        <w:rPr>
          <w:rFonts w:eastAsiaTheme="minorEastAsia"/>
        </w:rPr>
        <w:t xml:space="preserve"> is the horizontal pseudostatic coefficient for each prism</w:t>
      </w:r>
      <w:r w:rsidR="001C7779">
        <w:t xml:space="preserve">.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h,prism</m:t>
            </m:r>
          </m:sub>
        </m:sSub>
      </m:oMath>
      <w:r w:rsidR="001C7779">
        <w:rPr>
          <w:rFonts w:eastAsiaTheme="minorEastAsia"/>
        </w:rPr>
        <w:t xml:space="preserve"> is estimated as the mean value of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h</m:t>
            </m:r>
          </m:sub>
        </m:sSub>
      </m:oMath>
      <w:r w:rsidR="001C7779">
        <w:rPr>
          <w:rFonts w:eastAsiaTheme="minorEastAsia"/>
        </w:rPr>
        <w:t xml:space="preserve"> for the entire cluster,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h,mean</m:t>
            </m:r>
          </m:sub>
        </m:sSub>
      </m:oMath>
      <w:r w:rsidR="001C7779">
        <w:rPr>
          <w:rFonts w:eastAsiaTheme="minorEastAsia"/>
        </w:rPr>
        <w:t xml:space="preserve">, scaled according to the orientation of each prism’s slip surface in relation to the cluster </w:t>
      </w:r>
      <w:r w:rsidR="00EA48B4">
        <w:rPr>
          <w:rFonts w:eastAsiaTheme="minorEastAsia"/>
        </w:rPr>
        <w:t>DOS</w:t>
      </w:r>
      <w:r w:rsidR="001C7779">
        <w:rPr>
          <w:rFonts w:eastAsiaTheme="minorEastAsia"/>
        </w:rPr>
        <w:t>:</w:t>
      </w:r>
    </w:p>
    <w:p w14:paraId="6292FA3B" w14:textId="77777777" w:rsidR="001C7779" w:rsidRDefault="001C7779" w:rsidP="001C7779">
      <w:pPr>
        <w:jc w:val="both"/>
        <w:rPr>
          <w:rFonts w:eastAsiaTheme="minorEastAsi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7470"/>
        <w:gridCol w:w="985"/>
      </w:tblGrid>
      <w:tr w:rsidR="001C7779" w14:paraId="619B37FC" w14:textId="77777777" w:rsidTr="00A62AA1">
        <w:tc>
          <w:tcPr>
            <w:tcW w:w="895" w:type="dxa"/>
            <w:vAlign w:val="center"/>
          </w:tcPr>
          <w:p w14:paraId="3B969974" w14:textId="77777777" w:rsidR="001C7779" w:rsidRDefault="001C7779" w:rsidP="00A62AA1">
            <w:pPr>
              <w:jc w:val="both"/>
              <w:rPr>
                <w:rFonts w:eastAsiaTheme="minorEastAsia"/>
              </w:rPr>
            </w:pPr>
          </w:p>
        </w:tc>
        <w:tc>
          <w:tcPr>
            <w:tcW w:w="7470" w:type="dxa"/>
            <w:vAlign w:val="center"/>
          </w:tcPr>
          <w:p w14:paraId="1B89BFD3" w14:textId="77777777" w:rsidR="001C7779" w:rsidRDefault="006114E2" w:rsidP="00A62AA1">
            <w:pPr>
              <w:jc w:val="both"/>
              <w:rPr>
                <w:rFonts w:eastAsiaTheme="minorEastAsia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h</m:t>
                    </m:r>
                    <m: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prism</m:t>
                    </m:r>
                  </m:sub>
                </m:sSub>
                <m:r>
                  <w:rPr>
                    <w:rFonts w:ascii="Cambria Math" w:hAnsi="Cambria Math"/>
                  </w:rPr>
                  <m:t>=-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h</m:t>
                    </m:r>
                    <m: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mean</m:t>
                    </m:r>
                  </m:sub>
                </m:sSub>
                <m:func>
                  <m:funcPr>
                    <m:ctrlPr>
                      <w:rPr>
                        <w:rFonts w:ascii="Cambria Math" w:eastAsiaTheme="minorEastAsia" w:hAnsi="Cambria Math" w:cstheme="minorBidi"/>
                        <w:i/>
                        <w:szCs w:val="22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cos</m:t>
                    </m:r>
                  </m:fName>
                  <m:e>
                    <m:r>
                      <w:rPr>
                        <w:rFonts w:ascii="Cambria Math" w:eastAsiaTheme="minorEastAsia" w:hAnsi="Cambria Math"/>
                      </w:rPr>
                      <m:t>γ</m:t>
                    </m:r>
                  </m:e>
                </m:func>
              </m:oMath>
            </m:oMathPara>
          </w:p>
        </w:tc>
        <w:tc>
          <w:tcPr>
            <w:tcW w:w="985" w:type="dxa"/>
            <w:vAlign w:val="center"/>
          </w:tcPr>
          <w:p w14:paraId="0E90BC79" w14:textId="4A998C1A" w:rsidR="001C7779" w:rsidRDefault="001C7779" w:rsidP="00A62AA1">
            <w:pPr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>(</w:t>
            </w:r>
            <w:r w:rsidR="00951825">
              <w:rPr>
                <w:rFonts w:eastAsiaTheme="minorEastAsia"/>
              </w:rPr>
              <w:t>S</w:t>
            </w:r>
            <w:r>
              <w:rPr>
                <w:rFonts w:eastAsiaTheme="minorEastAsia"/>
              </w:rPr>
              <w:fldChar w:fldCharType="begin"/>
            </w:r>
            <w:r>
              <w:rPr>
                <w:rFonts w:eastAsiaTheme="minorEastAsia"/>
              </w:rPr>
              <w:instrText xml:space="preserve"> SEQ Equation \* ARABIC </w:instrText>
            </w:r>
            <w:r>
              <w:rPr>
                <w:rFonts w:eastAsiaTheme="minorEastAsia"/>
              </w:rPr>
              <w:fldChar w:fldCharType="separate"/>
            </w:r>
            <w:r w:rsidR="00951825">
              <w:rPr>
                <w:rFonts w:eastAsiaTheme="minorEastAsia"/>
                <w:noProof/>
              </w:rPr>
              <w:t>2</w:t>
            </w:r>
            <w:r>
              <w:rPr>
                <w:rFonts w:eastAsiaTheme="minorEastAsia"/>
              </w:rPr>
              <w:fldChar w:fldCharType="end"/>
            </w:r>
            <w:r>
              <w:rPr>
                <w:rFonts w:eastAsiaTheme="minorEastAsia"/>
              </w:rPr>
              <w:t>)</w:t>
            </w:r>
          </w:p>
        </w:tc>
      </w:tr>
    </w:tbl>
    <w:p w14:paraId="1ABFAA12" w14:textId="77777777" w:rsidR="001C7779" w:rsidRDefault="001C7779" w:rsidP="001C7779">
      <w:pPr>
        <w:jc w:val="both"/>
        <w:rPr>
          <w:rFonts w:eastAsiaTheme="minorEastAsia"/>
        </w:rPr>
      </w:pPr>
    </w:p>
    <w:p w14:paraId="47C8911E" w14:textId="165C96B4" w:rsidR="00DE6C4E" w:rsidRPr="002F380A" w:rsidRDefault="001C7779" w:rsidP="002F380A">
      <w:pPr>
        <w:jc w:val="both"/>
        <w:rPr>
          <w:rFonts w:eastAsiaTheme="minorEastAsia"/>
        </w:rPr>
      </w:pPr>
      <w:r>
        <w:rPr>
          <w:rFonts w:eastAsiaTheme="minorEastAsia"/>
        </w:rPr>
        <w:t xml:space="preserve">where </w:t>
      </w:r>
      <m:oMath>
        <m:r>
          <w:rPr>
            <w:rFonts w:ascii="Cambria Math" w:eastAsiaTheme="minorEastAsia" w:hAnsi="Cambria Math"/>
          </w:rPr>
          <m:t>γ</m:t>
        </m:r>
      </m:oMath>
      <w:r>
        <w:rPr>
          <w:rFonts w:eastAsiaTheme="minorEastAsia"/>
        </w:rPr>
        <w:t xml:space="preserve"> is the angle between the prism slip surface aspect and the cluster </w:t>
      </w:r>
      <w:r w:rsidR="001A5C76">
        <w:rPr>
          <w:rFonts w:eastAsiaTheme="minorEastAsia"/>
        </w:rPr>
        <w:t>DOS</w:t>
      </w:r>
      <w:r>
        <w:rPr>
          <w:rFonts w:eastAsiaTheme="minorEastAsia"/>
        </w:rPr>
        <w:t>. This scaling ensures that the</w:t>
      </w:r>
      <w:r w:rsidR="000F0AE5">
        <w:rPr>
          <w:rFonts w:eastAsiaTheme="minorEastAsia"/>
        </w:rPr>
        <w:t xml:space="preserve"> direction of the</w:t>
      </w:r>
      <w:r>
        <w:rPr>
          <w:rFonts w:eastAsiaTheme="minorEastAsia"/>
        </w:rPr>
        <w:t xml:space="preserve"> pseudostatic coefficient applied to each prism agrees with the cluster </w:t>
      </w:r>
      <w:r w:rsidR="001A5C76">
        <w:rPr>
          <w:rFonts w:eastAsiaTheme="minorEastAsia"/>
        </w:rPr>
        <w:t xml:space="preserve">DOS, </w:t>
      </w:r>
      <w:r>
        <w:rPr>
          <w:rFonts w:eastAsiaTheme="minorEastAsia"/>
        </w:rPr>
        <w:t>regardless of its orientation. For example, if a prism is at the crest of the cluster (</w:t>
      </w:r>
      <m:oMath>
        <m:r>
          <w:rPr>
            <w:rFonts w:ascii="Cambria Math" w:eastAsiaTheme="minorEastAsia" w:hAnsi="Cambria Math"/>
          </w:rPr>
          <m:t>γ=180°</m:t>
        </m:r>
      </m:oMath>
      <w:r>
        <w:rPr>
          <w:rFonts w:eastAsiaTheme="minorEastAsia"/>
        </w:rPr>
        <w:t xml:space="preserve">), then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h,prism</m:t>
            </m:r>
          </m:sub>
        </m:sSub>
      </m:oMath>
      <w:r>
        <w:rPr>
          <w:rFonts w:eastAsiaTheme="minorEastAsia"/>
        </w:rPr>
        <w:t xml:space="preserve"> acts in the same direction as the prism slip surface aspect, increasing driving force and reducing normal force. Conversely, if a prism is at the toe of the cluster (</w:t>
      </w:r>
      <m:oMath>
        <m:r>
          <w:rPr>
            <w:rFonts w:ascii="Cambria Math" w:eastAsiaTheme="minorEastAsia" w:hAnsi="Cambria Math"/>
          </w:rPr>
          <m:t>γ=0°</m:t>
        </m:r>
      </m:oMath>
      <w:r>
        <w:rPr>
          <w:rFonts w:eastAsiaTheme="minorEastAsia"/>
        </w:rPr>
        <w:t xml:space="preserve">), then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h,prism</m:t>
            </m:r>
          </m:sub>
        </m:sSub>
      </m:oMath>
      <w:r>
        <w:rPr>
          <w:rFonts w:eastAsiaTheme="minorEastAsia"/>
        </w:rPr>
        <w:t xml:space="preserve"> acts in the opposite direction, decreasing resisting forces.</w:t>
      </w:r>
    </w:p>
    <w:p w14:paraId="3FFC1AC9" w14:textId="75CEF696" w:rsidR="00C73322" w:rsidRPr="00464AE8" w:rsidRDefault="00C73322" w:rsidP="00EE45E9">
      <w:pPr>
        <w:pStyle w:val="Heading1"/>
        <w:numPr>
          <w:ilvl w:val="0"/>
          <w:numId w:val="0"/>
        </w:numPr>
        <w:ind w:left="360" w:hanging="360"/>
        <w:rPr>
          <w:i/>
          <w:iCs/>
        </w:rPr>
      </w:pPr>
      <w:r w:rsidRPr="00464AE8">
        <w:rPr>
          <w:i/>
          <w:iCs/>
        </w:rPr>
        <w:t>Figures S</w:t>
      </w:r>
      <w:r w:rsidR="00AC3C7F">
        <w:rPr>
          <w:i/>
          <w:iCs/>
        </w:rPr>
        <w:t>1</w:t>
      </w:r>
      <w:r w:rsidRPr="00464AE8">
        <w:rPr>
          <w:i/>
          <w:iCs/>
        </w:rPr>
        <w:t xml:space="preserve"> </w:t>
      </w:r>
      <w:r w:rsidR="0032574B" w:rsidRPr="00464AE8">
        <w:rPr>
          <w:i/>
          <w:iCs/>
        </w:rPr>
        <w:t>to S</w:t>
      </w:r>
      <w:r w:rsidR="0087440B">
        <w:rPr>
          <w:i/>
          <w:iCs/>
        </w:rPr>
        <w:t>5</w:t>
      </w:r>
    </w:p>
    <w:p w14:paraId="0F6FBA7C" w14:textId="77777777" w:rsidR="00C73322" w:rsidRDefault="00C73322" w:rsidP="00B25440">
      <w:pPr>
        <w:jc w:val="both"/>
      </w:pPr>
    </w:p>
    <w:p w14:paraId="64E2985D" w14:textId="4801ADA8" w:rsidR="00C73322" w:rsidRDefault="006E1D7C" w:rsidP="00763962">
      <w:pPr>
        <w:jc w:val="center"/>
      </w:pPr>
      <w:r>
        <w:rPr>
          <w:noProof/>
        </w:rPr>
        <w:lastRenderedPageBreak/>
        <w:drawing>
          <wp:inline distT="0" distB="0" distL="0" distR="0" wp14:anchorId="5CF6F30D" wp14:editId="3DAD9A35">
            <wp:extent cx="5943600" cy="47879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8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B3163D" w14:textId="197B9BA1" w:rsidR="009D732B" w:rsidRDefault="00C73322" w:rsidP="004C2494">
      <w:pPr>
        <w:pStyle w:val="Caption"/>
        <w:rPr>
          <w:b/>
          <w:bCs/>
        </w:rPr>
      </w:pPr>
      <w:bookmarkStart w:id="1" w:name="_Ref87286109"/>
      <w:bookmarkStart w:id="2" w:name="_Toc80800902"/>
      <w:r w:rsidRPr="00433B43">
        <w:rPr>
          <w:b/>
          <w:bCs/>
        </w:rPr>
        <w:t xml:space="preserve">Figure </w:t>
      </w:r>
      <w:r w:rsidR="0032574B" w:rsidRPr="00433B43">
        <w:rPr>
          <w:b/>
          <w:bCs/>
        </w:rPr>
        <w:t>S</w:t>
      </w:r>
      <w:r w:rsidRPr="00433B43">
        <w:rPr>
          <w:b/>
          <w:bCs/>
        </w:rPr>
        <w:fldChar w:fldCharType="begin"/>
      </w:r>
      <w:r w:rsidRPr="00433B43">
        <w:rPr>
          <w:b/>
          <w:bCs/>
        </w:rPr>
        <w:instrText xml:space="preserve"> SEQ Figure \* ARABIC </w:instrText>
      </w:r>
      <w:r w:rsidRPr="00433B43">
        <w:rPr>
          <w:b/>
          <w:bCs/>
        </w:rPr>
        <w:fldChar w:fldCharType="separate"/>
      </w:r>
      <w:r w:rsidR="00CF2963">
        <w:rPr>
          <w:b/>
          <w:bCs/>
          <w:noProof/>
        </w:rPr>
        <w:t>1</w:t>
      </w:r>
      <w:r w:rsidRPr="00433B43">
        <w:rPr>
          <w:b/>
          <w:bCs/>
          <w:noProof/>
        </w:rPr>
        <w:fldChar w:fldCharType="end"/>
      </w:r>
      <w:bookmarkEnd w:id="1"/>
      <w:r w:rsidRPr="00433B43">
        <w:rPr>
          <w:b/>
          <w:bCs/>
        </w:rPr>
        <w:t>:</w:t>
      </w:r>
      <w:r>
        <w:rPr>
          <w:bCs/>
        </w:rPr>
        <w:t xml:space="preserve"> </w:t>
      </w:r>
      <w:bookmarkEnd w:id="2"/>
      <w:r w:rsidR="00AA114A">
        <w:rPr>
          <w:bCs/>
        </w:rPr>
        <w:t>RegionGrow3D schematic</w:t>
      </w:r>
      <w:r w:rsidR="002B0AE5">
        <w:rPr>
          <w:bCs/>
        </w:rPr>
        <w:t xml:space="preserve"> modified to account for seismic acceleration (seismic forces in red)</w:t>
      </w:r>
      <w:r w:rsidR="00AA114A">
        <w:rPr>
          <w:bCs/>
        </w:rPr>
        <w:t xml:space="preserve">: a) </w:t>
      </w:r>
      <w:r w:rsidR="002B0AE5">
        <w:rPr>
          <w:bCs/>
        </w:rPr>
        <w:t>boundary structure</w:t>
      </w:r>
      <w:r w:rsidR="00AA114A">
        <w:rPr>
          <w:bCs/>
        </w:rPr>
        <w:t xml:space="preserve">; b) </w:t>
      </w:r>
      <w:r w:rsidR="0018446C">
        <w:rPr>
          <w:bCs/>
        </w:rPr>
        <w:t>side view of</w:t>
      </w:r>
      <w:r w:rsidR="003B5600">
        <w:rPr>
          <w:bCs/>
        </w:rPr>
        <w:t xml:space="preserve"> landslide</w:t>
      </w:r>
      <w:r w:rsidR="0018446C">
        <w:rPr>
          <w:bCs/>
        </w:rPr>
        <w:t xml:space="preserve"> cluster; c) </w:t>
      </w:r>
      <w:r w:rsidR="003B5600">
        <w:rPr>
          <w:bCs/>
        </w:rPr>
        <w:t>oblique view of landslide cluster; d) schematic for single soil column</w:t>
      </w:r>
      <w:r w:rsidR="00AA114A">
        <w:rPr>
          <w:bCs/>
        </w:rPr>
        <w:t>.</w:t>
      </w:r>
    </w:p>
    <w:p w14:paraId="7CC96980" w14:textId="7DAD6B3B" w:rsidR="009A4825" w:rsidRDefault="009A4825" w:rsidP="00B25440">
      <w:pPr>
        <w:jc w:val="both"/>
      </w:pPr>
    </w:p>
    <w:p w14:paraId="3FAD4BE0" w14:textId="65794329" w:rsidR="00A80B5C" w:rsidRDefault="008E0BC4" w:rsidP="00B25440">
      <w:pPr>
        <w:keepNext/>
        <w:jc w:val="both"/>
      </w:pPr>
      <w:r>
        <w:rPr>
          <w:noProof/>
        </w:rPr>
        <w:lastRenderedPageBreak/>
        <w:drawing>
          <wp:inline distT="0" distB="0" distL="0" distR="0" wp14:anchorId="5F0C1B0E" wp14:editId="2B7292DF">
            <wp:extent cx="5943600" cy="73533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35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F7A302" w14:textId="14A9CE36" w:rsidR="00A80B5C" w:rsidRPr="00916391" w:rsidRDefault="00A80B5C" w:rsidP="004C2494">
      <w:pPr>
        <w:pStyle w:val="Caption"/>
      </w:pPr>
      <w:bookmarkStart w:id="3" w:name="_Ref111669534"/>
      <w:r w:rsidRPr="006B4B9C">
        <w:rPr>
          <w:b/>
          <w:bCs/>
        </w:rPr>
        <w:t xml:space="preserve">Figure </w:t>
      </w:r>
      <w:r w:rsidR="00433B43">
        <w:rPr>
          <w:b/>
          <w:bCs/>
        </w:rPr>
        <w:t>S</w:t>
      </w:r>
      <w:r w:rsidRPr="006B4B9C">
        <w:rPr>
          <w:b/>
          <w:bCs/>
        </w:rPr>
        <w:fldChar w:fldCharType="begin"/>
      </w:r>
      <w:r w:rsidRPr="006B4B9C">
        <w:rPr>
          <w:b/>
          <w:bCs/>
        </w:rPr>
        <w:instrText xml:space="preserve"> SEQ Figure \* ARABIC </w:instrText>
      </w:r>
      <w:r w:rsidRPr="006B4B9C">
        <w:rPr>
          <w:b/>
          <w:bCs/>
        </w:rPr>
        <w:fldChar w:fldCharType="separate"/>
      </w:r>
      <w:r w:rsidR="006D137C">
        <w:rPr>
          <w:b/>
          <w:bCs/>
          <w:noProof/>
        </w:rPr>
        <w:t>2</w:t>
      </w:r>
      <w:r w:rsidRPr="006B4B9C">
        <w:rPr>
          <w:b/>
          <w:bCs/>
        </w:rPr>
        <w:fldChar w:fldCharType="end"/>
      </w:r>
      <w:bookmarkEnd w:id="3"/>
      <w:r w:rsidRPr="006B4B9C">
        <w:rPr>
          <w:b/>
          <w:bCs/>
        </w:rPr>
        <w:t>:</w:t>
      </w:r>
      <w:r>
        <w:t xml:space="preserve"> </w:t>
      </w:r>
      <w:r w:rsidR="008E0BC4">
        <w:t>Susceptibility map</w:t>
      </w:r>
      <w:r w:rsidR="00667818">
        <w:t>: a) M</w:t>
      </w:r>
      <w:r w:rsidR="00667818">
        <w:rPr>
          <w:vertAlign w:val="subscript"/>
        </w:rPr>
        <w:t>w</w:t>
      </w:r>
      <w:r w:rsidR="00667818">
        <w:t xml:space="preserve"> 9.0 in February (mean conditions).</w:t>
      </w:r>
      <w:r w:rsidR="008E0BC4">
        <w:t xml:space="preserve"> </w:t>
      </w:r>
      <w:r w:rsidR="00FE0796">
        <w:t>Corresponding d</w:t>
      </w:r>
      <w:r w:rsidR="008E0BC4">
        <w:t xml:space="preserve">iscrete landslide distributions for subset of study area: </w:t>
      </w:r>
      <w:r w:rsidR="003C2657">
        <w:t>b)</w:t>
      </w:r>
      <w:r w:rsidR="00FE0796">
        <w:t xml:space="preserve"> </w:t>
      </w:r>
      <m:oMath>
        <m:r>
          <w:rPr>
            <w:rFonts w:ascii="Cambria Math" w:hAnsi="Cambria Math"/>
          </w:rPr>
          <m:t>T=40%</m:t>
        </m:r>
      </m:oMath>
      <w:r w:rsidR="002A06A3">
        <w:t xml:space="preserve"> (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ϕ</m:t>
            </m:r>
          </m:e>
          <m:sup>
            <m:r>
              <w:rPr>
                <w:rFonts w:ascii="Cambria Math" w:eastAsiaTheme="minorEastAsia" w:hAnsi="Cambria Math"/>
              </w:rPr>
              <m:t>'</m:t>
            </m:r>
          </m:sup>
        </m:sSup>
        <m:r>
          <w:rPr>
            <w:rFonts w:ascii="Cambria Math" w:eastAsiaTheme="minorEastAsia" w:hAnsi="Cambria Math"/>
          </w:rPr>
          <m:t>=15.2°</m:t>
        </m:r>
      </m:oMath>
      <w:r w:rsidR="002A06A3">
        <w:t xml:space="preserve">); c) </w:t>
      </w:r>
      <m:oMath>
        <m:r>
          <w:rPr>
            <w:rFonts w:ascii="Cambria Math" w:hAnsi="Cambria Math"/>
          </w:rPr>
          <m:t>T=80%</m:t>
        </m:r>
      </m:oMath>
      <w:r w:rsidR="003D0704">
        <w:t xml:space="preserve"> (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ϕ</m:t>
            </m:r>
          </m:e>
          <m:sup>
            <m:r>
              <w:rPr>
                <w:rFonts w:ascii="Cambria Math" w:eastAsiaTheme="minorEastAsia" w:hAnsi="Cambria Math"/>
              </w:rPr>
              <m:t>'</m:t>
            </m:r>
          </m:sup>
        </m:sSup>
        <m:r>
          <w:rPr>
            <w:rFonts w:ascii="Cambria Math" w:eastAsiaTheme="minorEastAsia" w:hAnsi="Cambria Math"/>
          </w:rPr>
          <m:t>=22.3°</m:t>
        </m:r>
      </m:oMath>
      <w:r w:rsidR="003D0704">
        <w:t>).</w:t>
      </w:r>
    </w:p>
    <w:p w14:paraId="1B990465" w14:textId="7AAE376D" w:rsidR="00A80B5C" w:rsidRDefault="00A80B5C" w:rsidP="00B25440">
      <w:pPr>
        <w:jc w:val="both"/>
      </w:pPr>
    </w:p>
    <w:p w14:paraId="18DDE8F4" w14:textId="77777777" w:rsidR="00A80B5C" w:rsidRDefault="00A80B5C" w:rsidP="00B25440">
      <w:pPr>
        <w:jc w:val="both"/>
      </w:pPr>
    </w:p>
    <w:p w14:paraId="509B6F7D" w14:textId="77777777" w:rsidR="009A4825" w:rsidRDefault="009A4825" w:rsidP="00B25440">
      <w:pPr>
        <w:keepNext/>
        <w:jc w:val="both"/>
      </w:pPr>
      <w:r>
        <w:rPr>
          <w:noProof/>
        </w:rPr>
        <w:drawing>
          <wp:inline distT="0" distB="0" distL="0" distR="0" wp14:anchorId="00156329" wp14:editId="5B7C60DF">
            <wp:extent cx="5947410" cy="3251835"/>
            <wp:effectExtent l="0" t="0" r="0" b="5715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410" cy="3251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10DDAE" w14:textId="58D94E28" w:rsidR="009A4825" w:rsidRDefault="009A4825" w:rsidP="004C2494">
      <w:pPr>
        <w:pStyle w:val="Caption"/>
        <w:rPr>
          <w:bCs/>
        </w:rPr>
      </w:pPr>
      <w:bookmarkStart w:id="4" w:name="_Ref79049817"/>
      <w:bookmarkStart w:id="5" w:name="_Toc80800905"/>
      <w:r w:rsidRPr="006B4B9C">
        <w:rPr>
          <w:b/>
          <w:bCs/>
        </w:rPr>
        <w:t xml:space="preserve">Figure </w:t>
      </w:r>
      <w:r w:rsidR="00433B43">
        <w:rPr>
          <w:b/>
          <w:bCs/>
        </w:rPr>
        <w:t>S</w:t>
      </w:r>
      <w:r w:rsidRPr="006B4B9C">
        <w:rPr>
          <w:b/>
          <w:bCs/>
        </w:rPr>
        <w:fldChar w:fldCharType="begin"/>
      </w:r>
      <w:r w:rsidRPr="006B4B9C">
        <w:rPr>
          <w:b/>
          <w:bCs/>
        </w:rPr>
        <w:instrText xml:space="preserve"> SEQ Figure \* ARABIC </w:instrText>
      </w:r>
      <w:r w:rsidRPr="006B4B9C">
        <w:rPr>
          <w:b/>
          <w:bCs/>
        </w:rPr>
        <w:fldChar w:fldCharType="separate"/>
      </w:r>
      <w:r w:rsidR="00CF2963">
        <w:rPr>
          <w:b/>
          <w:bCs/>
          <w:noProof/>
        </w:rPr>
        <w:t>3</w:t>
      </w:r>
      <w:r w:rsidRPr="006B4B9C">
        <w:rPr>
          <w:b/>
          <w:bCs/>
          <w:noProof/>
        </w:rPr>
        <w:fldChar w:fldCharType="end"/>
      </w:r>
      <w:bookmarkEnd w:id="4"/>
      <w:r w:rsidRPr="006B4B9C">
        <w:rPr>
          <w:b/>
          <w:bCs/>
        </w:rPr>
        <w:t>:</w:t>
      </w:r>
      <w:r>
        <w:rPr>
          <w:bCs/>
        </w:rPr>
        <w:t xml:space="preserve"> Distributions of </w:t>
      </w:r>
      <w:r w:rsidR="0099209C">
        <w:rPr>
          <w:bCs/>
        </w:rPr>
        <w:t>peak ground acceleration</w:t>
      </w:r>
      <w:r w:rsidR="00127205">
        <w:rPr>
          <w:bCs/>
        </w:rPr>
        <w:t xml:space="preserve"> (PGA)</w:t>
      </w:r>
      <w:r>
        <w:rPr>
          <w:bCs/>
        </w:rPr>
        <w:t xml:space="preserve"> for the </w:t>
      </w:r>
      <w:r w:rsidR="00657F14">
        <w:rPr>
          <w:bCs/>
        </w:rPr>
        <w:t>study area</w:t>
      </w:r>
      <w:r w:rsidRPr="004B7739">
        <w:rPr>
          <w:bCs/>
        </w:rPr>
        <w:t xml:space="preserve">, with mean, </w:t>
      </w:r>
      <m:oMath>
        <m:r>
          <w:rPr>
            <w:rFonts w:ascii="Cambria Math" w:hAnsi="Cambria Math"/>
          </w:rPr>
          <m:t>μ</m:t>
        </m:r>
      </m:oMath>
      <w:r w:rsidRPr="004B7739">
        <w:rPr>
          <w:bCs/>
        </w:rPr>
        <w:t xml:space="preserve">, and standard deviation, </w:t>
      </w:r>
      <m:oMath>
        <m:r>
          <w:rPr>
            <w:rFonts w:ascii="Cambria Math" w:hAnsi="Cambria Math"/>
          </w:rPr>
          <m:t>σ</m:t>
        </m:r>
      </m:oMath>
      <w:r w:rsidRPr="004B7739">
        <w:rPr>
          <w:bCs/>
        </w:rPr>
        <w:t>: a) histograms of PGA distributions</w:t>
      </w:r>
      <w:r w:rsidR="0072281D">
        <w:rPr>
          <w:bCs/>
        </w:rPr>
        <w:t>. Distributions of PGA for</w:t>
      </w:r>
      <w:r w:rsidR="0091738C">
        <w:rPr>
          <w:bCs/>
        </w:rPr>
        <w:t xml:space="preserve"> </w:t>
      </w:r>
      <w:r w:rsidR="00383B7F">
        <w:rPr>
          <w:bCs/>
        </w:rPr>
        <w:t>three scenarios with different</w:t>
      </w:r>
      <w:r w:rsidR="0091738C">
        <w:rPr>
          <w:bCs/>
        </w:rPr>
        <w:t xml:space="preserve"> moment magnitudes</w:t>
      </w:r>
      <w:r w:rsidR="0072281D">
        <w:rPr>
          <w:bCs/>
        </w:rPr>
        <w:t>:</w:t>
      </w:r>
      <w:r w:rsidRPr="004B7739">
        <w:rPr>
          <w:bCs/>
        </w:rPr>
        <w:t xml:space="preserve"> b) </w:t>
      </w:r>
      <w:r>
        <w:rPr>
          <w:bCs/>
        </w:rPr>
        <w:t>M</w:t>
      </w:r>
      <w:r w:rsidR="0072281D">
        <w:rPr>
          <w:bCs/>
          <w:vertAlign w:val="subscript"/>
        </w:rPr>
        <w:t>w</w:t>
      </w:r>
      <w:r>
        <w:rPr>
          <w:bCs/>
        </w:rPr>
        <w:t xml:space="preserve">8.1; c) </w:t>
      </w:r>
      <w:r w:rsidR="0091738C">
        <w:rPr>
          <w:bCs/>
        </w:rPr>
        <w:t>M</w:t>
      </w:r>
      <w:r w:rsidR="0091738C">
        <w:rPr>
          <w:bCs/>
          <w:vertAlign w:val="subscript"/>
        </w:rPr>
        <w:t>w</w:t>
      </w:r>
      <w:r w:rsidR="0091738C">
        <w:rPr>
          <w:bCs/>
        </w:rPr>
        <w:t>8.4</w:t>
      </w:r>
      <w:r>
        <w:rPr>
          <w:bCs/>
        </w:rPr>
        <w:t xml:space="preserve">; d) </w:t>
      </w:r>
      <w:r w:rsidR="0091738C">
        <w:rPr>
          <w:bCs/>
        </w:rPr>
        <w:t>M</w:t>
      </w:r>
      <w:r w:rsidR="0091738C">
        <w:rPr>
          <w:bCs/>
          <w:vertAlign w:val="subscript"/>
        </w:rPr>
        <w:t>w</w:t>
      </w:r>
      <w:r w:rsidR="0091738C">
        <w:rPr>
          <w:bCs/>
        </w:rPr>
        <w:t>9.0</w:t>
      </w:r>
      <w:r>
        <w:rPr>
          <w:bCs/>
        </w:rPr>
        <w:t>.</w:t>
      </w:r>
      <w:bookmarkEnd w:id="5"/>
    </w:p>
    <w:p w14:paraId="66FECF24" w14:textId="2B815FEB" w:rsidR="00C64A30" w:rsidRDefault="00C64A30" w:rsidP="00C64A30"/>
    <w:p w14:paraId="1D498D3F" w14:textId="5E42DF44" w:rsidR="00C64A30" w:rsidRPr="00C64A30" w:rsidRDefault="00C64A30" w:rsidP="00C64A30">
      <w:pPr>
        <w:pStyle w:val="Caption"/>
      </w:pPr>
    </w:p>
    <w:p w14:paraId="5916B49C" w14:textId="3F31D236" w:rsidR="009A4825" w:rsidRDefault="009A4825" w:rsidP="00B25440">
      <w:pPr>
        <w:jc w:val="both"/>
      </w:pPr>
    </w:p>
    <w:p w14:paraId="7965BD0A" w14:textId="77777777" w:rsidR="009A4825" w:rsidRDefault="009A4825" w:rsidP="00B25440">
      <w:pPr>
        <w:keepNext/>
        <w:jc w:val="both"/>
      </w:pPr>
      <w:r>
        <w:rPr>
          <w:noProof/>
        </w:rPr>
        <w:lastRenderedPageBreak/>
        <w:drawing>
          <wp:inline distT="0" distB="0" distL="0" distR="0" wp14:anchorId="07B81FDA" wp14:editId="3DAAB4EE">
            <wp:extent cx="5839460" cy="7315200"/>
            <wp:effectExtent l="0" t="0" r="889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946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122F94" w14:textId="639F79F2" w:rsidR="009A4825" w:rsidRDefault="009A4825" w:rsidP="00551D19">
      <w:pPr>
        <w:pStyle w:val="Caption"/>
        <w:rPr>
          <w:b/>
          <w:bCs/>
        </w:rPr>
      </w:pPr>
      <w:bookmarkStart w:id="6" w:name="_Ref79049972"/>
      <w:bookmarkStart w:id="7" w:name="_Ref79052397"/>
      <w:bookmarkStart w:id="8" w:name="_Toc80800908"/>
      <w:r w:rsidRPr="006B4B9C">
        <w:rPr>
          <w:b/>
          <w:bCs/>
        </w:rPr>
        <w:t xml:space="preserve">Figure </w:t>
      </w:r>
      <w:r w:rsidR="00433B43">
        <w:rPr>
          <w:b/>
          <w:bCs/>
        </w:rPr>
        <w:t>S</w:t>
      </w:r>
      <w:r w:rsidRPr="006B4B9C">
        <w:rPr>
          <w:b/>
          <w:bCs/>
        </w:rPr>
        <w:fldChar w:fldCharType="begin"/>
      </w:r>
      <w:r w:rsidRPr="006B4B9C">
        <w:rPr>
          <w:b/>
          <w:bCs/>
        </w:rPr>
        <w:instrText xml:space="preserve"> SEQ Figure \* ARABIC </w:instrText>
      </w:r>
      <w:r w:rsidRPr="006B4B9C">
        <w:rPr>
          <w:b/>
          <w:bCs/>
        </w:rPr>
        <w:fldChar w:fldCharType="separate"/>
      </w:r>
      <w:r w:rsidR="00CF2963">
        <w:rPr>
          <w:b/>
          <w:bCs/>
          <w:noProof/>
        </w:rPr>
        <w:t>4</w:t>
      </w:r>
      <w:r w:rsidRPr="006B4B9C">
        <w:rPr>
          <w:b/>
          <w:bCs/>
          <w:noProof/>
        </w:rPr>
        <w:fldChar w:fldCharType="end"/>
      </w:r>
      <w:bookmarkEnd w:id="6"/>
      <w:r w:rsidRPr="006B4B9C">
        <w:rPr>
          <w:b/>
          <w:bCs/>
        </w:rPr>
        <w:t>:</w:t>
      </w:r>
      <w:bookmarkEnd w:id="7"/>
      <w:r>
        <w:rPr>
          <w:bCs/>
        </w:rPr>
        <w:t xml:space="preserve"> Maps of landslide area density for a M9.0 earthquake in February and a range of </w:t>
      </w:r>
      <w:r w:rsidR="00216FB4">
        <w:rPr>
          <w:bCs/>
        </w:rPr>
        <w:t>inter-seasonal moisture variations</w:t>
      </w:r>
      <w:r>
        <w:rPr>
          <w:bCs/>
        </w:rPr>
        <w:t>: a) dry conditions; b) mean conditions; c) wet conditions.</w:t>
      </w:r>
      <w:bookmarkEnd w:id="8"/>
    </w:p>
    <w:p w14:paraId="755A414C" w14:textId="5E784014" w:rsidR="009A4825" w:rsidRDefault="009A4825" w:rsidP="00B25440">
      <w:pPr>
        <w:jc w:val="both"/>
      </w:pPr>
    </w:p>
    <w:p w14:paraId="463F283D" w14:textId="282B0B2A" w:rsidR="009A4825" w:rsidRDefault="009A4825" w:rsidP="00B25440">
      <w:pPr>
        <w:jc w:val="both"/>
      </w:pPr>
    </w:p>
    <w:p w14:paraId="40AA6408" w14:textId="77777777" w:rsidR="009A4825" w:rsidRDefault="009A4825" w:rsidP="00B25440">
      <w:pPr>
        <w:keepNext/>
        <w:jc w:val="both"/>
      </w:pPr>
      <w:r>
        <w:rPr>
          <w:noProof/>
        </w:rPr>
        <w:lastRenderedPageBreak/>
        <w:drawing>
          <wp:inline distT="0" distB="0" distL="0" distR="0" wp14:anchorId="325D946C" wp14:editId="1D7CE57B">
            <wp:extent cx="5943600" cy="6519545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51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8D938A" w14:textId="7C52E0D5" w:rsidR="00E9109A" w:rsidRDefault="009A4825" w:rsidP="00957C2B">
      <w:pPr>
        <w:pStyle w:val="Caption"/>
        <w:rPr>
          <w:bCs/>
          <w:noProof/>
        </w:rPr>
      </w:pPr>
      <w:bookmarkStart w:id="9" w:name="_Ref80785320"/>
      <w:bookmarkStart w:id="10" w:name="_Toc80800915"/>
      <w:r w:rsidRPr="006B4B9C">
        <w:rPr>
          <w:b/>
          <w:bCs/>
        </w:rPr>
        <w:t xml:space="preserve">Figure </w:t>
      </w:r>
      <w:r w:rsidR="00433B43">
        <w:rPr>
          <w:b/>
          <w:bCs/>
        </w:rPr>
        <w:t>S</w:t>
      </w:r>
      <w:r w:rsidRPr="006B4B9C">
        <w:rPr>
          <w:b/>
          <w:bCs/>
        </w:rPr>
        <w:fldChar w:fldCharType="begin"/>
      </w:r>
      <w:r w:rsidRPr="006B4B9C">
        <w:rPr>
          <w:b/>
          <w:bCs/>
        </w:rPr>
        <w:instrText xml:space="preserve"> SEQ Figure \* ARABIC </w:instrText>
      </w:r>
      <w:r w:rsidRPr="006B4B9C">
        <w:rPr>
          <w:b/>
          <w:bCs/>
        </w:rPr>
        <w:fldChar w:fldCharType="separate"/>
      </w:r>
      <w:r w:rsidR="00CF2963">
        <w:rPr>
          <w:b/>
          <w:bCs/>
          <w:noProof/>
        </w:rPr>
        <w:t>5</w:t>
      </w:r>
      <w:r w:rsidRPr="006B4B9C">
        <w:rPr>
          <w:b/>
          <w:bCs/>
          <w:noProof/>
        </w:rPr>
        <w:fldChar w:fldCharType="end"/>
      </w:r>
      <w:bookmarkEnd w:id="9"/>
      <w:r w:rsidRPr="006B4B9C">
        <w:rPr>
          <w:b/>
          <w:bCs/>
          <w:noProof/>
        </w:rPr>
        <w:t>:</w:t>
      </w:r>
      <w:r>
        <w:rPr>
          <w:bCs/>
          <w:noProof/>
        </w:rPr>
        <w:t xml:space="preserve"> </w:t>
      </w:r>
      <w:bookmarkEnd w:id="10"/>
      <w:r w:rsidR="005041DB">
        <w:rPr>
          <w:bCs/>
          <w:noProof/>
        </w:rPr>
        <w:t>Landslide area scaling relationships for a range of inter-seasonal moisture conditions and</w:t>
      </w:r>
      <w:r w:rsidR="00383B7F">
        <w:rPr>
          <w:bCs/>
          <w:noProof/>
        </w:rPr>
        <w:t xml:space="preserve"> susceptibility threshold,</w:t>
      </w:r>
      <w:r w:rsidR="005041DB">
        <w:rPr>
          <w:bCs/>
          <w:noProof/>
        </w:rPr>
        <w:t xml:space="preserve"> </w:t>
      </w:r>
      <m:oMath>
        <m:r>
          <w:rPr>
            <w:rFonts w:ascii="Cambria Math" w:hAnsi="Cambria Math"/>
            <w:noProof/>
          </w:rPr>
          <m:t>T</m:t>
        </m:r>
      </m:oMath>
      <w:r w:rsidR="00EC6B9E">
        <w:rPr>
          <w:bCs/>
          <w:noProof/>
        </w:rPr>
        <w:t xml:space="preserve"> (M</w:t>
      </w:r>
      <w:r w:rsidR="00EC6B9E">
        <w:rPr>
          <w:bCs/>
          <w:noProof/>
          <w:vertAlign w:val="subscript"/>
        </w:rPr>
        <w:t>w</w:t>
      </w:r>
      <w:r w:rsidR="00EC6B9E">
        <w:rPr>
          <w:bCs/>
          <w:noProof/>
        </w:rPr>
        <w:t xml:space="preserve"> 8.4; February): a)</w:t>
      </w:r>
      <w:r w:rsidR="00F517C5">
        <w:rPr>
          <w:bCs/>
          <w:noProof/>
        </w:rPr>
        <w:t xml:space="preserve"> F</w:t>
      </w:r>
      <w:r w:rsidR="00383B7F">
        <w:rPr>
          <w:bCs/>
          <w:noProof/>
        </w:rPr>
        <w:t>requency</w:t>
      </w:r>
      <w:r w:rsidR="001D1031">
        <w:rPr>
          <w:bCs/>
          <w:noProof/>
        </w:rPr>
        <w:t xml:space="preserve"> </w:t>
      </w:r>
      <w:r w:rsidR="00383B7F">
        <w:rPr>
          <w:bCs/>
          <w:noProof/>
        </w:rPr>
        <w:t>density</w:t>
      </w:r>
      <w:r w:rsidR="00F517C5">
        <w:rPr>
          <w:bCs/>
          <w:noProof/>
        </w:rPr>
        <w:t xml:space="preserve"> (</w:t>
      </w:r>
      <w:r w:rsidR="00A37830">
        <w:rPr>
          <w:bCs/>
          <w:noProof/>
        </w:rPr>
        <w:t>dry</w:t>
      </w:r>
      <w:r w:rsidR="00573B4C">
        <w:rPr>
          <w:bCs/>
          <w:noProof/>
        </w:rPr>
        <w:t>); b) P</w:t>
      </w:r>
      <w:r w:rsidR="00383B7F">
        <w:rPr>
          <w:bCs/>
          <w:noProof/>
        </w:rPr>
        <w:t>robability</w:t>
      </w:r>
      <w:r w:rsidR="001D1031">
        <w:rPr>
          <w:bCs/>
          <w:noProof/>
        </w:rPr>
        <w:t xml:space="preserve"> density</w:t>
      </w:r>
      <w:r w:rsidR="00573B4C">
        <w:rPr>
          <w:bCs/>
          <w:noProof/>
        </w:rPr>
        <w:t xml:space="preserve"> (dry); c) F</w:t>
      </w:r>
      <w:r w:rsidR="001D1031">
        <w:rPr>
          <w:bCs/>
          <w:noProof/>
        </w:rPr>
        <w:t>requency density</w:t>
      </w:r>
      <w:r w:rsidR="00573B4C">
        <w:rPr>
          <w:bCs/>
          <w:noProof/>
        </w:rPr>
        <w:t xml:space="preserve"> (mean); </w:t>
      </w:r>
      <w:r w:rsidR="002C2DA8">
        <w:rPr>
          <w:bCs/>
          <w:noProof/>
        </w:rPr>
        <w:t xml:space="preserve">d) </w:t>
      </w:r>
      <w:r w:rsidR="00573B4C">
        <w:rPr>
          <w:bCs/>
          <w:noProof/>
        </w:rPr>
        <w:t>P</w:t>
      </w:r>
      <w:r w:rsidR="001D1031">
        <w:rPr>
          <w:bCs/>
          <w:noProof/>
        </w:rPr>
        <w:t>robablity density</w:t>
      </w:r>
      <w:r w:rsidR="00573B4C">
        <w:rPr>
          <w:bCs/>
          <w:noProof/>
        </w:rPr>
        <w:t xml:space="preserve"> (mean); </w:t>
      </w:r>
      <w:r w:rsidR="002C2DA8">
        <w:rPr>
          <w:bCs/>
          <w:noProof/>
        </w:rPr>
        <w:t>e) F</w:t>
      </w:r>
      <w:r w:rsidR="001D1031">
        <w:rPr>
          <w:bCs/>
          <w:noProof/>
        </w:rPr>
        <w:t>requency density</w:t>
      </w:r>
      <w:r w:rsidR="002C2DA8">
        <w:rPr>
          <w:bCs/>
          <w:noProof/>
        </w:rPr>
        <w:t xml:space="preserve"> (wet); f) P</w:t>
      </w:r>
      <w:r w:rsidR="001D1031">
        <w:rPr>
          <w:bCs/>
          <w:noProof/>
        </w:rPr>
        <w:t>robablity density</w:t>
      </w:r>
      <w:r w:rsidR="002C2DA8">
        <w:rPr>
          <w:bCs/>
          <w:noProof/>
        </w:rPr>
        <w:t xml:space="preserve"> (wet).</w:t>
      </w:r>
    </w:p>
    <w:p w14:paraId="1EE08E07" w14:textId="77777777" w:rsidR="003A59C8" w:rsidRDefault="003A59C8" w:rsidP="003A59C8"/>
    <w:p w14:paraId="1E0D282A" w14:textId="77777777" w:rsidR="003A59C8" w:rsidRDefault="003A59C8" w:rsidP="003A59C8">
      <w:pPr>
        <w:pStyle w:val="Heading1"/>
        <w:numPr>
          <w:ilvl w:val="0"/>
          <w:numId w:val="0"/>
        </w:numPr>
        <w:ind w:left="360" w:hanging="360"/>
        <w:jc w:val="left"/>
        <w:sectPr w:rsidR="003A59C8" w:rsidSect="00305B45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5C54A45B" w14:textId="10EDD674" w:rsidR="003A59C8" w:rsidRDefault="003A59C8" w:rsidP="00EE4B53">
      <w:pPr>
        <w:pStyle w:val="Heading1"/>
        <w:numPr>
          <w:ilvl w:val="0"/>
          <w:numId w:val="0"/>
        </w:numPr>
        <w:ind w:left="360" w:hanging="360"/>
        <w:jc w:val="left"/>
      </w:pPr>
      <w:r>
        <w:lastRenderedPageBreak/>
        <w:t>References</w:t>
      </w:r>
    </w:p>
    <w:p w14:paraId="7BA14524" w14:textId="77777777" w:rsidR="00EE4B53" w:rsidRPr="00EE4B53" w:rsidRDefault="00EE4B53" w:rsidP="00EE4B53"/>
    <w:p w14:paraId="73C984AC" w14:textId="5F68DDC6" w:rsidR="00EE4B53" w:rsidRDefault="00EE4B53" w:rsidP="00EE4B53">
      <w:pPr>
        <w:pStyle w:val="Bibliography"/>
      </w:pPr>
      <w:r>
        <w:t xml:space="preserve">Malamud, B. D., Turcotte, D. L., Guzzetti, F., &amp; Reichenbach, P. (2004). Landslide inventories and their statistical properties. </w:t>
      </w:r>
      <w:r>
        <w:rPr>
          <w:i/>
          <w:iCs/>
        </w:rPr>
        <w:t>Earth Surface Processes and Landforms</w:t>
      </w:r>
      <w:r>
        <w:t xml:space="preserve">, </w:t>
      </w:r>
      <w:r>
        <w:rPr>
          <w:i/>
          <w:iCs/>
        </w:rPr>
        <w:t>29</w:t>
      </w:r>
      <w:r>
        <w:t>(6), 687–711. https://doi.org/10.1002/esp.1064</w:t>
      </w:r>
    </w:p>
    <w:p w14:paraId="257D7CB5" w14:textId="654DC69E" w:rsidR="00EE4B53" w:rsidRDefault="00FB6337" w:rsidP="00C35C92">
      <w:pPr>
        <w:pStyle w:val="Bibliography"/>
      </w:pPr>
      <w:r>
        <w:fldChar w:fldCharType="begin"/>
      </w:r>
      <w:r>
        <w:instrText xml:space="preserve"> ADDIN ZOTERO_BIBL {"uncited":[],"omitted":[],"custom":[]} CSL_BIBLIOGRAPHY </w:instrText>
      </w:r>
      <w:r>
        <w:fldChar w:fldCharType="separate"/>
      </w:r>
      <w:r w:rsidR="00C35C92" w:rsidRPr="00C35C92">
        <w:t xml:space="preserve"> </w:t>
      </w:r>
    </w:p>
    <w:p w14:paraId="4DEFA15A" w14:textId="40916932" w:rsidR="00C35C92" w:rsidRDefault="00C35C92" w:rsidP="00C35C92">
      <w:pPr>
        <w:pStyle w:val="Bibliography"/>
      </w:pPr>
      <w:r>
        <w:t xml:space="preserve">Mathews, N. W., Leshchinsky, B. A., Mirus, B. B., Olsen, M. J., &amp; Booth, A. M. (2024). RegionGrow3D: A Deterministic Analysis for Characterizing Discrete Three-Dimensional Landslide Source Areas on a Regional Scale. </w:t>
      </w:r>
      <w:r>
        <w:rPr>
          <w:i/>
          <w:iCs/>
        </w:rPr>
        <w:t>Journal of Geophysical Research: Earth Surface</w:t>
      </w:r>
      <w:r>
        <w:t xml:space="preserve">, </w:t>
      </w:r>
      <w:r>
        <w:rPr>
          <w:i/>
          <w:iCs/>
        </w:rPr>
        <w:t>129</w:t>
      </w:r>
      <w:r>
        <w:t>(9), e2024JF007815. https://doi.org/10.1029/2024JF007815</w:t>
      </w:r>
    </w:p>
    <w:p w14:paraId="426F0A98" w14:textId="7E714C48" w:rsidR="003A59C8" w:rsidRPr="003A59C8" w:rsidRDefault="00FB6337" w:rsidP="003A59C8">
      <w:r>
        <w:fldChar w:fldCharType="end"/>
      </w:r>
    </w:p>
    <w:sectPr w:rsidR="003A59C8" w:rsidRPr="003A59C8" w:rsidSect="00305B45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E7F49"/>
    <w:multiLevelType w:val="hybridMultilevel"/>
    <w:tmpl w:val="83C8F6D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6D6BA2"/>
    <w:multiLevelType w:val="hybridMultilevel"/>
    <w:tmpl w:val="EF065E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D67817"/>
    <w:multiLevelType w:val="hybridMultilevel"/>
    <w:tmpl w:val="B82C113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AD3D89"/>
    <w:multiLevelType w:val="multilevel"/>
    <w:tmpl w:val="8CA05A16"/>
    <w:lvl w:ilvl="0">
      <w:start w:val="1"/>
      <w:numFmt w:val="decimal"/>
      <w:pStyle w:val="Heading1"/>
      <w:lvlText w:val="%1."/>
      <w:lvlJc w:val="left"/>
      <w:pPr>
        <w:ind w:left="450" w:hanging="360"/>
      </w:pPr>
    </w:lvl>
    <w:lvl w:ilvl="1">
      <w:start w:val="1"/>
      <w:numFmt w:val="decimal"/>
      <w:pStyle w:val="Heading2"/>
      <w:lvlText w:val="%1.%2."/>
      <w:lvlJc w:val="left"/>
      <w:pPr>
        <w:ind w:left="792" w:hanging="432"/>
      </w:pPr>
    </w:lvl>
    <w:lvl w:ilvl="2">
      <w:start w:val="1"/>
      <w:numFmt w:val="decimal"/>
      <w:pStyle w:val="Heading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0F1135F6"/>
    <w:multiLevelType w:val="hybridMultilevel"/>
    <w:tmpl w:val="9F8C6A32"/>
    <w:lvl w:ilvl="0" w:tplc="B2DC4D8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B70049"/>
    <w:multiLevelType w:val="hybridMultilevel"/>
    <w:tmpl w:val="39BAFFE2"/>
    <w:lvl w:ilvl="0" w:tplc="0409000F">
      <w:start w:val="1"/>
      <w:numFmt w:val="decimal"/>
      <w:lvlText w:val="%1."/>
      <w:lvlJc w:val="left"/>
      <w:pPr>
        <w:ind w:left="1450" w:hanging="360"/>
      </w:pPr>
    </w:lvl>
    <w:lvl w:ilvl="1" w:tplc="04090019" w:tentative="1">
      <w:start w:val="1"/>
      <w:numFmt w:val="lowerLetter"/>
      <w:lvlText w:val="%2."/>
      <w:lvlJc w:val="left"/>
      <w:pPr>
        <w:ind w:left="2170" w:hanging="360"/>
      </w:pPr>
    </w:lvl>
    <w:lvl w:ilvl="2" w:tplc="0409001B" w:tentative="1">
      <w:start w:val="1"/>
      <w:numFmt w:val="lowerRoman"/>
      <w:lvlText w:val="%3."/>
      <w:lvlJc w:val="right"/>
      <w:pPr>
        <w:ind w:left="2890" w:hanging="180"/>
      </w:pPr>
    </w:lvl>
    <w:lvl w:ilvl="3" w:tplc="0409000F" w:tentative="1">
      <w:start w:val="1"/>
      <w:numFmt w:val="decimal"/>
      <w:lvlText w:val="%4."/>
      <w:lvlJc w:val="left"/>
      <w:pPr>
        <w:ind w:left="3610" w:hanging="360"/>
      </w:pPr>
    </w:lvl>
    <w:lvl w:ilvl="4" w:tplc="04090019" w:tentative="1">
      <w:start w:val="1"/>
      <w:numFmt w:val="lowerLetter"/>
      <w:lvlText w:val="%5."/>
      <w:lvlJc w:val="left"/>
      <w:pPr>
        <w:ind w:left="4330" w:hanging="360"/>
      </w:pPr>
    </w:lvl>
    <w:lvl w:ilvl="5" w:tplc="0409001B" w:tentative="1">
      <w:start w:val="1"/>
      <w:numFmt w:val="lowerRoman"/>
      <w:lvlText w:val="%6."/>
      <w:lvlJc w:val="right"/>
      <w:pPr>
        <w:ind w:left="5050" w:hanging="180"/>
      </w:pPr>
    </w:lvl>
    <w:lvl w:ilvl="6" w:tplc="0409000F" w:tentative="1">
      <w:start w:val="1"/>
      <w:numFmt w:val="decimal"/>
      <w:lvlText w:val="%7."/>
      <w:lvlJc w:val="left"/>
      <w:pPr>
        <w:ind w:left="5770" w:hanging="360"/>
      </w:pPr>
    </w:lvl>
    <w:lvl w:ilvl="7" w:tplc="04090019" w:tentative="1">
      <w:start w:val="1"/>
      <w:numFmt w:val="lowerLetter"/>
      <w:lvlText w:val="%8."/>
      <w:lvlJc w:val="left"/>
      <w:pPr>
        <w:ind w:left="6490" w:hanging="360"/>
      </w:pPr>
    </w:lvl>
    <w:lvl w:ilvl="8" w:tplc="0409001B" w:tentative="1">
      <w:start w:val="1"/>
      <w:numFmt w:val="lowerRoman"/>
      <w:lvlText w:val="%9."/>
      <w:lvlJc w:val="right"/>
      <w:pPr>
        <w:ind w:left="7210" w:hanging="180"/>
      </w:pPr>
    </w:lvl>
  </w:abstractNum>
  <w:abstractNum w:abstractNumId="6" w15:restartNumberingAfterBreak="0">
    <w:nsid w:val="12D23228"/>
    <w:multiLevelType w:val="hybridMultilevel"/>
    <w:tmpl w:val="BD760F6A"/>
    <w:lvl w:ilvl="0" w:tplc="0409000F">
      <w:start w:val="1"/>
      <w:numFmt w:val="decimal"/>
      <w:lvlText w:val="%1."/>
      <w:lvlJc w:val="left"/>
      <w:pPr>
        <w:ind w:left="770" w:hanging="360"/>
      </w:pPr>
    </w:lvl>
    <w:lvl w:ilvl="1" w:tplc="04090019" w:tentative="1">
      <w:start w:val="1"/>
      <w:numFmt w:val="lowerLetter"/>
      <w:lvlText w:val="%2."/>
      <w:lvlJc w:val="left"/>
      <w:pPr>
        <w:ind w:left="1490" w:hanging="360"/>
      </w:pPr>
    </w:lvl>
    <w:lvl w:ilvl="2" w:tplc="0409001B" w:tentative="1">
      <w:start w:val="1"/>
      <w:numFmt w:val="lowerRoman"/>
      <w:lvlText w:val="%3."/>
      <w:lvlJc w:val="right"/>
      <w:pPr>
        <w:ind w:left="2210" w:hanging="180"/>
      </w:pPr>
    </w:lvl>
    <w:lvl w:ilvl="3" w:tplc="0409000F" w:tentative="1">
      <w:start w:val="1"/>
      <w:numFmt w:val="decimal"/>
      <w:lvlText w:val="%4."/>
      <w:lvlJc w:val="left"/>
      <w:pPr>
        <w:ind w:left="2930" w:hanging="360"/>
      </w:pPr>
    </w:lvl>
    <w:lvl w:ilvl="4" w:tplc="04090019" w:tentative="1">
      <w:start w:val="1"/>
      <w:numFmt w:val="lowerLetter"/>
      <w:lvlText w:val="%5."/>
      <w:lvlJc w:val="left"/>
      <w:pPr>
        <w:ind w:left="3650" w:hanging="360"/>
      </w:pPr>
    </w:lvl>
    <w:lvl w:ilvl="5" w:tplc="0409001B" w:tentative="1">
      <w:start w:val="1"/>
      <w:numFmt w:val="lowerRoman"/>
      <w:lvlText w:val="%6."/>
      <w:lvlJc w:val="right"/>
      <w:pPr>
        <w:ind w:left="4370" w:hanging="180"/>
      </w:pPr>
    </w:lvl>
    <w:lvl w:ilvl="6" w:tplc="0409000F" w:tentative="1">
      <w:start w:val="1"/>
      <w:numFmt w:val="decimal"/>
      <w:lvlText w:val="%7."/>
      <w:lvlJc w:val="left"/>
      <w:pPr>
        <w:ind w:left="5090" w:hanging="360"/>
      </w:pPr>
    </w:lvl>
    <w:lvl w:ilvl="7" w:tplc="04090019" w:tentative="1">
      <w:start w:val="1"/>
      <w:numFmt w:val="lowerLetter"/>
      <w:lvlText w:val="%8."/>
      <w:lvlJc w:val="left"/>
      <w:pPr>
        <w:ind w:left="5810" w:hanging="360"/>
      </w:pPr>
    </w:lvl>
    <w:lvl w:ilvl="8" w:tplc="040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7" w15:restartNumberingAfterBreak="0">
    <w:nsid w:val="13432066"/>
    <w:multiLevelType w:val="hybridMultilevel"/>
    <w:tmpl w:val="4CD4BF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0E217B"/>
    <w:multiLevelType w:val="hybridMultilevel"/>
    <w:tmpl w:val="EA36A8A0"/>
    <w:lvl w:ilvl="0" w:tplc="9B00D6C2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48442E4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176A71AE"/>
    <w:multiLevelType w:val="hybridMultilevel"/>
    <w:tmpl w:val="C37E4F3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78F09B3"/>
    <w:multiLevelType w:val="hybridMultilevel"/>
    <w:tmpl w:val="8730DD4A"/>
    <w:lvl w:ilvl="0" w:tplc="A268FEA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CF7F5C"/>
    <w:multiLevelType w:val="hybridMultilevel"/>
    <w:tmpl w:val="6122B9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54723C"/>
    <w:multiLevelType w:val="hybridMultilevel"/>
    <w:tmpl w:val="5866AD0E"/>
    <w:lvl w:ilvl="0" w:tplc="594AE92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CE41858"/>
    <w:multiLevelType w:val="hybridMultilevel"/>
    <w:tmpl w:val="45867378"/>
    <w:lvl w:ilvl="0" w:tplc="4F62F0FA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4D4601"/>
    <w:multiLevelType w:val="hybridMultilevel"/>
    <w:tmpl w:val="8904DB3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F443286"/>
    <w:multiLevelType w:val="multilevel"/>
    <w:tmpl w:val="E9D8C598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21706C8B"/>
    <w:multiLevelType w:val="hybridMultilevel"/>
    <w:tmpl w:val="7F2AF644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2B700F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23831252"/>
    <w:multiLevelType w:val="hybridMultilevel"/>
    <w:tmpl w:val="341A2BC6"/>
    <w:lvl w:ilvl="0" w:tplc="96E0BE6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7273730"/>
    <w:multiLevelType w:val="hybridMultilevel"/>
    <w:tmpl w:val="EAA4344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2762024C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28CB391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2F3E1A89"/>
    <w:multiLevelType w:val="hybridMultilevel"/>
    <w:tmpl w:val="42C4EEC2"/>
    <w:lvl w:ilvl="0" w:tplc="594AE92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484243"/>
    <w:multiLevelType w:val="hybridMultilevel"/>
    <w:tmpl w:val="C5141E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C674861"/>
    <w:multiLevelType w:val="hybridMultilevel"/>
    <w:tmpl w:val="0100950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4EA6297"/>
    <w:multiLevelType w:val="hybridMultilevel"/>
    <w:tmpl w:val="13F05C34"/>
    <w:lvl w:ilvl="0" w:tplc="6F36E77C">
      <w:start w:val="1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B971BD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 w15:restartNumberingAfterBreak="0">
    <w:nsid w:val="5A0D63F4"/>
    <w:multiLevelType w:val="hybridMultilevel"/>
    <w:tmpl w:val="B526F9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E047EA0"/>
    <w:multiLevelType w:val="hybridMultilevel"/>
    <w:tmpl w:val="C4AEE9F2"/>
    <w:lvl w:ilvl="0" w:tplc="96E0BE6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EA36C76"/>
    <w:multiLevelType w:val="hybridMultilevel"/>
    <w:tmpl w:val="E2B244DC"/>
    <w:lvl w:ilvl="0" w:tplc="38E40E06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FAD405D"/>
    <w:multiLevelType w:val="hybridMultilevel"/>
    <w:tmpl w:val="2DC0A19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0A31913"/>
    <w:multiLevelType w:val="hybridMultilevel"/>
    <w:tmpl w:val="7F2AF644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1A6611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62935BE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5" w15:restartNumberingAfterBreak="0">
    <w:nsid w:val="63127C11"/>
    <w:multiLevelType w:val="hybridMultilevel"/>
    <w:tmpl w:val="CF1ACE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2F5F12"/>
    <w:multiLevelType w:val="hybridMultilevel"/>
    <w:tmpl w:val="2BC451EC"/>
    <w:lvl w:ilvl="0" w:tplc="D9BA450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A744235"/>
    <w:multiLevelType w:val="hybridMultilevel"/>
    <w:tmpl w:val="F4527C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03B5E51"/>
    <w:multiLevelType w:val="hybridMultilevel"/>
    <w:tmpl w:val="77267BC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1911DDF"/>
    <w:multiLevelType w:val="hybridMultilevel"/>
    <w:tmpl w:val="879CD1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3345266"/>
    <w:multiLevelType w:val="hybridMultilevel"/>
    <w:tmpl w:val="7166C020"/>
    <w:lvl w:ilvl="0" w:tplc="07244B0A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484329D"/>
    <w:multiLevelType w:val="hybridMultilevel"/>
    <w:tmpl w:val="EDF45F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CB74880"/>
    <w:multiLevelType w:val="hybridMultilevel"/>
    <w:tmpl w:val="AF76CC0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1087064">
    <w:abstractNumId w:val="40"/>
  </w:num>
  <w:num w:numId="2" w16cid:durableId="243686491">
    <w:abstractNumId w:val="14"/>
  </w:num>
  <w:num w:numId="3" w16cid:durableId="1309289716">
    <w:abstractNumId w:val="33"/>
  </w:num>
  <w:num w:numId="4" w16cid:durableId="1389499886">
    <w:abstractNumId w:val="3"/>
  </w:num>
  <w:num w:numId="5" w16cid:durableId="1800148004">
    <w:abstractNumId w:val="21"/>
  </w:num>
  <w:num w:numId="6" w16cid:durableId="1798790907">
    <w:abstractNumId w:val="36"/>
  </w:num>
  <w:num w:numId="7" w16cid:durableId="2043288316">
    <w:abstractNumId w:val="13"/>
  </w:num>
  <w:num w:numId="8" w16cid:durableId="1816291471">
    <w:abstractNumId w:val="9"/>
  </w:num>
  <w:num w:numId="9" w16cid:durableId="1347755125">
    <w:abstractNumId w:val="34"/>
  </w:num>
  <w:num w:numId="10" w16cid:durableId="1982074655">
    <w:abstractNumId w:val="23"/>
  </w:num>
  <w:num w:numId="11" w16cid:durableId="323319313">
    <w:abstractNumId w:val="30"/>
  </w:num>
  <w:num w:numId="12" w16cid:durableId="1680277985">
    <w:abstractNumId w:val="1"/>
  </w:num>
  <w:num w:numId="13" w16cid:durableId="1665426376">
    <w:abstractNumId w:val="8"/>
  </w:num>
  <w:num w:numId="14" w16cid:durableId="925844389">
    <w:abstractNumId w:val="4"/>
  </w:num>
  <w:num w:numId="15" w16cid:durableId="1910074573">
    <w:abstractNumId w:val="20"/>
  </w:num>
  <w:num w:numId="16" w16cid:durableId="2010013540">
    <w:abstractNumId w:val="22"/>
  </w:num>
  <w:num w:numId="17" w16cid:durableId="694503754">
    <w:abstractNumId w:val="22"/>
    <w:lvlOverride w:ilvl="0">
      <w:startOverride w:val="1"/>
    </w:lvlOverride>
  </w:num>
  <w:num w:numId="18" w16cid:durableId="680278891">
    <w:abstractNumId w:val="42"/>
  </w:num>
  <w:num w:numId="19" w16cid:durableId="121921158">
    <w:abstractNumId w:val="26"/>
  </w:num>
  <w:num w:numId="20" w16cid:durableId="1238368944">
    <w:abstractNumId w:val="41"/>
  </w:num>
  <w:num w:numId="21" w16cid:durableId="311523777">
    <w:abstractNumId w:val="29"/>
  </w:num>
  <w:num w:numId="22" w16cid:durableId="1598177109">
    <w:abstractNumId w:val="19"/>
  </w:num>
  <w:num w:numId="23" w16cid:durableId="837891455">
    <w:abstractNumId w:val="0"/>
  </w:num>
  <w:num w:numId="24" w16cid:durableId="383868610">
    <w:abstractNumId w:val="5"/>
  </w:num>
  <w:num w:numId="25" w16cid:durableId="54665028">
    <w:abstractNumId w:val="38"/>
  </w:num>
  <w:num w:numId="26" w16cid:durableId="2031368734">
    <w:abstractNumId w:val="24"/>
  </w:num>
  <w:num w:numId="27" w16cid:durableId="1864397454">
    <w:abstractNumId w:val="28"/>
  </w:num>
  <w:num w:numId="28" w16cid:durableId="1678077874">
    <w:abstractNumId w:val="35"/>
  </w:num>
  <w:num w:numId="29" w16cid:durableId="38939368">
    <w:abstractNumId w:val="25"/>
  </w:num>
  <w:num w:numId="30" w16cid:durableId="883325819">
    <w:abstractNumId w:val="12"/>
  </w:num>
  <w:num w:numId="31" w16cid:durableId="1159613788">
    <w:abstractNumId w:val="18"/>
  </w:num>
  <w:num w:numId="32" w16cid:durableId="1946227823">
    <w:abstractNumId w:val="31"/>
  </w:num>
  <w:num w:numId="33" w16cid:durableId="465701327">
    <w:abstractNumId w:val="16"/>
  </w:num>
  <w:num w:numId="34" w16cid:durableId="995573642">
    <w:abstractNumId w:val="2"/>
  </w:num>
  <w:num w:numId="35" w16cid:durableId="1415318659">
    <w:abstractNumId w:val="27"/>
  </w:num>
  <w:num w:numId="36" w16cid:durableId="1486779756">
    <w:abstractNumId w:val="37"/>
  </w:num>
  <w:num w:numId="37" w16cid:durableId="1312098283">
    <w:abstractNumId w:val="17"/>
  </w:num>
  <w:num w:numId="38" w16cid:durableId="1259100459">
    <w:abstractNumId w:val="32"/>
  </w:num>
  <w:num w:numId="39" w16cid:durableId="1250625421">
    <w:abstractNumId w:val="11"/>
  </w:num>
  <w:num w:numId="40" w16cid:durableId="28145370">
    <w:abstractNumId w:val="6"/>
  </w:num>
  <w:num w:numId="41" w16cid:durableId="702755482">
    <w:abstractNumId w:val="39"/>
  </w:num>
  <w:num w:numId="42" w16cid:durableId="156457919">
    <w:abstractNumId w:val="7"/>
  </w:num>
  <w:num w:numId="43" w16cid:durableId="182090280">
    <w:abstractNumId w:val="15"/>
  </w:num>
  <w:num w:numId="44" w16cid:durableId="80952092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3E6"/>
    <w:rsid w:val="00001580"/>
    <w:rsid w:val="00002CE9"/>
    <w:rsid w:val="00016705"/>
    <w:rsid w:val="00020C42"/>
    <w:rsid w:val="00022378"/>
    <w:rsid w:val="0002774A"/>
    <w:rsid w:val="0003173F"/>
    <w:rsid w:val="00032AB8"/>
    <w:rsid w:val="0003427D"/>
    <w:rsid w:val="00036875"/>
    <w:rsid w:val="00043456"/>
    <w:rsid w:val="000531B7"/>
    <w:rsid w:val="000536D7"/>
    <w:rsid w:val="00053C16"/>
    <w:rsid w:val="000552FA"/>
    <w:rsid w:val="00060ADD"/>
    <w:rsid w:val="00064CD3"/>
    <w:rsid w:val="00070D00"/>
    <w:rsid w:val="00085A6C"/>
    <w:rsid w:val="00086F6A"/>
    <w:rsid w:val="00096B6F"/>
    <w:rsid w:val="00096C44"/>
    <w:rsid w:val="000A04BE"/>
    <w:rsid w:val="000A2A43"/>
    <w:rsid w:val="000A2DB1"/>
    <w:rsid w:val="000A649E"/>
    <w:rsid w:val="000A68F8"/>
    <w:rsid w:val="000B405B"/>
    <w:rsid w:val="000B7FBD"/>
    <w:rsid w:val="000C0617"/>
    <w:rsid w:val="000C0EB9"/>
    <w:rsid w:val="000C1399"/>
    <w:rsid w:val="000C341A"/>
    <w:rsid w:val="000D111D"/>
    <w:rsid w:val="000D480C"/>
    <w:rsid w:val="000E03DC"/>
    <w:rsid w:val="000E3684"/>
    <w:rsid w:val="000E4DFD"/>
    <w:rsid w:val="000E7CB2"/>
    <w:rsid w:val="000E7FA4"/>
    <w:rsid w:val="000F0AE5"/>
    <w:rsid w:val="000F0D09"/>
    <w:rsid w:val="000F1C61"/>
    <w:rsid w:val="000F22EC"/>
    <w:rsid w:val="000F2710"/>
    <w:rsid w:val="000F651C"/>
    <w:rsid w:val="001076B7"/>
    <w:rsid w:val="00107FCB"/>
    <w:rsid w:val="00110978"/>
    <w:rsid w:val="001129F7"/>
    <w:rsid w:val="00113B3C"/>
    <w:rsid w:val="00114E2F"/>
    <w:rsid w:val="001172DE"/>
    <w:rsid w:val="001209D0"/>
    <w:rsid w:val="00123763"/>
    <w:rsid w:val="00127205"/>
    <w:rsid w:val="0013168B"/>
    <w:rsid w:val="00134CD4"/>
    <w:rsid w:val="0013535E"/>
    <w:rsid w:val="0013580E"/>
    <w:rsid w:val="00135BDF"/>
    <w:rsid w:val="00144223"/>
    <w:rsid w:val="00144E5C"/>
    <w:rsid w:val="00151BD7"/>
    <w:rsid w:val="00155492"/>
    <w:rsid w:val="00157A2B"/>
    <w:rsid w:val="00161465"/>
    <w:rsid w:val="00163395"/>
    <w:rsid w:val="001640D2"/>
    <w:rsid w:val="00172931"/>
    <w:rsid w:val="0018002D"/>
    <w:rsid w:val="00182DA6"/>
    <w:rsid w:val="001832AB"/>
    <w:rsid w:val="0018446C"/>
    <w:rsid w:val="001A40AC"/>
    <w:rsid w:val="001A4B7A"/>
    <w:rsid w:val="001A5C76"/>
    <w:rsid w:val="001A6838"/>
    <w:rsid w:val="001A6EBF"/>
    <w:rsid w:val="001B0A85"/>
    <w:rsid w:val="001B1F79"/>
    <w:rsid w:val="001C2279"/>
    <w:rsid w:val="001C3083"/>
    <w:rsid w:val="001C7779"/>
    <w:rsid w:val="001D1031"/>
    <w:rsid w:val="001D5084"/>
    <w:rsid w:val="001D6AFA"/>
    <w:rsid w:val="001F0747"/>
    <w:rsid w:val="001F55E5"/>
    <w:rsid w:val="001F7053"/>
    <w:rsid w:val="001F715F"/>
    <w:rsid w:val="002051E2"/>
    <w:rsid w:val="00207B96"/>
    <w:rsid w:val="00211E15"/>
    <w:rsid w:val="0021385B"/>
    <w:rsid w:val="00216FB4"/>
    <w:rsid w:val="0022019E"/>
    <w:rsid w:val="002218FE"/>
    <w:rsid w:val="00223EDB"/>
    <w:rsid w:val="002347F4"/>
    <w:rsid w:val="00234A64"/>
    <w:rsid w:val="0023686C"/>
    <w:rsid w:val="00253C96"/>
    <w:rsid w:val="00266E78"/>
    <w:rsid w:val="00270DBE"/>
    <w:rsid w:val="00273C40"/>
    <w:rsid w:val="00275E11"/>
    <w:rsid w:val="00293679"/>
    <w:rsid w:val="00294FD4"/>
    <w:rsid w:val="002A06A3"/>
    <w:rsid w:val="002A0F05"/>
    <w:rsid w:val="002A625F"/>
    <w:rsid w:val="002B0507"/>
    <w:rsid w:val="002B0AE5"/>
    <w:rsid w:val="002B3A84"/>
    <w:rsid w:val="002C2DA8"/>
    <w:rsid w:val="002C44B4"/>
    <w:rsid w:val="002C725B"/>
    <w:rsid w:val="002D0B61"/>
    <w:rsid w:val="002D28E1"/>
    <w:rsid w:val="002D41D6"/>
    <w:rsid w:val="002E265C"/>
    <w:rsid w:val="002E7DEC"/>
    <w:rsid w:val="002F3749"/>
    <w:rsid w:val="002F380A"/>
    <w:rsid w:val="002F4A18"/>
    <w:rsid w:val="00305B45"/>
    <w:rsid w:val="003205D0"/>
    <w:rsid w:val="00322732"/>
    <w:rsid w:val="0032574B"/>
    <w:rsid w:val="0033759E"/>
    <w:rsid w:val="00345680"/>
    <w:rsid w:val="003474A8"/>
    <w:rsid w:val="00351EE7"/>
    <w:rsid w:val="003532CE"/>
    <w:rsid w:val="00355AAF"/>
    <w:rsid w:val="00357D7A"/>
    <w:rsid w:val="0036201C"/>
    <w:rsid w:val="00367025"/>
    <w:rsid w:val="003711F4"/>
    <w:rsid w:val="00371267"/>
    <w:rsid w:val="0037473D"/>
    <w:rsid w:val="003750A8"/>
    <w:rsid w:val="003760DA"/>
    <w:rsid w:val="00376158"/>
    <w:rsid w:val="00376B62"/>
    <w:rsid w:val="00383B64"/>
    <w:rsid w:val="00383B7F"/>
    <w:rsid w:val="00384C99"/>
    <w:rsid w:val="003944EF"/>
    <w:rsid w:val="00394D54"/>
    <w:rsid w:val="003A59C8"/>
    <w:rsid w:val="003B2CF5"/>
    <w:rsid w:val="003B5600"/>
    <w:rsid w:val="003C1218"/>
    <w:rsid w:val="003C2367"/>
    <w:rsid w:val="003C2657"/>
    <w:rsid w:val="003C3D52"/>
    <w:rsid w:val="003D0704"/>
    <w:rsid w:val="003D4650"/>
    <w:rsid w:val="003E33EC"/>
    <w:rsid w:val="004011C0"/>
    <w:rsid w:val="004065C9"/>
    <w:rsid w:val="004066B9"/>
    <w:rsid w:val="004078AD"/>
    <w:rsid w:val="00411EB2"/>
    <w:rsid w:val="0041625A"/>
    <w:rsid w:val="00417734"/>
    <w:rsid w:val="00421DF9"/>
    <w:rsid w:val="00433201"/>
    <w:rsid w:val="00433B43"/>
    <w:rsid w:val="00444CDA"/>
    <w:rsid w:val="00450118"/>
    <w:rsid w:val="00451CE4"/>
    <w:rsid w:val="00455AD9"/>
    <w:rsid w:val="00455C95"/>
    <w:rsid w:val="00456F38"/>
    <w:rsid w:val="004627DA"/>
    <w:rsid w:val="00463C73"/>
    <w:rsid w:val="00464AE8"/>
    <w:rsid w:val="00471B38"/>
    <w:rsid w:val="00474773"/>
    <w:rsid w:val="00474965"/>
    <w:rsid w:val="00495E10"/>
    <w:rsid w:val="00497EE9"/>
    <w:rsid w:val="004A33B8"/>
    <w:rsid w:val="004A7CA8"/>
    <w:rsid w:val="004B7739"/>
    <w:rsid w:val="004C2494"/>
    <w:rsid w:val="004D0FB5"/>
    <w:rsid w:val="004E0D54"/>
    <w:rsid w:val="004E13B5"/>
    <w:rsid w:val="004F44EF"/>
    <w:rsid w:val="005041DB"/>
    <w:rsid w:val="00513370"/>
    <w:rsid w:val="005176CB"/>
    <w:rsid w:val="00522E66"/>
    <w:rsid w:val="00535C02"/>
    <w:rsid w:val="00537F02"/>
    <w:rsid w:val="00542D0A"/>
    <w:rsid w:val="005437EA"/>
    <w:rsid w:val="00551D19"/>
    <w:rsid w:val="00555928"/>
    <w:rsid w:val="0056391F"/>
    <w:rsid w:val="00573B4C"/>
    <w:rsid w:val="0058070E"/>
    <w:rsid w:val="005835B6"/>
    <w:rsid w:val="005933B3"/>
    <w:rsid w:val="005A0999"/>
    <w:rsid w:val="005A171B"/>
    <w:rsid w:val="005A4F65"/>
    <w:rsid w:val="005B10AC"/>
    <w:rsid w:val="005B5921"/>
    <w:rsid w:val="005B70B4"/>
    <w:rsid w:val="005C0705"/>
    <w:rsid w:val="005C10D6"/>
    <w:rsid w:val="005C31F0"/>
    <w:rsid w:val="005C363A"/>
    <w:rsid w:val="005C3BE0"/>
    <w:rsid w:val="005C4751"/>
    <w:rsid w:val="005C5C9B"/>
    <w:rsid w:val="005F0A60"/>
    <w:rsid w:val="005F2CB3"/>
    <w:rsid w:val="00603C5C"/>
    <w:rsid w:val="00615CC3"/>
    <w:rsid w:val="00617A3F"/>
    <w:rsid w:val="00641778"/>
    <w:rsid w:val="00641EDE"/>
    <w:rsid w:val="00655154"/>
    <w:rsid w:val="00657F14"/>
    <w:rsid w:val="00664DE7"/>
    <w:rsid w:val="006668B9"/>
    <w:rsid w:val="00667818"/>
    <w:rsid w:val="006710FE"/>
    <w:rsid w:val="0067133E"/>
    <w:rsid w:val="00680C56"/>
    <w:rsid w:val="00693BA1"/>
    <w:rsid w:val="00694988"/>
    <w:rsid w:val="0069734E"/>
    <w:rsid w:val="006A4507"/>
    <w:rsid w:val="006B43B3"/>
    <w:rsid w:val="006B4B9C"/>
    <w:rsid w:val="006B685C"/>
    <w:rsid w:val="006D137C"/>
    <w:rsid w:val="006D79DE"/>
    <w:rsid w:val="006E1D7C"/>
    <w:rsid w:val="006E2727"/>
    <w:rsid w:val="006F710D"/>
    <w:rsid w:val="006F736A"/>
    <w:rsid w:val="007019BE"/>
    <w:rsid w:val="0070299B"/>
    <w:rsid w:val="00717970"/>
    <w:rsid w:val="007219AF"/>
    <w:rsid w:val="00721AEB"/>
    <w:rsid w:val="0072281D"/>
    <w:rsid w:val="00727D18"/>
    <w:rsid w:val="0074288F"/>
    <w:rsid w:val="0074397A"/>
    <w:rsid w:val="00746D56"/>
    <w:rsid w:val="007526E5"/>
    <w:rsid w:val="00753F72"/>
    <w:rsid w:val="00763962"/>
    <w:rsid w:val="00771517"/>
    <w:rsid w:val="007738DC"/>
    <w:rsid w:val="007801AB"/>
    <w:rsid w:val="007848DE"/>
    <w:rsid w:val="00793D99"/>
    <w:rsid w:val="00793E11"/>
    <w:rsid w:val="00795A9F"/>
    <w:rsid w:val="00797D1F"/>
    <w:rsid w:val="007A0020"/>
    <w:rsid w:val="007A637E"/>
    <w:rsid w:val="007B2461"/>
    <w:rsid w:val="007B46DE"/>
    <w:rsid w:val="007B5693"/>
    <w:rsid w:val="007C43F6"/>
    <w:rsid w:val="007C48BC"/>
    <w:rsid w:val="007D0FA1"/>
    <w:rsid w:val="007D4588"/>
    <w:rsid w:val="007E6305"/>
    <w:rsid w:val="007E6463"/>
    <w:rsid w:val="007E72C6"/>
    <w:rsid w:val="007F138A"/>
    <w:rsid w:val="007F1718"/>
    <w:rsid w:val="007F610F"/>
    <w:rsid w:val="008024F9"/>
    <w:rsid w:val="0080298D"/>
    <w:rsid w:val="00802B51"/>
    <w:rsid w:val="0080364A"/>
    <w:rsid w:val="00805709"/>
    <w:rsid w:val="00807C6B"/>
    <w:rsid w:val="00810EF2"/>
    <w:rsid w:val="00812142"/>
    <w:rsid w:val="008135A9"/>
    <w:rsid w:val="008135E0"/>
    <w:rsid w:val="00814D73"/>
    <w:rsid w:val="00822D00"/>
    <w:rsid w:val="00824DC3"/>
    <w:rsid w:val="00833260"/>
    <w:rsid w:val="00842171"/>
    <w:rsid w:val="00850B3C"/>
    <w:rsid w:val="008515E2"/>
    <w:rsid w:val="00852A28"/>
    <w:rsid w:val="00854278"/>
    <w:rsid w:val="00856A42"/>
    <w:rsid w:val="008623C8"/>
    <w:rsid w:val="00872621"/>
    <w:rsid w:val="0087440B"/>
    <w:rsid w:val="00880DD0"/>
    <w:rsid w:val="00881B38"/>
    <w:rsid w:val="0088375F"/>
    <w:rsid w:val="008966F5"/>
    <w:rsid w:val="00897D23"/>
    <w:rsid w:val="008A42BA"/>
    <w:rsid w:val="008A4CFB"/>
    <w:rsid w:val="008B2FA9"/>
    <w:rsid w:val="008B7A96"/>
    <w:rsid w:val="008C64A1"/>
    <w:rsid w:val="008D38E0"/>
    <w:rsid w:val="008D42E6"/>
    <w:rsid w:val="008E005D"/>
    <w:rsid w:val="008E0BC4"/>
    <w:rsid w:val="008E1250"/>
    <w:rsid w:val="008E2D3A"/>
    <w:rsid w:val="008E4123"/>
    <w:rsid w:val="008E5105"/>
    <w:rsid w:val="008E67E4"/>
    <w:rsid w:val="008F156F"/>
    <w:rsid w:val="008F49A2"/>
    <w:rsid w:val="008F623E"/>
    <w:rsid w:val="00916391"/>
    <w:rsid w:val="0091738C"/>
    <w:rsid w:val="00922077"/>
    <w:rsid w:val="00927157"/>
    <w:rsid w:val="0093007A"/>
    <w:rsid w:val="00930FE1"/>
    <w:rsid w:val="0093465C"/>
    <w:rsid w:val="00936F48"/>
    <w:rsid w:val="00937CE6"/>
    <w:rsid w:val="00940955"/>
    <w:rsid w:val="009441D6"/>
    <w:rsid w:val="00944CF5"/>
    <w:rsid w:val="00945249"/>
    <w:rsid w:val="009465D3"/>
    <w:rsid w:val="00947194"/>
    <w:rsid w:val="00950F93"/>
    <w:rsid w:val="00951825"/>
    <w:rsid w:val="009567BA"/>
    <w:rsid w:val="00957C2B"/>
    <w:rsid w:val="0096584A"/>
    <w:rsid w:val="0096610B"/>
    <w:rsid w:val="009732CA"/>
    <w:rsid w:val="0097352B"/>
    <w:rsid w:val="009737F8"/>
    <w:rsid w:val="00977FDE"/>
    <w:rsid w:val="00980386"/>
    <w:rsid w:val="00982211"/>
    <w:rsid w:val="0098558D"/>
    <w:rsid w:val="00991BB5"/>
    <w:rsid w:val="0099209C"/>
    <w:rsid w:val="00993C22"/>
    <w:rsid w:val="00994B0A"/>
    <w:rsid w:val="009A4825"/>
    <w:rsid w:val="009A5C23"/>
    <w:rsid w:val="009B46D3"/>
    <w:rsid w:val="009C0337"/>
    <w:rsid w:val="009C22A4"/>
    <w:rsid w:val="009C7144"/>
    <w:rsid w:val="009D37CB"/>
    <w:rsid w:val="009D49B4"/>
    <w:rsid w:val="009D732B"/>
    <w:rsid w:val="009E2A28"/>
    <w:rsid w:val="009E673A"/>
    <w:rsid w:val="009F4169"/>
    <w:rsid w:val="009F4957"/>
    <w:rsid w:val="009F65C1"/>
    <w:rsid w:val="00A103FD"/>
    <w:rsid w:val="00A2019B"/>
    <w:rsid w:val="00A26557"/>
    <w:rsid w:val="00A26FEB"/>
    <w:rsid w:val="00A3065A"/>
    <w:rsid w:val="00A368AC"/>
    <w:rsid w:val="00A37830"/>
    <w:rsid w:val="00A41C48"/>
    <w:rsid w:val="00A42A3C"/>
    <w:rsid w:val="00A51E00"/>
    <w:rsid w:val="00A536F5"/>
    <w:rsid w:val="00A55786"/>
    <w:rsid w:val="00A62501"/>
    <w:rsid w:val="00A635E9"/>
    <w:rsid w:val="00A66BA4"/>
    <w:rsid w:val="00A72248"/>
    <w:rsid w:val="00A8031E"/>
    <w:rsid w:val="00A80B5C"/>
    <w:rsid w:val="00A81A24"/>
    <w:rsid w:val="00A84BC4"/>
    <w:rsid w:val="00A879C9"/>
    <w:rsid w:val="00AA114A"/>
    <w:rsid w:val="00AA5B13"/>
    <w:rsid w:val="00AA63B9"/>
    <w:rsid w:val="00AB202A"/>
    <w:rsid w:val="00AB21CF"/>
    <w:rsid w:val="00AC26D1"/>
    <w:rsid w:val="00AC3C7F"/>
    <w:rsid w:val="00AC4E19"/>
    <w:rsid w:val="00AD255E"/>
    <w:rsid w:val="00AE3B52"/>
    <w:rsid w:val="00AE3E95"/>
    <w:rsid w:val="00AE634D"/>
    <w:rsid w:val="00AE76E2"/>
    <w:rsid w:val="00AE7AB2"/>
    <w:rsid w:val="00AF200D"/>
    <w:rsid w:val="00AF49AF"/>
    <w:rsid w:val="00AF61EF"/>
    <w:rsid w:val="00AF6B57"/>
    <w:rsid w:val="00B06BB4"/>
    <w:rsid w:val="00B158D6"/>
    <w:rsid w:val="00B20E56"/>
    <w:rsid w:val="00B227DF"/>
    <w:rsid w:val="00B25440"/>
    <w:rsid w:val="00B40C6F"/>
    <w:rsid w:val="00B504E5"/>
    <w:rsid w:val="00B53388"/>
    <w:rsid w:val="00B62B05"/>
    <w:rsid w:val="00B67C05"/>
    <w:rsid w:val="00B67CF1"/>
    <w:rsid w:val="00B85448"/>
    <w:rsid w:val="00B85944"/>
    <w:rsid w:val="00B8649E"/>
    <w:rsid w:val="00B931B1"/>
    <w:rsid w:val="00B94844"/>
    <w:rsid w:val="00B97452"/>
    <w:rsid w:val="00BA4C23"/>
    <w:rsid w:val="00BB7C7D"/>
    <w:rsid w:val="00BC291C"/>
    <w:rsid w:val="00BD37B4"/>
    <w:rsid w:val="00BE2333"/>
    <w:rsid w:val="00BF1179"/>
    <w:rsid w:val="00BF3B48"/>
    <w:rsid w:val="00BF3CFC"/>
    <w:rsid w:val="00C03E0C"/>
    <w:rsid w:val="00C0440B"/>
    <w:rsid w:val="00C16629"/>
    <w:rsid w:val="00C17343"/>
    <w:rsid w:val="00C17804"/>
    <w:rsid w:val="00C202A7"/>
    <w:rsid w:val="00C22522"/>
    <w:rsid w:val="00C33EDD"/>
    <w:rsid w:val="00C35019"/>
    <w:rsid w:val="00C35C92"/>
    <w:rsid w:val="00C3701E"/>
    <w:rsid w:val="00C375BA"/>
    <w:rsid w:val="00C40239"/>
    <w:rsid w:val="00C46984"/>
    <w:rsid w:val="00C52B0F"/>
    <w:rsid w:val="00C61792"/>
    <w:rsid w:val="00C62352"/>
    <w:rsid w:val="00C62676"/>
    <w:rsid w:val="00C64A30"/>
    <w:rsid w:val="00C66769"/>
    <w:rsid w:val="00C73322"/>
    <w:rsid w:val="00C73AD7"/>
    <w:rsid w:val="00C80ED4"/>
    <w:rsid w:val="00C87286"/>
    <w:rsid w:val="00C93673"/>
    <w:rsid w:val="00C96398"/>
    <w:rsid w:val="00C9729A"/>
    <w:rsid w:val="00CA44C5"/>
    <w:rsid w:val="00CA5E0E"/>
    <w:rsid w:val="00CA6988"/>
    <w:rsid w:val="00CA78D6"/>
    <w:rsid w:val="00CB14D9"/>
    <w:rsid w:val="00CB2834"/>
    <w:rsid w:val="00CB2BD8"/>
    <w:rsid w:val="00CB475F"/>
    <w:rsid w:val="00CC26DD"/>
    <w:rsid w:val="00CC42E3"/>
    <w:rsid w:val="00CC6261"/>
    <w:rsid w:val="00CD261D"/>
    <w:rsid w:val="00CD2845"/>
    <w:rsid w:val="00CD3335"/>
    <w:rsid w:val="00CE0406"/>
    <w:rsid w:val="00CE05D6"/>
    <w:rsid w:val="00CE478E"/>
    <w:rsid w:val="00CE60AC"/>
    <w:rsid w:val="00CF21D9"/>
    <w:rsid w:val="00CF2794"/>
    <w:rsid w:val="00CF2963"/>
    <w:rsid w:val="00CF4AB0"/>
    <w:rsid w:val="00D04599"/>
    <w:rsid w:val="00D05791"/>
    <w:rsid w:val="00D058F4"/>
    <w:rsid w:val="00D15F4A"/>
    <w:rsid w:val="00D16477"/>
    <w:rsid w:val="00D257FD"/>
    <w:rsid w:val="00D27768"/>
    <w:rsid w:val="00D27E16"/>
    <w:rsid w:val="00D32489"/>
    <w:rsid w:val="00D352C3"/>
    <w:rsid w:val="00D51BCC"/>
    <w:rsid w:val="00D6041A"/>
    <w:rsid w:val="00D674EA"/>
    <w:rsid w:val="00D77D4F"/>
    <w:rsid w:val="00D80733"/>
    <w:rsid w:val="00D81332"/>
    <w:rsid w:val="00D843D6"/>
    <w:rsid w:val="00D85406"/>
    <w:rsid w:val="00D90939"/>
    <w:rsid w:val="00D914A2"/>
    <w:rsid w:val="00DA4AAC"/>
    <w:rsid w:val="00DB6F24"/>
    <w:rsid w:val="00DC2DA0"/>
    <w:rsid w:val="00DC5BEB"/>
    <w:rsid w:val="00DC607B"/>
    <w:rsid w:val="00DD6227"/>
    <w:rsid w:val="00DD780A"/>
    <w:rsid w:val="00DE6491"/>
    <w:rsid w:val="00DE6C4E"/>
    <w:rsid w:val="00DF02DA"/>
    <w:rsid w:val="00E00C3F"/>
    <w:rsid w:val="00E07502"/>
    <w:rsid w:val="00E10FFE"/>
    <w:rsid w:val="00E16194"/>
    <w:rsid w:val="00E20CAA"/>
    <w:rsid w:val="00E21B00"/>
    <w:rsid w:val="00E233CF"/>
    <w:rsid w:val="00E25705"/>
    <w:rsid w:val="00E2772B"/>
    <w:rsid w:val="00E346B3"/>
    <w:rsid w:val="00E45C69"/>
    <w:rsid w:val="00E52979"/>
    <w:rsid w:val="00E713B9"/>
    <w:rsid w:val="00E74F5F"/>
    <w:rsid w:val="00E7737A"/>
    <w:rsid w:val="00E80062"/>
    <w:rsid w:val="00E8349A"/>
    <w:rsid w:val="00E8557C"/>
    <w:rsid w:val="00E858EE"/>
    <w:rsid w:val="00E86E01"/>
    <w:rsid w:val="00E86E14"/>
    <w:rsid w:val="00E9109A"/>
    <w:rsid w:val="00E92214"/>
    <w:rsid w:val="00E923E6"/>
    <w:rsid w:val="00E952D2"/>
    <w:rsid w:val="00E96FD6"/>
    <w:rsid w:val="00EA48B4"/>
    <w:rsid w:val="00EB0EFA"/>
    <w:rsid w:val="00EC5CCD"/>
    <w:rsid w:val="00EC6B9E"/>
    <w:rsid w:val="00ED2280"/>
    <w:rsid w:val="00ED4E78"/>
    <w:rsid w:val="00ED7863"/>
    <w:rsid w:val="00EE22CD"/>
    <w:rsid w:val="00EE28A1"/>
    <w:rsid w:val="00EE3EBB"/>
    <w:rsid w:val="00EE45E9"/>
    <w:rsid w:val="00EE4B53"/>
    <w:rsid w:val="00EE7870"/>
    <w:rsid w:val="00EF3A70"/>
    <w:rsid w:val="00EF48BE"/>
    <w:rsid w:val="00EF4F13"/>
    <w:rsid w:val="00EF7503"/>
    <w:rsid w:val="00F024FA"/>
    <w:rsid w:val="00F03E72"/>
    <w:rsid w:val="00F07AFC"/>
    <w:rsid w:val="00F1342E"/>
    <w:rsid w:val="00F2668C"/>
    <w:rsid w:val="00F314C5"/>
    <w:rsid w:val="00F3689D"/>
    <w:rsid w:val="00F45D7C"/>
    <w:rsid w:val="00F517C5"/>
    <w:rsid w:val="00F56E1C"/>
    <w:rsid w:val="00F574A3"/>
    <w:rsid w:val="00F6713E"/>
    <w:rsid w:val="00F85692"/>
    <w:rsid w:val="00F9760F"/>
    <w:rsid w:val="00FB071C"/>
    <w:rsid w:val="00FB14A6"/>
    <w:rsid w:val="00FB3421"/>
    <w:rsid w:val="00FB6337"/>
    <w:rsid w:val="00FB71AA"/>
    <w:rsid w:val="00FC0290"/>
    <w:rsid w:val="00FC4393"/>
    <w:rsid w:val="00FD74BB"/>
    <w:rsid w:val="00FE0796"/>
    <w:rsid w:val="00FE3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E4A2BD"/>
  <w15:chartTrackingRefBased/>
  <w15:docId w15:val="{30B09A2B-5542-456E-B5C0-C1AA10338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3C16"/>
    <w:pPr>
      <w:spacing w:line="240" w:lineRule="auto"/>
      <w:contextualSpacing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D80733"/>
    <w:pPr>
      <w:keepNext/>
      <w:keepLines/>
      <w:numPr>
        <w:numId w:val="4"/>
      </w:numPr>
      <w:spacing w:before="240" w:after="0"/>
      <w:ind w:left="360"/>
      <w:jc w:val="center"/>
      <w:outlineLvl w:val="0"/>
    </w:pPr>
    <w:rPr>
      <w:rFonts w:eastAsiaTheme="majorEastAsia" w:cs="Times New Roman"/>
      <w:b/>
      <w:bCs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4397A"/>
    <w:pPr>
      <w:keepNext/>
      <w:keepLines/>
      <w:numPr>
        <w:ilvl w:val="1"/>
        <w:numId w:val="4"/>
      </w:numPr>
      <w:spacing w:before="40" w:after="0"/>
      <w:ind w:left="450" w:hanging="450"/>
      <w:outlineLvl w:val="1"/>
    </w:pPr>
    <w:rPr>
      <w:rFonts w:eastAsiaTheme="majorEastAsia" w:cs="Times New Roman"/>
      <w:i/>
      <w:iCs/>
      <w:szCs w:val="24"/>
    </w:rPr>
  </w:style>
  <w:style w:type="paragraph" w:styleId="Heading3">
    <w:name w:val="heading 3"/>
    <w:basedOn w:val="Heading2"/>
    <w:next w:val="Normal"/>
    <w:link w:val="Heading3Char"/>
    <w:uiPriority w:val="9"/>
    <w:unhideWhenUsed/>
    <w:qFormat/>
    <w:rsid w:val="00E923E6"/>
    <w:pPr>
      <w:numPr>
        <w:ilvl w:val="2"/>
      </w:numPr>
      <w:ind w:left="720" w:hanging="720"/>
      <w:outlineLvl w:val="2"/>
    </w:pPr>
    <w:rPr>
      <w:b/>
      <w:bCs/>
      <w:i w:val="0"/>
      <w:iCs w:val="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23E6"/>
    <w:pPr>
      <w:keepNext/>
      <w:keepLines/>
      <w:tabs>
        <w:tab w:val="num" w:pos="2160"/>
      </w:tabs>
      <w:spacing w:before="40" w:after="0"/>
      <w:ind w:firstLine="1080"/>
      <w:jc w:val="both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0733"/>
    <w:rPr>
      <w:rFonts w:ascii="Times New Roman" w:eastAsiaTheme="majorEastAsia" w:hAnsi="Times New Roman" w:cs="Times New Roman"/>
      <w:b/>
      <w:bCs/>
      <w:sz w:val="24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4397A"/>
    <w:rPr>
      <w:rFonts w:ascii="Times New Roman" w:eastAsiaTheme="majorEastAsia" w:hAnsi="Times New Roman" w:cs="Times New Roman"/>
      <w:i/>
      <w:i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E923E6"/>
    <w:rPr>
      <w:rFonts w:ascii="Times New Roman" w:eastAsiaTheme="majorEastAsia" w:hAnsi="Times New Roman" w:cs="Times New Roman"/>
      <w:i/>
      <w:iCs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23E6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</w:rPr>
  </w:style>
  <w:style w:type="paragraph" w:styleId="CommentText">
    <w:name w:val="annotation text"/>
    <w:basedOn w:val="Normal"/>
    <w:link w:val="CommentTextChar"/>
    <w:uiPriority w:val="99"/>
    <w:unhideWhenUsed/>
    <w:rsid w:val="00E923E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923E6"/>
    <w:rPr>
      <w:rFonts w:ascii="Times New Roman" w:hAnsi="Times New Roman"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923E6"/>
    <w:rPr>
      <w:rFonts w:ascii="Times New Roman" w:hAnsi="Times New Roman"/>
      <w:b/>
      <w:bCs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923E6"/>
    <w:rPr>
      <w:b/>
      <w:bCs/>
    </w:rPr>
  </w:style>
  <w:style w:type="paragraph" w:styleId="ListParagraph">
    <w:name w:val="List Paragraph"/>
    <w:basedOn w:val="Normal"/>
    <w:uiPriority w:val="34"/>
    <w:qFormat/>
    <w:rsid w:val="00E923E6"/>
    <w:pPr>
      <w:ind w:left="720"/>
    </w:pPr>
  </w:style>
  <w:style w:type="paragraph" w:styleId="TOCHeading">
    <w:name w:val="TOC Heading"/>
    <w:basedOn w:val="Heading1"/>
    <w:next w:val="Normal"/>
    <w:uiPriority w:val="39"/>
    <w:unhideWhenUsed/>
    <w:qFormat/>
    <w:rsid w:val="00E923E6"/>
    <w:pPr>
      <w:numPr>
        <w:numId w:val="0"/>
      </w:numPr>
      <w:spacing w:line="259" w:lineRule="auto"/>
      <w:outlineLvl w:val="9"/>
    </w:pPr>
    <w:rPr>
      <w:rFonts w:asciiTheme="majorHAnsi" w:hAnsiTheme="majorHAnsi" w:cstheme="majorBidi"/>
      <w:b w:val="0"/>
      <w:bCs w:val="0"/>
      <w:color w:val="2F5496" w:themeColor="accent1" w:themeShade="BF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E923E6"/>
    <w:pPr>
      <w:tabs>
        <w:tab w:val="right" w:leader="dot" w:pos="9350"/>
      </w:tabs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E923E6"/>
    <w:pPr>
      <w:spacing w:after="100"/>
      <w:ind w:left="240"/>
    </w:pPr>
  </w:style>
  <w:style w:type="character" w:styleId="Hyperlink">
    <w:name w:val="Hyperlink"/>
    <w:basedOn w:val="DefaultParagraphFont"/>
    <w:uiPriority w:val="99"/>
    <w:unhideWhenUsed/>
    <w:rsid w:val="00E923E6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E923E6"/>
    <w:pPr>
      <w:spacing w:before="100" w:beforeAutospacing="1" w:after="100" w:afterAutospacing="1"/>
    </w:pPr>
    <w:rPr>
      <w:rFonts w:eastAsia="Times New Roman" w:cs="Times New Roman"/>
      <w:szCs w:val="2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23E6"/>
    <w:rPr>
      <w:rFonts w:ascii="Segoe UI" w:hAnsi="Segoe UI" w:cs="Segoe UI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23E6"/>
    <w:pPr>
      <w:spacing w:after="0"/>
    </w:pPr>
    <w:rPr>
      <w:rFonts w:ascii="Segoe UI" w:hAnsi="Segoe UI" w:cs="Segoe UI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E923E6"/>
    <w:pPr>
      <w:spacing w:after="0"/>
      <w:jc w:val="center"/>
    </w:pPr>
    <w:rPr>
      <w:rFonts w:cs="Times New Roman"/>
      <w:b/>
      <w:bCs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E923E6"/>
    <w:rPr>
      <w:rFonts w:ascii="Times New Roman" w:hAnsi="Times New Roman" w:cs="Times New Roman"/>
      <w:b/>
      <w:bCs/>
      <w:sz w:val="24"/>
      <w:szCs w:val="24"/>
    </w:rPr>
  </w:style>
  <w:style w:type="table" w:styleId="TableGrid">
    <w:name w:val="Table Grid"/>
    <w:basedOn w:val="TableNormal"/>
    <w:uiPriority w:val="59"/>
    <w:rsid w:val="00E923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Text2">
    <w:name w:val="BodyText2"/>
    <w:basedOn w:val="Normal"/>
    <w:link w:val="BodyText2Char"/>
    <w:qFormat/>
    <w:rsid w:val="00E923E6"/>
    <w:pPr>
      <w:spacing w:after="0"/>
    </w:pPr>
    <w:rPr>
      <w:rFonts w:eastAsia="Times New Roman" w:cs="Times New Roman"/>
      <w:szCs w:val="20"/>
    </w:rPr>
  </w:style>
  <w:style w:type="character" w:customStyle="1" w:styleId="BodyText2Char">
    <w:name w:val="BodyText2 Char"/>
    <w:basedOn w:val="DefaultParagraphFont"/>
    <w:link w:val="BodyText2"/>
    <w:rsid w:val="00E923E6"/>
    <w:rPr>
      <w:rFonts w:ascii="Times New Roman" w:eastAsia="Times New Roman" w:hAnsi="Times New Roman" w:cs="Times New Roman"/>
      <w:sz w:val="24"/>
      <w:szCs w:val="20"/>
    </w:rPr>
  </w:style>
  <w:style w:type="paragraph" w:styleId="Caption">
    <w:name w:val="caption"/>
    <w:basedOn w:val="Normal"/>
    <w:next w:val="Normal"/>
    <w:qFormat/>
    <w:rsid w:val="00717970"/>
    <w:pPr>
      <w:spacing w:before="120" w:after="120"/>
      <w:jc w:val="center"/>
    </w:pPr>
    <w:rPr>
      <w:rFonts w:eastAsia="Times New Roman" w:cs="Times New Roman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E923E6"/>
    <w:rPr>
      <w:rFonts w:ascii="Times New Roman" w:eastAsia="Times New Roman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rsid w:val="00E923E6"/>
    <w:pPr>
      <w:tabs>
        <w:tab w:val="center" w:pos="4320"/>
        <w:tab w:val="right" w:pos="8640"/>
      </w:tabs>
      <w:spacing w:after="0"/>
    </w:pPr>
    <w:rPr>
      <w:rFonts w:eastAsia="Times New Roman" w:cs="Times New Roman"/>
      <w:szCs w:val="20"/>
    </w:rPr>
  </w:style>
  <w:style w:type="character" w:customStyle="1" w:styleId="FooterChar1">
    <w:name w:val="Footer Char1"/>
    <w:basedOn w:val="DefaultParagraphFont"/>
    <w:uiPriority w:val="99"/>
    <w:semiHidden/>
    <w:rsid w:val="00E923E6"/>
    <w:rPr>
      <w:rFonts w:ascii="Times New Roman" w:hAnsi="Times New Roman"/>
      <w:sz w:val="24"/>
    </w:rPr>
  </w:style>
  <w:style w:type="character" w:styleId="LineNumber">
    <w:name w:val="line number"/>
    <w:basedOn w:val="DefaultParagraphFont"/>
    <w:uiPriority w:val="99"/>
    <w:semiHidden/>
    <w:unhideWhenUsed/>
    <w:rsid w:val="00E923E6"/>
  </w:style>
  <w:style w:type="paragraph" w:styleId="TOC3">
    <w:name w:val="toc 3"/>
    <w:basedOn w:val="Normal"/>
    <w:next w:val="Normal"/>
    <w:autoRedefine/>
    <w:uiPriority w:val="39"/>
    <w:unhideWhenUsed/>
    <w:rsid w:val="00E923E6"/>
    <w:pPr>
      <w:spacing w:after="100"/>
      <w:ind w:left="480"/>
    </w:pPr>
  </w:style>
  <w:style w:type="paragraph" w:customStyle="1" w:styleId="pf0">
    <w:name w:val="pf0"/>
    <w:basedOn w:val="Normal"/>
    <w:rsid w:val="00E923E6"/>
    <w:pPr>
      <w:spacing w:before="100" w:beforeAutospacing="1" w:after="100" w:afterAutospacing="1"/>
    </w:pPr>
    <w:rPr>
      <w:rFonts w:eastAsia="Times New Roman" w:cs="Times New Roman"/>
      <w:szCs w:val="24"/>
    </w:rPr>
  </w:style>
  <w:style w:type="character" w:customStyle="1" w:styleId="cf01">
    <w:name w:val="cf01"/>
    <w:basedOn w:val="DefaultParagraphFont"/>
    <w:rsid w:val="00E923E6"/>
    <w:rPr>
      <w:rFonts w:ascii="Segoe UI" w:hAnsi="Segoe UI" w:cs="Segoe UI" w:hint="default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E923E6"/>
    <w:pPr>
      <w:spacing w:after="0"/>
    </w:pPr>
  </w:style>
  <w:style w:type="character" w:customStyle="1" w:styleId="BodyText123Char">
    <w:name w:val="BodyText_123 Char"/>
    <w:basedOn w:val="DefaultParagraphFont"/>
    <w:link w:val="BodyText123"/>
    <w:locked/>
    <w:rsid w:val="00E923E6"/>
    <w:rPr>
      <w:sz w:val="24"/>
    </w:rPr>
  </w:style>
  <w:style w:type="paragraph" w:customStyle="1" w:styleId="BodyText123">
    <w:name w:val="BodyText_123"/>
    <w:basedOn w:val="Normal"/>
    <w:link w:val="BodyText123Char"/>
    <w:qFormat/>
    <w:rsid w:val="00E923E6"/>
    <w:pPr>
      <w:spacing w:after="240"/>
    </w:pPr>
    <w:rPr>
      <w:rFonts w:asciiTheme="minorHAnsi" w:hAnsiTheme="minorHAnsi"/>
    </w:rPr>
  </w:style>
  <w:style w:type="paragraph" w:styleId="TOC4">
    <w:name w:val="toc 4"/>
    <w:basedOn w:val="Normal"/>
    <w:next w:val="Normal"/>
    <w:autoRedefine/>
    <w:uiPriority w:val="39"/>
    <w:unhideWhenUsed/>
    <w:rsid w:val="00E923E6"/>
    <w:pPr>
      <w:spacing w:after="100" w:line="259" w:lineRule="auto"/>
      <w:ind w:left="660"/>
    </w:pPr>
    <w:rPr>
      <w:rFonts w:asciiTheme="minorHAnsi" w:eastAsiaTheme="minorEastAsia" w:hAnsiTheme="minorHAnsi"/>
      <w:sz w:val="22"/>
    </w:rPr>
  </w:style>
  <w:style w:type="paragraph" w:styleId="TOC5">
    <w:name w:val="toc 5"/>
    <w:basedOn w:val="Normal"/>
    <w:next w:val="Normal"/>
    <w:autoRedefine/>
    <w:uiPriority w:val="39"/>
    <w:unhideWhenUsed/>
    <w:rsid w:val="00E923E6"/>
    <w:pPr>
      <w:spacing w:after="100" w:line="259" w:lineRule="auto"/>
      <w:ind w:left="880"/>
    </w:pPr>
    <w:rPr>
      <w:rFonts w:asciiTheme="minorHAnsi" w:eastAsiaTheme="minorEastAsia" w:hAnsiTheme="minorHAnsi"/>
      <w:sz w:val="22"/>
    </w:rPr>
  </w:style>
  <w:style w:type="paragraph" w:styleId="TOC6">
    <w:name w:val="toc 6"/>
    <w:basedOn w:val="Normal"/>
    <w:next w:val="Normal"/>
    <w:autoRedefine/>
    <w:uiPriority w:val="39"/>
    <w:unhideWhenUsed/>
    <w:rsid w:val="00E923E6"/>
    <w:pPr>
      <w:spacing w:after="100" w:line="259" w:lineRule="auto"/>
      <w:ind w:left="1100"/>
    </w:pPr>
    <w:rPr>
      <w:rFonts w:asciiTheme="minorHAnsi" w:eastAsiaTheme="minorEastAsia" w:hAnsiTheme="minorHAnsi"/>
      <w:sz w:val="22"/>
    </w:rPr>
  </w:style>
  <w:style w:type="paragraph" w:styleId="TOC7">
    <w:name w:val="toc 7"/>
    <w:basedOn w:val="Normal"/>
    <w:next w:val="Normal"/>
    <w:autoRedefine/>
    <w:uiPriority w:val="39"/>
    <w:unhideWhenUsed/>
    <w:rsid w:val="00E923E6"/>
    <w:pPr>
      <w:spacing w:after="100" w:line="259" w:lineRule="auto"/>
      <w:ind w:left="1320"/>
    </w:pPr>
    <w:rPr>
      <w:rFonts w:asciiTheme="minorHAnsi" w:eastAsiaTheme="minorEastAsia" w:hAnsiTheme="minorHAnsi"/>
      <w:sz w:val="22"/>
    </w:rPr>
  </w:style>
  <w:style w:type="paragraph" w:styleId="TOC8">
    <w:name w:val="toc 8"/>
    <w:basedOn w:val="Normal"/>
    <w:next w:val="Normal"/>
    <w:autoRedefine/>
    <w:uiPriority w:val="39"/>
    <w:unhideWhenUsed/>
    <w:rsid w:val="00E923E6"/>
    <w:pPr>
      <w:spacing w:after="100" w:line="259" w:lineRule="auto"/>
      <w:ind w:left="1540"/>
    </w:pPr>
    <w:rPr>
      <w:rFonts w:asciiTheme="minorHAnsi" w:eastAsiaTheme="minorEastAsia" w:hAnsiTheme="minorHAnsi"/>
      <w:sz w:val="22"/>
    </w:rPr>
  </w:style>
  <w:style w:type="paragraph" w:styleId="TOC9">
    <w:name w:val="toc 9"/>
    <w:basedOn w:val="Normal"/>
    <w:next w:val="Normal"/>
    <w:autoRedefine/>
    <w:uiPriority w:val="39"/>
    <w:unhideWhenUsed/>
    <w:rsid w:val="00E923E6"/>
    <w:pPr>
      <w:spacing w:after="100" w:line="259" w:lineRule="auto"/>
      <w:ind w:left="1760"/>
    </w:pPr>
    <w:rPr>
      <w:rFonts w:asciiTheme="minorHAnsi" w:eastAsiaTheme="minorEastAsia" w:hAnsiTheme="minorHAnsi"/>
      <w:sz w:val="22"/>
    </w:rPr>
  </w:style>
  <w:style w:type="paragraph" w:styleId="Header">
    <w:name w:val="header"/>
    <w:basedOn w:val="Normal"/>
    <w:link w:val="HeaderChar"/>
    <w:uiPriority w:val="99"/>
    <w:unhideWhenUsed/>
    <w:rsid w:val="00E923E6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E923E6"/>
    <w:rPr>
      <w:rFonts w:ascii="Times New Roman" w:hAnsi="Times New Roman"/>
      <w:sz w:val="24"/>
    </w:rPr>
  </w:style>
  <w:style w:type="character" w:styleId="PageNumber">
    <w:name w:val="page number"/>
    <w:basedOn w:val="DefaultParagraphFont"/>
    <w:rsid w:val="00E923E6"/>
  </w:style>
  <w:style w:type="character" w:styleId="CommentReference">
    <w:name w:val="annotation reference"/>
    <w:basedOn w:val="DefaultParagraphFont"/>
    <w:uiPriority w:val="99"/>
    <w:semiHidden/>
    <w:unhideWhenUsed/>
    <w:rsid w:val="00384C99"/>
    <w:rPr>
      <w:sz w:val="16"/>
      <w:szCs w:val="16"/>
    </w:rPr>
  </w:style>
  <w:style w:type="paragraph" w:styleId="Revision">
    <w:name w:val="Revision"/>
    <w:hidden/>
    <w:uiPriority w:val="99"/>
    <w:semiHidden/>
    <w:rsid w:val="00384C99"/>
    <w:pPr>
      <w:spacing w:after="0" w:line="240" w:lineRule="auto"/>
    </w:pPr>
    <w:rPr>
      <w:rFonts w:ascii="Times New Roman" w:hAnsi="Times New Roman"/>
      <w:sz w:val="24"/>
    </w:rPr>
  </w:style>
  <w:style w:type="character" w:styleId="PlaceholderText">
    <w:name w:val="Placeholder Text"/>
    <w:basedOn w:val="DefaultParagraphFont"/>
    <w:uiPriority w:val="99"/>
    <w:semiHidden/>
    <w:rsid w:val="00384C99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384C9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84C99"/>
    <w:rPr>
      <w:color w:val="954F72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84C99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854278"/>
    <w:pPr>
      <w:spacing w:after="0" w:line="240" w:lineRule="auto"/>
    </w:pPr>
    <w:rPr>
      <w:rFonts w:ascii="Times New Roman" w:hAnsi="Times New Roman"/>
      <w:sz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54278"/>
    <w:pPr>
      <w:spacing w:after="0"/>
      <w:contextualSpacing w:val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54278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54278"/>
    <w:rPr>
      <w:vertAlign w:val="superscript"/>
    </w:rPr>
  </w:style>
  <w:style w:type="character" w:styleId="Emphasis">
    <w:name w:val="Emphasis"/>
    <w:basedOn w:val="DefaultParagraphFont"/>
    <w:uiPriority w:val="20"/>
    <w:qFormat/>
    <w:rsid w:val="00854278"/>
    <w:rPr>
      <w:i/>
      <w:iCs/>
    </w:rPr>
  </w:style>
  <w:style w:type="paragraph" w:customStyle="1" w:styleId="Abstract">
    <w:name w:val="Abstract"/>
    <w:basedOn w:val="Normal"/>
    <w:qFormat/>
    <w:rsid w:val="00854278"/>
    <w:pPr>
      <w:spacing w:before="120" w:after="0"/>
      <w:contextualSpacing w:val="0"/>
    </w:pPr>
    <w:rPr>
      <w:rFonts w:eastAsia="Times New Roman" w:cs="Times New Roman"/>
      <w:szCs w:val="24"/>
    </w:rPr>
  </w:style>
  <w:style w:type="paragraph" w:customStyle="1" w:styleId="Affiliation">
    <w:name w:val="Affiliation"/>
    <w:basedOn w:val="Normal"/>
    <w:qFormat/>
    <w:rsid w:val="00854278"/>
    <w:pPr>
      <w:spacing w:before="120" w:after="0"/>
      <w:contextualSpacing w:val="0"/>
    </w:pPr>
    <w:rPr>
      <w:rFonts w:eastAsia="Times New Roman" w:cs="Times New Roman"/>
      <w:szCs w:val="24"/>
    </w:rPr>
  </w:style>
  <w:style w:type="paragraph" w:customStyle="1" w:styleId="Authors">
    <w:name w:val="Authors"/>
    <w:basedOn w:val="Normal"/>
    <w:rsid w:val="00854278"/>
    <w:pPr>
      <w:spacing w:before="120" w:after="360"/>
      <w:contextualSpacing w:val="0"/>
    </w:pPr>
    <w:rPr>
      <w:rFonts w:eastAsia="Times New Roman" w:cs="Times New Roman"/>
      <w:b/>
      <w:szCs w:val="24"/>
    </w:rPr>
  </w:style>
  <w:style w:type="paragraph" w:customStyle="1" w:styleId="KeyPoints">
    <w:name w:val="Key Points"/>
    <w:basedOn w:val="Normal"/>
    <w:rsid w:val="00854278"/>
    <w:pPr>
      <w:spacing w:before="120" w:after="0"/>
      <w:contextualSpacing w:val="0"/>
    </w:pPr>
    <w:rPr>
      <w:rFonts w:eastAsia="Times New Roman" w:cs="Times New Roman"/>
      <w:szCs w:val="24"/>
    </w:rPr>
  </w:style>
  <w:style w:type="paragraph" w:styleId="Bibliography">
    <w:name w:val="Bibliography"/>
    <w:basedOn w:val="Normal"/>
    <w:next w:val="Normal"/>
    <w:uiPriority w:val="37"/>
    <w:unhideWhenUsed/>
    <w:rsid w:val="00FB6337"/>
    <w:pPr>
      <w:spacing w:after="0"/>
      <w:ind w:left="720" w:hanging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nmathews@sitkascience.org" TargetMode="Externa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135ADC-3F2F-4659-B2E1-CEBF61C3BB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8</Pages>
  <Words>609</Words>
  <Characters>3818</Characters>
  <Application>Microsoft Office Word</Application>
  <DocSecurity>0</DocSecurity>
  <Lines>61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Mathews, Nicolas W</dc:creator>
  <cp:keywords/>
  <dc:description/>
  <cp:lastModifiedBy>Nicolas Mathews</cp:lastModifiedBy>
  <cp:revision>19</cp:revision>
  <dcterms:created xsi:type="dcterms:W3CDTF">2024-05-06T22:28:00Z</dcterms:created>
  <dcterms:modified xsi:type="dcterms:W3CDTF">2026-03-12T02:51:00Z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zotero-version="6.0.30"&gt;&lt;session id="aVT9dBo7"/&gt;&lt;style id="http://www.zotero.org/styles/elsevier-harvard2" hasBibliography="1" bibliographyStyleHasBeenSet="1"/&gt;&lt;prefs&gt;&lt;pref name="fieldType" value="Field"/&gt;&lt;/prefs&gt;&lt;/data&gt;</vt:lpwstr>
  </property>
</Properties>
</file>