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bookmarkStart w:id="0" w:name="OLE_LINK6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Table 6 Results of the First Round of Expert Consultation</w:t>
      </w:r>
    </w:p>
    <w:bookmarkEnd w:id="0"/>
    <w:tbl>
      <w:tblPr>
        <w:tblStyle w:val="3"/>
        <w:tblpPr w:leftFromText="181" w:rightFromText="181" w:vertAnchor="text" w:horzAnchor="page" w:tblpXSpec="center" w:tblpY="1"/>
        <w:tblOverlap w:val="never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7"/>
        <w:gridCol w:w="859"/>
        <w:gridCol w:w="999"/>
        <w:gridCol w:w="1201"/>
        <w:gridCol w:w="835"/>
        <w:gridCol w:w="116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1" w:name="OLE_LINK2"/>
            <w:bookmarkStart w:id="2" w:name="OLE_LINK128" w:colFirst="0" w:colLast="0"/>
            <w:bookmarkStart w:id="3" w:name="OLE_LINK292" w:colFirst="0" w:colLast="6"/>
            <w:bookmarkStart w:id="4" w:name="OLE_LINK203"/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EPA Performance Indicators</w:t>
            </w:r>
            <w:bookmarkEnd w:id="1"/>
          </w:p>
        </w:tc>
        <w:tc>
          <w:tcPr>
            <w:tcW w:w="3059" w:type="dxa"/>
            <w:gridSpan w:val="3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5" w:name="OLE_LINK3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Importance</w:t>
            </w:r>
            <w:bookmarkEnd w:id="5"/>
          </w:p>
        </w:tc>
        <w:tc>
          <w:tcPr>
            <w:tcW w:w="3219" w:type="dxa"/>
            <w:gridSpan w:val="3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6" w:name="OLE_LINK4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Feasibility</w:t>
            </w:r>
            <w:bookmarkEnd w:id="6"/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vMerge w:val="continue"/>
            <w:tcBorders>
              <w:top w:val="single" w:color="000000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7" w:name="OLE_LINK5" w:colFirst="1" w:colLast="6"/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Mean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8" w:name="OLE_LINK1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Standard Deviation (SD)</w:t>
            </w:r>
            <w:bookmarkEnd w:id="8"/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Coefficient of Variation (CV)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Mean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Standard Deviation (SD)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Coefficient of Variation (CV)</w:t>
            </w:r>
          </w:p>
        </w:tc>
      </w:tr>
      <w:bookmarkEnd w:id="3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The phy</w:t>
            </w:r>
            <w:bookmarkStart w:id="15" w:name="_GoBack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sicia</w:t>
            </w:r>
            <w:bookmarkEnd w:id="15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 maintains a professional, dignified, and appropriate appearance and demeanor</w:t>
            </w: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4.6327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0.7273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0.1570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4.8367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0.5143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Diagnostic and therapeutic tools are fully prepared and properly positioned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4.5102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0.7671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0.1701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0.5962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Establish a quiet and comfortable clinical consultation environment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4.5510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0.7377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0.1621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4.5918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0.7615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Verify the patient’s basic demographic and administrative information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4.8980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0.3677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0.0751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4.9796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0.1429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Utilize the SOCRATES mnemonic (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ite,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nset,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haracter,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adiation,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ssociated symptoms,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iming,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xacerbating/relieving factors, 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everity) for structured history taking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4.6735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0.9440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0.2020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0.9368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Collect comprehensive information on the patient’s disease course, diagnosis, and prior management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4.8776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0.3312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0.0679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0.6019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Conduct a thorough review of the patient’s past medical history, family history, reproductive history, and personal social history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4.7959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0.4991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0.5774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Accurately identify modifiable and non-modifiable health risk factors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4.8163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0.4862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0.6488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Conduct a biopsychosocial holistic history assessment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4.7755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0.4684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0.0981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0.7089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Apply the RICE mnemonic for rapid clinical assessment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4.6531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0.9254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0.1989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1.0206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Use open-ended questioning to elicit and attentively listen to the patient’s chief complaint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4.7143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0.6124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0.1299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0.8660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Integrate general physical examination with focused assessment of relevant systems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4.9592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0.1999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0.0403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4.7755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0.5502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Demonstrate standardized and proficient performance of physical examination techniques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4.8571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0.3536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0.5000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Maintain clear communication with the patient during examination and prioritize patient comfort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4.8163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0.3912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0.0812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0.5216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Implement appropriate privacy protection measures during examination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4.8776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0.3312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0.0679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0.4862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Select diagnostic tests based on clinical indication and evidence-based principles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4.9184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0.2766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0.0562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0.5609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Inform the patient of pre-test precautions in advance to ensure patient safety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4.7959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0.4991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0.5313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Explain the rationale and expected benefits of diagnostic tests to the patient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4.8163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0.3912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0.0812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4.7959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0.4991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Coordinate effectively with external facilities for referred diagnostic tests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4.2245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0.9846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0.2331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4.1224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1.0534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Accurately interpret diagnostic test results and correlate findings with clinical context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4.8980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0.3677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0.0751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0.5313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Proactively greet the patient and introduce oneself with clear role clarification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4.7551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0.4800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0.4413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Use plain, accessible language and minimize unnecessary medical jargon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4.8571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0.3536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4.6939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0.5084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Utilize non-verbal communication skills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4.6735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0.5548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0.1187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4.3878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0.7587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Provide timely feedback and confirmation of information to the patient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4.7755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0.4684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0.0981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4.6735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0.5548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Maintain an appropriate tone, volume, and pace of speech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4.7755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0.4216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0.0883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4.5510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0.6475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Demonstrate empathy and provide appropriate emotional support to the patient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4.8571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0.3536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0.5401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Demonstrate proficiency in breaking bad news effectively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4.7755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0.4216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0.0883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0.6789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Respect patient autonomy and facilitate shared decision-making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4.8571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0.4082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0.0841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0.6395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Respect cultural diversity and provide culturally sensitive care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4.4898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0.7107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0.1583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4.3673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0.7273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Respond patiently to the patient’s non-medical questions and concerns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4.2041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0.7900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0.1879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4.1633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0.8253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Address the unique needs of vulnerable patients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4.4898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0.6494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0.1446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4.2857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0.7638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Proactively provide care navigation and guidance on follow-up or additional care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4.4490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0.9802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0.2203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0.9789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Adhere to the ethical principles of justice and beneficence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4.7959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0.4555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0.0950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4.5714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0.6770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Demonstrate competence in managing ethical dilemmas in clinical practice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4.6531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0.5969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4.2449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0.8299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Apply systematic reasoning for diagnosis and differential diagnosis of common symptoms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4.9184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0.2766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0.0562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0.5313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Utilize evidence-based medicine (EBM) principles in clinical decision-making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4.8367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0.3734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0.0772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4.4694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0.6801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Develop a scientific, evidence-based, and individualized treatment plan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4.9388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0.2422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0.0490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0.5707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Ensure the treatment plan is cost-effective and avoids unnecessary resource utilization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4.7347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0.4906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0.1036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4.4898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0.6808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Integrate pharmacotherapy with non-pharmacological interventions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4.7551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0.8299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0.1745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0.9811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Identify and justify appropriate referral criteria for higher-level care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4.8776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0.3312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0.0679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4.5918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0.6745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Recognize signs and symptoms of acute and critical illnesses promptly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4.9592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0.1999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0.0403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4.6735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0.5912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Initiate timely and appropriate management of acute and critical conditions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4.7959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0.4991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0.6061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Manage patients with multiple comorbidities effectively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4.8571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0.3536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0.6808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Ability to manage undifferentiated/uncertain medical conditions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4.7551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0.4345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0.0914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4.3265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0.7469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Infectious disease prevention and control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4.6939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0.8709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0.1855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4.4694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0.9377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Assess the patient’s health risks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4.8367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0.3734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0.0772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0.6019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Provide personalized preventive strategies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4.8367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0.3734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0.0772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0.6061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Dynamic management of community health records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4.7143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0.5774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0.1225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0.7671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Develop a rational and tailored follow-up plan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4.8163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0.4413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0.0916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4.6735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0.6254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Provide continuous medication adherence counseling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4.7551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0.7226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0.1520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4.5714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0.8416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Assess family resources to support patient self-management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4.6939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0.5084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4.2857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0.8898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Coordinate community resources to support patient self-management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4.6531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0.5225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4.1429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0.9354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Ability to organize multidisciplinary team (MDT) consultations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4.6327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0.5281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0.1140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4.2041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0.8893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Ability to coordinate tiered referral and care escalation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4.6327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0.8826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0.1905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4.2449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1.0314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0.2430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Document comprehensive and accurate outpatient medical records that reflect clinical reasoning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4.8571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0.3536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4.6122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0.6061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Complete outpatient medical records in a timely and standardized manner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4.8776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0.3312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0.0679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0.5216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Write outpatient prescriptions with complete content and standardized formatting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4.8776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0.3312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0.0679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4.8571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0.3536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Ensure accuracy in outpatient prescription writing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4.7755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0.8232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0.1724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4.7347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0.8606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  <w:t>0.1818</w:t>
            </w:r>
          </w:p>
        </w:tc>
      </w:tr>
      <w:bookmarkEnd w:id="4"/>
    </w:tbl>
    <w:p/>
    <w:p/>
    <w:p/>
    <w:p/>
    <w:p/>
    <w:p/>
    <w:p/>
    <w:p/>
    <w:p/>
    <w:p/>
    <w:p/>
    <w:p/>
    <w:p/>
    <w:p/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Table 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 xml:space="preserve"> Results of the </w:t>
      </w:r>
      <w:r>
        <w:rPr>
          <w:rFonts w:hint="default" w:ascii="Times New Roman" w:hAnsi="Times New Roman" w:cs="Times New Roman"/>
          <w:lang w:val="en-US" w:eastAsia="zh-CN"/>
        </w:rPr>
        <w:t>Second</w:t>
      </w:r>
      <w:r>
        <w:rPr>
          <w:rFonts w:hint="default" w:ascii="Times New Roman" w:hAnsi="Times New Roman" w:cs="Times New Roman"/>
        </w:rPr>
        <w:t xml:space="preserve"> Round of Expert Consultation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015"/>
        <w:gridCol w:w="1016"/>
        <w:gridCol w:w="1240"/>
        <w:gridCol w:w="952"/>
        <w:gridCol w:w="981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9" w:name="OLE_LINK67"/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EPA Performance Indicators</w:t>
            </w:r>
          </w:p>
        </w:tc>
        <w:tc>
          <w:tcPr>
            <w:tcW w:w="3271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Importance</w:t>
            </w:r>
          </w:p>
        </w:tc>
        <w:tc>
          <w:tcPr>
            <w:tcW w:w="3017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Feasibility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Merge w:val="continue"/>
            <w:tcBorders>
              <w:top w:val="single" w:color="000000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Mean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Standard Deviation (SD)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Coefficient of Variation (CV)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Mean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Standard Deviation (SD)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Coefficient of Variation (CV)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10" w:name="OLE_LINK66" w:colFirst="0" w:colLast="0"/>
            <w:bookmarkStart w:id="11" w:name="OLE_LINK63" w:colFirst="0" w:colLast="0"/>
            <w:bookmarkStart w:id="12" w:name="OLE_LINK125" w:colFirst="5" w:colLast="5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Maintains professional appearance and demeanor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4.5394 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0.7800 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0.1718 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4.8844 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0.3669 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0.0751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Adheres to standard personal protective equipment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protocols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4.6227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0.7456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0.1613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4.7154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0.5256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Ensures clinical equipment is fully prepared and properly positioned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4.3990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0.8021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0.1823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4.7284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0.5557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Establishes a quiet and comfortable clinical environment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4.3530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0.8190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0.1882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4.4465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0.7561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Reviews the patient’s prior clinical history records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4.6933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0.6725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0.1433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4.6745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0.4935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Obtains basic information related to the current consultation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4.7424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0.6591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0.1390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4.7905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0.4410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0.0921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Verifies the patient’s basic demographic information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4.7652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0.5081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4.8044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0.4838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Comprehensively collects present illness history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4.9167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0.2501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0.0509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4.6639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0.5009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Thoroughly reviews relevant historical data (past medical, family, reproductive, and personal histories)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4.6995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0.4382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0.0932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4.6561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0.4996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Assesses the patient’s psychological status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4.5827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0.5200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0.1135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4.3251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0.7017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Collects comprehensive social context information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4.4329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0.6601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0.1489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4.1659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0.7048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Selects appropriate physical examination items based on clinical context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4.8706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0.3295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0.0676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4.6668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0.5781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0.1239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Performs physical examination with standardization and proficiency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4.8869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0.3046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0.0623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4.6431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0.5459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Prioritizes patient comfort and maintains privacy protection during the examination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4.8697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0.3103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0.0637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4.7766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0.4515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0.0945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Selects appropriate diagnostic tests based on clinical context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4.9383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0.2111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0.0427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4.6493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0.5467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Explains the purpose of diagnostic tests to the patient and informs them of pre-test precautions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4.7392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0.4753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0.1003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4.6950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0.5240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Interprets diagnostic test results accurately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4.9489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0.2012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0.0407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4.7660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0.4033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0.0846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Initiates greetings and introduces oneself to the patient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4.5003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0.6657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0.1479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4.6346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0.7666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Uses plain language and avoids excessive medical jargon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4.7474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0.4586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0.0966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4.5147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0.5955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0.1319 </w:t>
            </w:r>
          </w:p>
        </w:tc>
      </w:tr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Utilizes nonverbal communication techniques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4.6653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0.4998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0.1071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4.3476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0.6118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13" w:name="OLE_LINK44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Provides timely feedback and confirms information shared by the patient</w:t>
            </w:r>
            <w:bookmarkEnd w:id="13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4.6440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0.5452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4.5207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0.6653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Maintains appropriate tone, volume, and pace of speech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4.6257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0.5510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0.1191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4.4938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0.7517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Demonstrates empathy and provides appropriate emotional support to the patient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4.8627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0.3305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0.0680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4.6242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0.6241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Communicates patient condition information effectively (including both positive and adverse updates)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4.7893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0.3885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0.0811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4.4933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0.5972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Uses a combination of open-ended and closed-ended questions to elicit patient concerns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4.7097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0.4844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0.1028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4.3949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0.6883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0.1566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Respects patient autonomy and cultural background to facilitate shared decision-making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4.8216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0.4108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0.0852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4.4105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0.7178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Navigates ethical dilemmas flexibly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4.5546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0.5953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0.1307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4.1255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0.7416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0.1798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Adheres to the principles of justice and beneficence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4.7420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0.4754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0.1003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4.4349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0.7499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Identifies and addresses the patient’s specific needs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4.6529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0.4997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4.3238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0.7045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Demonstrates logical diagnostic and differential diagnostic reasoning for common symptoms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4.9164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0.2630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0.0535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4.6319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0.5496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Applies evidence-based medicine principles in clinical diagnosis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4.7549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0.4185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0.0880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4.4079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0.6898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0.1565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Comprehensive diagnosis without omissions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4.6847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0.7033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0.1501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4.2353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0.8656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0.2044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Accurately identifies the primary diagnosis or main clinical problem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4.6224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0.5108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0.1105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4.2382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0.8418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0.1986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Develops evidence-based, personalized treatment plans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4.8113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0.3732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0.0776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4.4989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0.6378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Selects medications that are safely tailored to the patient’s individual characteristics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4.8228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0.6226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0.1291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4.4558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0.7231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Identifies drug-drug interactions in polypharmacy to ensure therapeutic efficacy and safety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4.8416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0.3517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0.0726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4.3688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0.7402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Selects treatment plans that align with the patient’s economic circumstances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4.7253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0.4749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0.1005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4.4676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0.6293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Appropriately utilizes non-pharmacological interventions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4.7089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0.4843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0.1028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4.5467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0.6355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Assesses and manages the risk of acute/critical conditions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4.9154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0.2508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0.0510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4.5414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0.5638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0.1241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Evaluates and addresses comorbidity-related risks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4.8077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0.3729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0.0776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4.4692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0.6932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0.1551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Manages clinical scenarios where symptoms are inconsistent with diagnostic test results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4.7502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0.4174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0.0879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4.2505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0.7377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0.1735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MDT Need Assessment Competency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4.5815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0.5190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0.1133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4.1574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0.8378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0.2015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Provides health education and health promotion strategies tailored to the patient’s condition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4.8155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0.3725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0.0774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4.5880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0.6310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Offers guidance on infectious disease prevention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4.7542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0.4637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0.0975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4.5087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0.6641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bookmarkStart w:id="14" w:name="OLE_LINK69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Maintains dynamic management of community health records (within network-accessible scope)</w:t>
            </w:r>
            <w:bookmarkEnd w:id="14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4.7672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0.4520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0.0948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4.3341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0.7357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0.1698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Develops a rational follow-up plan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4.8722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0.3713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0.0762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4.6068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0.5921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0.1285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Produces comprehensive, accurate outpatient medical records that reflect general practice reasoning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4.8640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0.3295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0.0677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4.5941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0.6872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0.1496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Completes outpatient medical records in a timely manner and adheres to standardized formatting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4.8574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0.3309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0.0681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4.7288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0.6268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Produces complete content in outpatient prescriptions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4.8595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0.3303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0.0680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4.7525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0.6179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Ensures the accuracy of outpatient prescription content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4.9195 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0.2463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0.0501 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4.7096 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0.6336 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18"/>
                <w:szCs w:val="18"/>
                <w:lang w:bidi="ar"/>
              </w:rPr>
              <w:t xml:space="preserve">0.1345 </w:t>
            </w:r>
          </w:p>
        </w:tc>
      </w:tr>
      <w:bookmarkEnd w:id="9"/>
      <w:bookmarkEnd w:id="11"/>
      <w:bookmarkEnd w:id="1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A481E7F"/>
    <w:rsid w:val="0CC51EAD"/>
    <w:rsid w:val="172B0B5F"/>
    <w:rsid w:val="1E8F26ED"/>
    <w:rsid w:val="1ED33790"/>
    <w:rsid w:val="1FDE2C12"/>
    <w:rsid w:val="2AED28A3"/>
    <w:rsid w:val="3684230E"/>
    <w:rsid w:val="39F23A32"/>
    <w:rsid w:val="3A862A56"/>
    <w:rsid w:val="425F3C2F"/>
    <w:rsid w:val="451707F1"/>
    <w:rsid w:val="48EC789E"/>
    <w:rsid w:val="4B8A1EBA"/>
    <w:rsid w:val="55CC1183"/>
    <w:rsid w:val="585B234B"/>
    <w:rsid w:val="5AA24261"/>
    <w:rsid w:val="6A2E3D63"/>
    <w:rsid w:val="6E2F3C06"/>
    <w:rsid w:val="71566079"/>
    <w:rsid w:val="73F41B79"/>
    <w:rsid w:val="741C69DA"/>
    <w:rsid w:val="74BE7DAB"/>
    <w:rsid w:val="756248C1"/>
    <w:rsid w:val="79AC25AE"/>
    <w:rsid w:val="7D5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2026-01-18T07:54:00Z</dcterms:created>
  <dc:creator>17703</dc:creator>
  <cp:lastModifiedBy>追风少年</cp:lastModifiedBy>
  <dcterms:modified xsi:type="dcterms:W3CDTF">2026-03-12T01:05:08Z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F5689D6F544C4F0390B35B7AE0A76B68_12</vt:lpwstr>
  </property>
</Properties>
</file>