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12E0" w14:textId="77777777" w:rsidR="00BD140D" w:rsidRDefault="00BD140D">
      <w:pPr>
        <w:spacing w:after="0"/>
      </w:pPr>
    </w:p>
    <w:p w14:paraId="1F92FF55" w14:textId="77777777" w:rsidR="00BD140D" w:rsidRDefault="00BD140D">
      <w:pPr>
        <w:spacing w:after="0"/>
      </w:pPr>
    </w:p>
    <w:p w14:paraId="655A1F31" w14:textId="77777777" w:rsidR="00BD140D" w:rsidRDefault="00BD140D">
      <w:pPr>
        <w:spacing w:after="0"/>
      </w:pPr>
    </w:p>
    <w:p w14:paraId="4D6B874C" w14:textId="77777777" w:rsidR="00BD140D" w:rsidRDefault="00BD140D">
      <w:pPr>
        <w:spacing w:after="0"/>
      </w:pPr>
    </w:p>
    <w:p w14:paraId="3132490D" w14:textId="77777777" w:rsidR="00BD140D" w:rsidRDefault="00BD140D">
      <w:pPr>
        <w:spacing w:after="0"/>
      </w:pPr>
    </w:p>
    <w:p w14:paraId="71293469" w14:textId="77777777" w:rsidR="00BD140D" w:rsidRDefault="00BD140D">
      <w:pPr>
        <w:spacing w:after="0"/>
      </w:pPr>
    </w:p>
    <w:p w14:paraId="54CCA54B" w14:textId="77777777" w:rsidR="00BD140D" w:rsidRDefault="00000000">
      <w:pPr>
        <w:jc w:val="center"/>
      </w:pPr>
      <w:r>
        <w:rPr>
          <w:rFonts w:ascii="Arial" w:hAnsi="Arial"/>
          <w:b/>
          <w:sz w:val="40"/>
        </w:rPr>
        <w:t>Supplementary Information</w:t>
      </w:r>
    </w:p>
    <w:p w14:paraId="49EDFF8B" w14:textId="77777777" w:rsidR="00BD140D" w:rsidRDefault="00BD140D"/>
    <w:p w14:paraId="4A715468" w14:textId="77777777" w:rsidR="00BD140D" w:rsidRDefault="00000000">
      <w:pPr>
        <w:jc w:val="center"/>
      </w:pPr>
      <w:r>
        <w:rPr>
          <w:rFonts w:ascii="Arial" w:hAnsi="Arial"/>
          <w:sz w:val="24"/>
        </w:rPr>
        <w:t>Condition-Specific Readmission Risk Stratification in a Predominantly Black Statewide Cohort Using Machine Learning: Development of Subtype-Specific Models for Heart Failure, Acute Myocardial Infarction, Atrial Fibrillation/Flutter, and Hypertensive Heart Disease</w:t>
      </w:r>
    </w:p>
    <w:p w14:paraId="78BFFC9C" w14:textId="77777777" w:rsidR="00BD140D" w:rsidRDefault="00BD140D"/>
    <w:p w14:paraId="784ADCE9" w14:textId="77777777" w:rsidR="00BD140D" w:rsidRDefault="00000000">
      <w:pPr>
        <w:jc w:val="center"/>
      </w:pPr>
      <w:r>
        <w:rPr>
          <w:rFonts w:ascii="Arial" w:hAnsi="Arial"/>
          <w:i/>
        </w:rPr>
        <w:t>Ismail El Moudden, Michael Bittner, Sunita Dodani</w:t>
      </w:r>
    </w:p>
    <w:p w14:paraId="6B09DABE" w14:textId="77777777" w:rsidR="00BD140D" w:rsidRDefault="00BD140D">
      <w:pPr>
        <w:sectPr w:rsidR="00BD140D">
          <w:pgSz w:w="12240" w:h="15840"/>
          <w:pgMar w:top="1440" w:right="1440" w:bottom="1440" w:left="1440" w:header="720" w:footer="720" w:gutter="0"/>
          <w:cols w:space="720"/>
          <w:docGrid w:linePitch="360"/>
        </w:sectPr>
      </w:pPr>
    </w:p>
    <w:p w14:paraId="74198DDA" w14:textId="77777777" w:rsidR="00000000" w:rsidRPr="000C20C7" w:rsidRDefault="00000000">
      <w:pPr>
        <w:spacing w:before="120" w:after="60"/>
        <w:rPr>
          <w:rFonts w:asciiTheme="majorBidi" w:hAnsiTheme="majorBidi" w:cstheme="majorBidi"/>
        </w:rPr>
      </w:pPr>
      <w:r w:rsidRPr="000C20C7">
        <w:rPr>
          <w:rFonts w:asciiTheme="majorBidi" w:hAnsiTheme="majorBidi" w:cstheme="majorBidi"/>
          <w:b/>
          <w:bCs/>
        </w:rPr>
        <w:lastRenderedPageBreak/>
        <w:t xml:space="preserve">Supplementary Table S1. </w:t>
      </w:r>
      <w:r w:rsidRPr="000C20C7">
        <w:rPr>
          <w:rFonts w:asciiTheme="majorBidi" w:hAnsiTheme="majorBidi" w:cstheme="majorBidi"/>
        </w:rPr>
        <w:t>Four-Method Consensus Feature Selection Results</w:t>
      </w:r>
    </w:p>
    <w:tbl>
      <w:tblPr>
        <w:tblW w:w="4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91"/>
        <w:gridCol w:w="1597"/>
        <w:gridCol w:w="1428"/>
        <w:gridCol w:w="1044"/>
        <w:gridCol w:w="1350"/>
        <w:gridCol w:w="1440"/>
        <w:gridCol w:w="1619"/>
      </w:tblGrid>
      <w:tr w:rsidR="00213DBE" w:rsidRPr="000C20C7" w14:paraId="098852A0" w14:textId="77777777" w:rsidTr="00672B5F">
        <w:tc>
          <w:tcPr>
            <w:tcW w:w="5191"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1363D48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Feature</w:t>
            </w:r>
          </w:p>
        </w:tc>
        <w:tc>
          <w:tcPr>
            <w:tcW w:w="1597"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7DC8A3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Boruta</w:t>
            </w:r>
          </w:p>
        </w:tc>
        <w:tc>
          <w:tcPr>
            <w:tcW w:w="1428"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2AF5E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SHAP</w:t>
            </w:r>
          </w:p>
        </w:tc>
        <w:tc>
          <w:tcPr>
            <w:tcW w:w="1044"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CB660A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RFE</w:t>
            </w:r>
          </w:p>
        </w:tc>
        <w:tc>
          <w:tcPr>
            <w:tcW w:w="135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BA685AF"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b/>
                <w:bCs/>
                <w:sz w:val="16"/>
                <w:szCs w:val="16"/>
              </w:rPr>
              <w:t>mRMR</w:t>
            </w:r>
            <w:proofErr w:type="spellEnd"/>
          </w:p>
        </w:tc>
        <w:tc>
          <w:tcPr>
            <w:tcW w:w="144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E6392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Votes</w:t>
            </w:r>
          </w:p>
        </w:tc>
        <w:tc>
          <w:tcPr>
            <w:tcW w:w="161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CFAB8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Selected</w:t>
            </w:r>
          </w:p>
        </w:tc>
      </w:tr>
      <w:tr w:rsidR="00213DBE" w:rsidRPr="000C20C7" w14:paraId="28121093"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D6687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727AB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3DB98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8498A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E0F8E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B8FB7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94371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D2B2476"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12991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Insurance Type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88D2D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0D4BC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20408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580F7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576B8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C5110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06C35168"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22CAC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CA6E0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EC5A8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5B137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078B3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755B0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33154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1E759D1"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16C0C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ED418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F8496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24374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69703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03BF1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C66A4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2E6BAC9"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6D79B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Obesity</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E37D0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40790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706C5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FA360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F7894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594C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E8C894E"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989EA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CVD Conditions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0AC9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E2129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F0F15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6699E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2BE95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DA3C36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0CAB2C8C"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7C605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Order</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88856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72A93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D38DD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F5FEB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38E17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2F1E5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66CEF877"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D8BAE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Charlson Comorbidity Index</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86BA5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A7323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3EFC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59E57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C490F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F96CC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AF521BC"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D1ED5D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Procedures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FE15B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94A0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DCE6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92CE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F8F53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E4F76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5E6DAE2D"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1BFCE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Length of Stay (days)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C2921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6C856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47A29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35DF6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C7B3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2ED9F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5C628F5A"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BFEA7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Congestive Heart Failure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91885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28D15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F3DEF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BE1D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919F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94252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5BB8787E"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225A6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Mortality Risk</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F2A15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247FD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4930E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E5C0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1972C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55696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F62830E"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F353D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Depression</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E41F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9259D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8C764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A242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F072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55030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4E93662"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4A838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Renal Failure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A5C5C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A0A84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6373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65C1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C97A5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68434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54D29C46"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D82DA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Length of Stay</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5C80F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CD469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1A298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B736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B1760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0AD6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60481160"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C20BB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Other Neurological Disorder</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49111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22CCB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139A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28CDB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69304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6F3B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179E9579"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CF79F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Peripheral Vascular Disease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87271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F36AD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56405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EE8CE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A0C1E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3B8D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5EFE26F"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D8F87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Hypertension, Uncomplicated</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C06E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5C281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7A393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5F2DF4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6CAC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188D4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4353AD2A"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CEA4C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Fluid and Electrolyte Disorder</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9421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E3DE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D2E5B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C47A5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96776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56EB64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102E93EF"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27094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Chronic Pulmonary Disease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9B237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AD254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7C482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E99F7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969BA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DD205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1FA7EF24"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EDE1B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Cardiac Arrhythmia</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F8CB3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98335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F5E23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F4944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E92D0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71391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6C87942"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8DEC2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Valvular Disease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A9773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4FA47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6646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BE7A9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7166B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7E6A8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0568631C"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E09AC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Pulmonary Circulation Disorder</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9E171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E9791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D670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AA54E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8717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9E5D2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227F36EB"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AED6A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Diabetes with Complications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6DA85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DF41F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F22A9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59EEB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273A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EF684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57B20BD3"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6A9CC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0D5C1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933B2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51C5C7"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1D1F0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3B87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B75E8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097EC386"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7C92F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van Walraven Elixhauser Index</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1FDE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BA32A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36FB7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5A4EFD" w14:textId="77777777" w:rsidR="00000000" w:rsidRPr="000C20C7" w:rsidRDefault="00000000" w:rsidP="00672B5F">
            <w:pPr>
              <w:spacing w:after="0"/>
              <w:jc w:val="center"/>
              <w:rPr>
                <w:rFonts w:asciiTheme="majorBidi" w:hAnsiTheme="majorBidi" w:cstheme="majorBidi"/>
              </w:rPr>
            </w:pP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9507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468C3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2F30E348"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1FAA7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 (years)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DB9FA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8980C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1DE5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0D5F26" w14:textId="77777777" w:rsidR="00000000" w:rsidRPr="000C20C7" w:rsidRDefault="00000000" w:rsidP="00672B5F">
            <w:pPr>
              <w:spacing w:after="0"/>
              <w:jc w:val="center"/>
              <w:rPr>
                <w:rFonts w:asciiTheme="majorBidi" w:hAnsiTheme="majorBidi" w:cstheme="majorBidi"/>
              </w:rPr>
            </w:pP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0803C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85D45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2A1CE7D1"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8BFF6D"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D2A9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CCCA5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7ABB9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7AE60D" w14:textId="77777777" w:rsidR="00000000" w:rsidRPr="000C20C7" w:rsidRDefault="00000000" w:rsidP="00672B5F">
            <w:pPr>
              <w:spacing w:after="0"/>
              <w:jc w:val="center"/>
              <w:rPr>
                <w:rFonts w:asciiTheme="majorBidi" w:hAnsiTheme="majorBidi" w:cstheme="majorBidi"/>
              </w:rPr>
            </w:pP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D8268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4C31B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16E2EA4"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F613C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Age-Adjusted Charlson Index</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61340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16952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64455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C419F3" w14:textId="77777777" w:rsidR="00000000" w:rsidRPr="000C20C7" w:rsidRDefault="00000000" w:rsidP="00672B5F">
            <w:pPr>
              <w:spacing w:after="0"/>
              <w:jc w:val="center"/>
              <w:rPr>
                <w:rFonts w:asciiTheme="majorBidi" w:hAnsiTheme="majorBidi" w:cstheme="majorBidi"/>
              </w:rPr>
            </w:pP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24843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F086B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728B849"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0040F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Charges ($)</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C81E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4D33A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C45E78"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690DB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40038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D3B73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68E31D68"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32934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Hospital Ownership</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49AF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CECF1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0EB4EA4"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34C6A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B54B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30C4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F6EBE1A"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EC12E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Severity Score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9EB0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D4546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B725C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2FF5E9" w14:textId="77777777" w:rsidR="00000000" w:rsidRPr="000C20C7" w:rsidRDefault="00000000" w:rsidP="00672B5F">
            <w:pPr>
              <w:spacing w:after="0"/>
              <w:jc w:val="center"/>
              <w:rPr>
                <w:rFonts w:asciiTheme="majorBidi" w:hAnsiTheme="majorBidi" w:cstheme="majorBidi"/>
              </w:rPr>
            </w:pP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F9F0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8ECD8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94B4254"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7FEF6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lastRenderedPageBreak/>
              <w:t>Hospital Size (beds)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0FCA9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DBAE9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C699E0"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09DBD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44EE6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79B6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2693919B"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3C96A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Teaching Hospital</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6BCA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4272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2D62FF"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3B93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9563B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1E7C4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1AB835EE"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45B5E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Drug Abuse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6073E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4A36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0AB2EE"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7F178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B638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B40F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4F1839A1"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7F99E7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Female Sex</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41EFA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930BF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3EF512"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04C946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E6C7C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8A0CC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4464C16B"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67B67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Diabetes, Uncomplicated</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CF0E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7B858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BDEB73"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FE741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B883F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ABDDB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BB32E7E"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5CF1D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Hypertension, Complicated</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B6F2B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8A2B01" w14:textId="77777777" w:rsidR="00000000" w:rsidRPr="000C20C7" w:rsidRDefault="00000000" w:rsidP="00672B5F">
            <w:pPr>
              <w:spacing w:after="0"/>
              <w:jc w:val="center"/>
              <w:rPr>
                <w:rFonts w:asciiTheme="majorBidi" w:hAnsiTheme="majorBidi" w:cstheme="majorBidi"/>
              </w:rPr>
            </w:pP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A074A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A7A90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0BFEF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40C42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7E92453B"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0B756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Quarter</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A4FF1D" w14:textId="77777777" w:rsidR="00000000" w:rsidRPr="000C20C7" w:rsidRDefault="00000000" w:rsidP="00672B5F">
            <w:pPr>
              <w:spacing w:after="0"/>
              <w:jc w:val="center"/>
              <w:rPr>
                <w:rFonts w:asciiTheme="majorBidi" w:hAnsiTheme="majorBidi" w:cstheme="majorBidi"/>
              </w:rPr>
            </w:pP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DBC2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C41601"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8D22B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78C39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F3F8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3F6E2B28"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76E1B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Acuity</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BF12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435DC9" w14:textId="77777777" w:rsidR="00000000" w:rsidRPr="000C20C7" w:rsidRDefault="00000000" w:rsidP="00672B5F">
            <w:pPr>
              <w:spacing w:after="0"/>
              <w:jc w:val="center"/>
              <w:rPr>
                <w:rFonts w:asciiTheme="majorBidi" w:hAnsiTheme="majorBidi" w:cstheme="majorBidi"/>
              </w:rPr>
            </w:pP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71B605"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60BB0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F3D3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1464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56DA3C54"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7A723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Hypothyroidism</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7BF2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03DF02" w14:textId="77777777" w:rsidR="00000000" w:rsidRPr="000C20C7" w:rsidRDefault="00000000" w:rsidP="00672B5F">
            <w:pPr>
              <w:spacing w:after="0"/>
              <w:jc w:val="center"/>
              <w:rPr>
                <w:rFonts w:asciiTheme="majorBidi" w:hAnsiTheme="majorBidi" w:cstheme="majorBidi"/>
              </w:rPr>
            </w:pP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8F3600"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179BE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C3E6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7155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2112B409"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494EB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Deficiency Anemia</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5D810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2C7689" w14:textId="77777777" w:rsidR="00000000" w:rsidRPr="000C20C7" w:rsidRDefault="00000000" w:rsidP="00672B5F">
            <w:pPr>
              <w:spacing w:after="0"/>
              <w:jc w:val="center"/>
              <w:rPr>
                <w:rFonts w:asciiTheme="majorBidi" w:hAnsiTheme="majorBidi" w:cstheme="majorBidi"/>
              </w:rPr>
            </w:pP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CC430D"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354F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33B15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26C2F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4404B9EA"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916E1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Alcohol Abuse</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3A85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239BAB" w14:textId="77777777" w:rsidR="00000000" w:rsidRPr="000C20C7" w:rsidRDefault="00000000" w:rsidP="00672B5F">
            <w:pPr>
              <w:spacing w:after="0"/>
              <w:jc w:val="center"/>
              <w:rPr>
                <w:rFonts w:asciiTheme="majorBidi" w:hAnsiTheme="majorBidi" w:cstheme="majorBidi"/>
              </w:rPr>
            </w:pP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017B03B"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D0C1B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A4741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06F57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5CAE8A70"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5D295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 &gt;= 75 years</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08A91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4B4B5E" w14:textId="77777777" w:rsidR="00000000" w:rsidRPr="000C20C7" w:rsidRDefault="00000000" w:rsidP="00672B5F">
            <w:pPr>
              <w:spacing w:after="0"/>
              <w:jc w:val="center"/>
              <w:rPr>
                <w:rFonts w:asciiTheme="majorBidi" w:hAnsiTheme="majorBidi" w:cstheme="majorBidi"/>
              </w:rPr>
            </w:pP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972C97"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9675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2EFE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D3C80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r w:rsidR="00213DBE" w:rsidRPr="000C20C7" w14:paraId="2A21AFF4" w14:textId="77777777" w:rsidTr="00672B5F">
        <w:tc>
          <w:tcPr>
            <w:tcW w:w="519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01E43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Coagulopathy</w:t>
            </w:r>
          </w:p>
        </w:tc>
        <w:tc>
          <w:tcPr>
            <w:tcW w:w="159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9D2A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617DA0" w14:textId="77777777" w:rsidR="00000000" w:rsidRPr="000C20C7" w:rsidRDefault="00000000" w:rsidP="00672B5F">
            <w:pPr>
              <w:spacing w:after="0"/>
              <w:jc w:val="center"/>
              <w:rPr>
                <w:rFonts w:asciiTheme="majorBidi" w:hAnsiTheme="majorBidi" w:cstheme="majorBidi"/>
              </w:rPr>
            </w:pPr>
          </w:p>
        </w:tc>
        <w:tc>
          <w:tcPr>
            <w:tcW w:w="104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1D1001" w14:textId="77777777" w:rsidR="00000000" w:rsidRPr="000C20C7" w:rsidRDefault="00000000" w:rsidP="00672B5F">
            <w:pPr>
              <w:spacing w:after="0"/>
              <w:jc w:val="center"/>
              <w:rPr>
                <w:rFonts w:asciiTheme="majorBidi" w:hAnsiTheme="majorBidi" w:cstheme="majorBidi"/>
              </w:rPr>
            </w:pPr>
          </w:p>
        </w:tc>
        <w:tc>
          <w:tcPr>
            <w:tcW w:w="135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FBEF0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c>
          <w:tcPr>
            <w:tcW w:w="144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0C976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w:t>
            </w:r>
          </w:p>
        </w:tc>
        <w:tc>
          <w:tcPr>
            <w:tcW w:w="161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196AC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w:t>
            </w:r>
          </w:p>
        </w:tc>
      </w:tr>
    </w:tbl>
    <w:p w14:paraId="6967F9CE" w14:textId="77777777" w:rsidR="00000000" w:rsidRPr="000C20C7" w:rsidRDefault="00000000" w:rsidP="00000385">
      <w:pPr>
        <w:rPr>
          <w:rFonts w:asciiTheme="majorBidi" w:hAnsiTheme="majorBidi" w:cstheme="majorBidi"/>
          <w:vertAlign w:val="superscript"/>
        </w:rPr>
      </w:pPr>
      <w:r w:rsidRPr="000C20C7">
        <w:rPr>
          <w:rFonts w:asciiTheme="majorBidi" w:hAnsiTheme="majorBidi" w:cstheme="majorBidi"/>
          <w:vertAlign w:val="superscript"/>
        </w:rPr>
        <w:t xml:space="preserve">Features endorsed by at least 2 of 4 methods were retained for model development. Y indicates selection by the corresponding method. A total of 45 of 60 candidate features met the consensus threshold. Abbreviations: SHAP, Shapley </w:t>
      </w:r>
      <w:proofErr w:type="gramStart"/>
      <w:r w:rsidRPr="000C20C7">
        <w:rPr>
          <w:rFonts w:asciiTheme="majorBidi" w:hAnsiTheme="majorBidi" w:cstheme="majorBidi"/>
          <w:vertAlign w:val="superscript"/>
        </w:rPr>
        <w:t>additive explanations</w:t>
      </w:r>
      <w:proofErr w:type="gramEnd"/>
      <w:r w:rsidRPr="000C20C7">
        <w:rPr>
          <w:rFonts w:asciiTheme="majorBidi" w:hAnsiTheme="majorBidi" w:cstheme="majorBidi"/>
          <w:vertAlign w:val="superscript"/>
        </w:rPr>
        <w:t xml:space="preserve">; RFE, recursive feature elimination with cross-validation; </w:t>
      </w:r>
      <w:proofErr w:type="spellStart"/>
      <w:r w:rsidRPr="000C20C7">
        <w:rPr>
          <w:rFonts w:asciiTheme="majorBidi" w:hAnsiTheme="majorBidi" w:cstheme="majorBidi"/>
          <w:vertAlign w:val="superscript"/>
        </w:rPr>
        <w:t>mRMR</w:t>
      </w:r>
      <w:proofErr w:type="spellEnd"/>
      <w:r w:rsidRPr="000C20C7">
        <w:rPr>
          <w:rFonts w:asciiTheme="majorBidi" w:hAnsiTheme="majorBidi" w:cstheme="majorBidi"/>
          <w:vertAlign w:val="superscript"/>
        </w:rPr>
        <w:t>, minimum redundancy maximum relevance; Y, selected.</w:t>
      </w:r>
    </w:p>
    <w:p w14:paraId="54E74FB1" w14:textId="77777777" w:rsidR="00000000" w:rsidRPr="000C20C7" w:rsidRDefault="00000000">
      <w:pPr>
        <w:rPr>
          <w:rFonts w:asciiTheme="majorBidi" w:hAnsiTheme="majorBidi" w:cstheme="majorBidi"/>
        </w:rPr>
      </w:pPr>
      <w:r w:rsidRPr="000C20C7">
        <w:rPr>
          <w:rFonts w:asciiTheme="majorBidi" w:hAnsiTheme="majorBidi" w:cstheme="majorBidi"/>
        </w:rPr>
        <w:br w:type="page"/>
      </w:r>
    </w:p>
    <w:p w14:paraId="48E91CCE" w14:textId="77777777" w:rsidR="00000000" w:rsidRPr="000C20C7" w:rsidRDefault="00000000" w:rsidP="00EB0629">
      <w:pPr>
        <w:spacing w:before="120" w:after="60"/>
        <w:rPr>
          <w:rFonts w:asciiTheme="majorBidi" w:hAnsiTheme="majorBidi" w:cstheme="majorBidi"/>
        </w:rPr>
      </w:pPr>
      <w:r w:rsidRPr="000C20C7">
        <w:rPr>
          <w:rFonts w:asciiTheme="majorBidi" w:hAnsiTheme="majorBidi" w:cstheme="majorBidi"/>
          <w:b/>
          <w:bCs/>
        </w:rPr>
        <w:lastRenderedPageBreak/>
        <w:t xml:space="preserve">Supplementary Table S2. </w:t>
      </w:r>
      <w:r w:rsidRPr="000C20C7">
        <w:rPr>
          <w:rFonts w:asciiTheme="majorBidi" w:hAnsiTheme="majorBidi" w:cstheme="majorBidi"/>
        </w:rPr>
        <w:t>Discrimination and Calibration Performance for All 4</w:t>
      </w:r>
      <w:r w:rsidRPr="000C20C7">
        <w:rPr>
          <w:rFonts w:asciiTheme="majorBidi" w:hAnsiTheme="majorBidi" w:cstheme="majorBidi"/>
        </w:rPr>
        <w:t>0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86"/>
        <w:gridCol w:w="1648"/>
        <w:gridCol w:w="2021"/>
        <w:gridCol w:w="2002"/>
        <w:gridCol w:w="971"/>
        <w:gridCol w:w="1077"/>
        <w:gridCol w:w="1077"/>
        <w:gridCol w:w="1077"/>
        <w:gridCol w:w="928"/>
        <w:gridCol w:w="1080"/>
        <w:gridCol w:w="1293"/>
      </w:tblGrid>
      <w:tr w:rsidR="00213DBE" w:rsidRPr="000C20C7" w14:paraId="51D33AA1" w14:textId="77777777" w:rsidTr="00EB0629">
        <w:tc>
          <w:tcPr>
            <w:tcW w:w="1027"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202ED1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Config</w:t>
            </w:r>
          </w:p>
        </w:tc>
        <w:tc>
          <w:tcPr>
            <w:tcW w:w="1222"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54D840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CVD Category</w:t>
            </w:r>
          </w:p>
        </w:tc>
        <w:tc>
          <w:tcPr>
            <w:tcW w:w="149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9CF257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Algorithm</w:t>
            </w:r>
          </w:p>
        </w:tc>
        <w:tc>
          <w:tcPr>
            <w:tcW w:w="148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1ADCF1B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AUC (95% CI)</w:t>
            </w:r>
          </w:p>
        </w:tc>
        <w:tc>
          <w:tcPr>
            <w:tcW w:w="72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930D44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AUPRC</w:t>
            </w:r>
          </w:p>
        </w:tc>
        <w:tc>
          <w:tcPr>
            <w:tcW w:w="79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514BFA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Sens</w:t>
            </w:r>
          </w:p>
        </w:tc>
        <w:tc>
          <w:tcPr>
            <w:tcW w:w="79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ADCFE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Spec</w:t>
            </w:r>
          </w:p>
        </w:tc>
        <w:tc>
          <w:tcPr>
            <w:tcW w:w="79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B19F9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PPV</w:t>
            </w:r>
          </w:p>
        </w:tc>
        <w:tc>
          <w:tcPr>
            <w:tcW w:w="688"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E98169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F1</w:t>
            </w:r>
          </w:p>
        </w:tc>
        <w:tc>
          <w:tcPr>
            <w:tcW w:w="801"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5BA72A6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Brier</w:t>
            </w:r>
          </w:p>
        </w:tc>
        <w:tc>
          <w:tcPr>
            <w:tcW w:w="95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7123DA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Utility</w:t>
            </w:r>
          </w:p>
        </w:tc>
      </w:tr>
      <w:tr w:rsidR="00213DBE" w:rsidRPr="000C20C7" w14:paraId="5F2D3264"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7D16F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E6F1D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D7FB4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D0961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0.697 (0.679-0.713)</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1B819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0.266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4875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0.679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C6CC9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0.607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A4EEC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0.202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68AA8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0.311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63926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0.2028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F54A3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054A6AE9"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F2FD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F2C7F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ED8993"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C38D3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0.695 (0.679-0.71)</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0D556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0.264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91B2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69471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0.577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D8FC1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0.196</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4B19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0.307</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26D0A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0.1588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1FA0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0EB0ED5F"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F41BA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D49EB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D8D6C6"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B4480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0.695 (0.679-0.71)</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3C86D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0EC7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0.674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01520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0.613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B3D9A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0.203</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B1240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0.312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BEC90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0.1066</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33C24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48457AB9"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8F05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C8EA0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C7B5F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9D667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0.692 (0.678-0.708)</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713FA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0.261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A46BC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0.617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5C8416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0.675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830E6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0.217</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CB448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11C09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0.1112</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166C4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46E3D4C8"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81E04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84D75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44C64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7807D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0.682 (0.665-0.699)</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D249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0.249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6917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A81C8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0.653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5B705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0.207</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F07DE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1B2D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0.1083</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9E605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552E598E"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D66E64E"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9E1C8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B9008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55BED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0.706 (0.691-0.721)</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88083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0.275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B0F1D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0.571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3A8B5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FF5D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0.235</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B1A3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0.333</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DB51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0.2125</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C705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12305883"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2E8568"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C0EB6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13BBB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161C0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0.706 (0.689-0.723)</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3DEE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0.273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EA899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ADF68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0.679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D725C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0.221</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D13ED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0.326</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64F8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0.1042</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AAA95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1845C162"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C05980"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36816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0E4612"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A3069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0.705 (0.69-0.719)</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40B7F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0.276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DEEC0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11AC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0.591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0ACA3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0.202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FBFF6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0.314</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81524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0.1891</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3E5B6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641E5A66"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189834"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93E74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1D115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303D4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0.689 (0.673-0.704)</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ABCFD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0.257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515F6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0.592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C57BE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305C4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0.219</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513BE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0.319</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73EF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0.105</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B8C3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066E6339"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7EF542"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93EEF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44769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86636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0.688 (0.673-0.705)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A083D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0.248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EEC0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0.506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6ED4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0.767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CAA3C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0.241</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FA296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0.327</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13A7C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0.1315</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18D9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45BDF1F1"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E145A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3A814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7F01B9"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71EA2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0.732 (0.715-0.75)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2FB84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BC34E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478BD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0.648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CBA65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0.271</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B95A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0.392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D1ED3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0.1204</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86357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4ABD7F2E"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F790F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81AC4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BAD10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F1939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0.73 (0.712-0.748)</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B8F65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CEDD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224F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6260B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0.263</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24355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0.384</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1F895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0.2457</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E5ECE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24CAEBD9"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C4E2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416D9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152F9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D06F0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0.729 (0.712-0.747)</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3F527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4B04D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0621C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0.617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4B59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0.26</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B8BE9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0.383</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754E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0.1977</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5DBA9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6B261A24"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C6ACE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E35E2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9ECD6A"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3B228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0.725 (0.707-0.743)</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A8E97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1152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0.672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08B2B7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0.666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0E81B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0.271</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941AE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0.387</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D8272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0.1224</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63790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34A6CEE4"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C5BDC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0F62E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50F97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7E94F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0.714 (0.695-0.732)</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254F4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5FFDB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95069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2974D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0.271</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7339B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0.379</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7AC9E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0.1228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A045E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47DDDD04"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5BD319"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BE50D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30B541"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A6545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0.731 (0.714-0.749)</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FE12E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28E3F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0.658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BE71B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1D64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0.278</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A1A50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0.391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45B1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0.2115</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AEA43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42C367E1"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74CDFA"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0EBC6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5E60F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BA70E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0.73 (0.712-0.748)</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8AC0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F5085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4E802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97EE2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0.291</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9823A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0.396</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9CED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0.1195</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5F72C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5FA3267B"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74FAED"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CB4E4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87077B"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36E61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0.728 (0.709-0.746)</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266D5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3E03D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026296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0EDCD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0.303</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39D83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0.403</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28F98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0.1543</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FA267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18CC57EF"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0828CF"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1244C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E6176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1CCDB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0.725 (0.708-0.742)</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0BEDA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A8387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0.598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8C0F0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29E7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0.295</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A6A0C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0.395</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74294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0.1206</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612B7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270B423C"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56230B"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8B582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C2A7D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AEAA5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0.719 (0.701-0.736)</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C8C7E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A8F68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057EB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DA1F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0.282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ED90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0.389</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D5E52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0.1442</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3C4916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69097932"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F8D08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640DD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734892"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B3D89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0.708 (0.701-0.716)</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89D52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0.418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C2218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0.632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8C863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05CDE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0.364</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B94D1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0.462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CE74D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0.1577</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64687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49CC62CD"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7B61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75F4D5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26E97B"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D7FC9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0.708 (0.701-0.716)</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01C55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0.419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FD1D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0.667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5287F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0.643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373C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0.352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0FCA4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0.461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CEF96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0.1574</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41C9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73BB3DC9"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F73E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292B2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6A550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4C0AA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0.704 (0.697-0.711)</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40F20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0.414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92803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0.657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4E81B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0.646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D4514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0.35</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73F095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0.456</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56A59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0.1616</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1AD71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27E7EC10"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3E488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7103E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B0DE2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46B75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0.697 (0.69-0.705)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F52BC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0.407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9C2AB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203AC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0.676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7C8F6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0.357</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9666D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0.454</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F3383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0.2051</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DBF88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3881FAE4"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57E82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72A8F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C8E26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A3292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0.695 (0.688-0.702)</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6E371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0.404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449EF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9223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64BB1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0.383</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6A8D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0.452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B0B1B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0.1599</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9D819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06F46338"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82BFA9"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FFB77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2F5BC7"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E0B69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0.707 (0.7-0.714)</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C880E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0.418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06593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0.678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9A56E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0471F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0.347</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943A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0.459</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89252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0.2146</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62D0E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7CEF9D27"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8F0B25"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AB864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4BF51E"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073BC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0.707 (0.7-0.715)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8CAD1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0.419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D8170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F753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3F196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0.365</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BE4A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0.461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391DE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0.2138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3DAB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74CD81BD"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6CDFE0"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D54DD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183D8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FD004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0.707 (0.7-0.714)</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01031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0.417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DFFB3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0.607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B47A5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C638E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0.372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81622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0.461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9EB45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79C02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1E265710"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F72D3E"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8F677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81D03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1DDBD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0.696 (0.689-0.704)</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86DB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0.408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946AE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0.598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D4FF6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57A93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0.367</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03EB7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0.455</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6DF6F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0.1598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A7885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61376202"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E6B20A"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49107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08544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952AF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0.695 (0.687-0.702)</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9E08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A75E5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0.615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DA4A6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6435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0.359</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735C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0.453</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A495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0.1795</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157BB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Limited</w:t>
            </w:r>
          </w:p>
        </w:tc>
      </w:tr>
      <w:tr w:rsidR="00213DBE" w:rsidRPr="000C20C7" w14:paraId="3D78C73D"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B7DAB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4E7F3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732791"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C19D3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0.758 (0.735-0.777)</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B877D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DAED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D99C4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0.652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4E767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0.223</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237F2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D115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0.1156</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29AA5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High</w:t>
            </w:r>
          </w:p>
        </w:tc>
      </w:tr>
      <w:tr w:rsidR="00213DBE" w:rsidRPr="000C20C7" w14:paraId="5C0D3AC2"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803D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CE2A1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30D24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FFAA3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0.752 (0.729-0.773)</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30B65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D056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0.609</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8192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0.762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CDD7F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0.258</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E207C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0.362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502A5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0.0974</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7614E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High</w:t>
            </w:r>
          </w:p>
        </w:tc>
      </w:tr>
      <w:tr w:rsidR="00213DBE" w:rsidRPr="000C20C7" w14:paraId="6D61C0EC"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9417F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674ED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497E1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76B78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0.75 (0.727-0.772)</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6B5A4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745F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769F7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D19A0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0.264</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0F2F6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0.362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99432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0.0948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B106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High</w:t>
            </w:r>
          </w:p>
        </w:tc>
      </w:tr>
      <w:tr w:rsidR="00213DBE" w:rsidRPr="000C20C7" w14:paraId="25780C9E"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33201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63AE1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1B3D2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05675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0.746 (0.723-0.769)</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59751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ED544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C6599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0.661</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66F79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35A6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0.338</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3A1D1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0.171</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7B91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096C8BA1"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88D70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lastRenderedPageBreak/>
              <w:t>Bal</w:t>
            </w:r>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ADE1E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C0949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1142B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0.742 (0.719-0.765)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3A3D5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5086B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0.605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4D700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CFA0F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0.247</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5E4D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0.351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BE4C7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0.0966</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88C7F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68F0FC25"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354FBE"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4104F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68428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CC59B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0.754 (0.732-0.775)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9A3E7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5BEAB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478BB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C8292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0.234</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DE80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0.348</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E8FA9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0.0957</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E3744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High</w:t>
            </w:r>
          </w:p>
        </w:tc>
      </w:tr>
      <w:tr w:rsidR="00213DBE" w:rsidRPr="000C20C7" w14:paraId="57E14A0D"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05F94D"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39BAF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C768B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08C55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0.753 (0.732-0.775)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88248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0.326</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EE1B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0.693</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952F7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49CE5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0.234</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7D42E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0.35</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7CA8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0.2238</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5FF25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High</w:t>
            </w:r>
          </w:p>
        </w:tc>
      </w:tr>
      <w:tr w:rsidR="00213DBE" w:rsidRPr="000C20C7" w14:paraId="03727CD8"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E2A904"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7AE58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C55007"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9BF56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0.753 (0.73-0.775)</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2280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0.328</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B9F95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0.635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9E68C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0.744</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255CC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0.252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65F02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0.361</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BACD2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0.1086</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5E1C5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High</w:t>
            </w:r>
          </w:p>
        </w:tc>
      </w:tr>
      <w:tr w:rsidR="00213DBE" w:rsidRPr="000C20C7" w14:paraId="0A1A1086"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2C1D45"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6BBFB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A800D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360F8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0.744 (0.721-0.766)</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FD8CF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150C0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0.652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7B933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0.707</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CC0F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0.232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8A15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0.342</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6AF61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0.1151</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6F4E4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r w:rsidR="00213DBE" w:rsidRPr="000C20C7" w14:paraId="41FCE1A1" w14:textId="77777777" w:rsidTr="00EB0629">
        <w:tc>
          <w:tcPr>
            <w:tcW w:w="102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F8904A"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2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C435C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4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501DC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928F1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0.733 (0.71-0.756)</w:t>
            </w:r>
          </w:p>
        </w:tc>
        <w:tc>
          <w:tcPr>
            <w:tcW w:w="72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8849A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0.312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7FA0B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0.725</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45FDF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0.652</w:t>
            </w:r>
          </w:p>
        </w:tc>
        <w:tc>
          <w:tcPr>
            <w:tcW w:w="79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2D23B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w:t>
            </w:r>
          </w:p>
        </w:tc>
        <w:tc>
          <w:tcPr>
            <w:tcW w:w="68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BF9FF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0.338</w:t>
            </w:r>
          </w:p>
        </w:tc>
        <w:tc>
          <w:tcPr>
            <w:tcW w:w="80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68659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0.0955</w:t>
            </w:r>
          </w:p>
        </w:tc>
        <w:tc>
          <w:tcPr>
            <w:tcW w:w="95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0E987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Moderate</w:t>
            </w:r>
          </w:p>
        </w:tc>
      </w:tr>
    </w:tbl>
    <w:p w14:paraId="1D68BEBF" w14:textId="77777777" w:rsidR="00000000" w:rsidRPr="000C20C7" w:rsidRDefault="00000000" w:rsidP="00EB0629">
      <w:pPr>
        <w:rPr>
          <w:rFonts w:asciiTheme="majorBidi" w:hAnsiTheme="majorBidi" w:cstheme="majorBidi"/>
          <w:sz w:val="36"/>
          <w:szCs w:val="36"/>
          <w:vertAlign w:val="superscript"/>
        </w:rPr>
      </w:pPr>
      <w:r w:rsidRPr="000C20C7">
        <w:rPr>
          <w:rFonts w:asciiTheme="majorBidi" w:hAnsiTheme="majorBidi" w:cstheme="majorBidi"/>
          <w:sz w:val="24"/>
          <w:szCs w:val="24"/>
          <w:vertAlign w:val="superscript"/>
        </w:rPr>
        <w:t>Forty models comprising 5 base algorithms across 4 CVD categories and 2 dataset configurations, plus 8 Super Learner ensembles. Utility classification: High (AUC &gt;= 0.75), Moderate (0.70-0.74), Limited (&lt; 0.70). Abbreviations: AUC, area under the receiver operating characteristic curve; AUPRC, area under the precision-recall curve; Bal, SMOTE-balanced configuration; CI, confidence interval; CVD, cardiovascular disease; PPV, positive predictive value; Sens, sensitivity; SMOTE, synthetic minority oversampling</w:t>
      </w:r>
      <w:r w:rsidRPr="000C20C7">
        <w:rPr>
          <w:rFonts w:asciiTheme="majorBidi" w:hAnsiTheme="majorBidi" w:cstheme="majorBidi"/>
          <w:sz w:val="24"/>
          <w:szCs w:val="24"/>
          <w:vertAlign w:val="superscript"/>
        </w:rPr>
        <w:t xml:space="preserve"> technique; Spec, specificity; </w:t>
      </w:r>
      <w:proofErr w:type="spellStart"/>
      <w:r w:rsidRPr="000C20C7">
        <w:rPr>
          <w:rFonts w:asciiTheme="majorBidi" w:hAnsiTheme="majorBidi" w:cstheme="majorBidi"/>
          <w:sz w:val="24"/>
          <w:szCs w:val="24"/>
          <w:vertAlign w:val="superscript"/>
        </w:rPr>
        <w:t>Unbal</w:t>
      </w:r>
      <w:proofErr w:type="spellEnd"/>
      <w:r w:rsidRPr="000C20C7">
        <w:rPr>
          <w:rFonts w:asciiTheme="majorBidi" w:hAnsiTheme="majorBidi" w:cstheme="majorBidi"/>
          <w:sz w:val="24"/>
          <w:szCs w:val="24"/>
          <w:vertAlign w:val="superscript"/>
        </w:rPr>
        <w:t>, unbalanced configuration with class weights.</w:t>
      </w:r>
    </w:p>
    <w:p w14:paraId="02CB5C05" w14:textId="77777777" w:rsidR="00672B5F" w:rsidRDefault="00672B5F">
      <w:pPr>
        <w:rPr>
          <w:rFonts w:asciiTheme="majorBidi" w:hAnsiTheme="majorBidi" w:cstheme="majorBidi"/>
          <w:b/>
          <w:bCs/>
        </w:rPr>
      </w:pPr>
      <w:r>
        <w:rPr>
          <w:rFonts w:asciiTheme="majorBidi" w:hAnsiTheme="majorBidi" w:cstheme="majorBidi"/>
          <w:b/>
          <w:bCs/>
        </w:rPr>
        <w:br w:type="page"/>
      </w:r>
    </w:p>
    <w:p w14:paraId="4D4C7501" w14:textId="743A7C9C" w:rsidR="00000000" w:rsidRPr="000C20C7" w:rsidRDefault="00000000" w:rsidP="00672B5F">
      <w:pPr>
        <w:rPr>
          <w:rFonts w:asciiTheme="majorBidi" w:hAnsiTheme="majorBidi" w:cstheme="majorBidi"/>
        </w:rPr>
      </w:pPr>
      <w:r w:rsidRPr="000C20C7">
        <w:rPr>
          <w:rFonts w:asciiTheme="majorBidi" w:hAnsiTheme="majorBidi" w:cstheme="majorBidi"/>
          <w:b/>
          <w:bCs/>
        </w:rPr>
        <w:lastRenderedPageBreak/>
        <w:t xml:space="preserve">Supplementary Table S3. </w:t>
      </w:r>
      <w:r w:rsidRPr="000C20C7">
        <w:rPr>
          <w:rFonts w:asciiTheme="majorBidi" w:hAnsiTheme="majorBidi" w:cstheme="majorBidi"/>
        </w:rPr>
        <w:t>DeLong Pairwise Comparisons of Algorithm Discrimination Within the Best-Performing Dataset Configuration per CVD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0"/>
        <w:gridCol w:w="1456"/>
        <w:gridCol w:w="2325"/>
        <w:gridCol w:w="1907"/>
        <w:gridCol w:w="1386"/>
        <w:gridCol w:w="1386"/>
        <w:gridCol w:w="1386"/>
        <w:gridCol w:w="1560"/>
        <w:gridCol w:w="1214"/>
      </w:tblGrid>
      <w:tr w:rsidR="00213DBE" w:rsidRPr="000C20C7" w14:paraId="008FE94D" w14:textId="77777777" w:rsidTr="00EB0629">
        <w:tc>
          <w:tcPr>
            <w:tcW w:w="143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93174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CVD Category</w:t>
            </w:r>
          </w:p>
        </w:tc>
        <w:tc>
          <w:tcPr>
            <w:tcW w:w="108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49480FC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Config</w:t>
            </w:r>
          </w:p>
        </w:tc>
        <w:tc>
          <w:tcPr>
            <w:tcW w:w="1724"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C933D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Model 1</w:t>
            </w:r>
          </w:p>
        </w:tc>
        <w:tc>
          <w:tcPr>
            <w:tcW w:w="1414"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7AB7EB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Model 2</w:t>
            </w:r>
          </w:p>
        </w:tc>
        <w:tc>
          <w:tcPr>
            <w:tcW w:w="1028"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92A02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AUC 1</w:t>
            </w:r>
          </w:p>
        </w:tc>
        <w:tc>
          <w:tcPr>
            <w:tcW w:w="1028"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1BB5CE3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AUC 2</w:t>
            </w:r>
          </w:p>
        </w:tc>
        <w:tc>
          <w:tcPr>
            <w:tcW w:w="1028"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8B5CB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Z</w:t>
            </w:r>
          </w:p>
        </w:tc>
        <w:tc>
          <w:tcPr>
            <w:tcW w:w="1157"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156A3E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P-value</w:t>
            </w:r>
          </w:p>
        </w:tc>
        <w:tc>
          <w:tcPr>
            <w:tcW w:w="90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53DA80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Sig?</w:t>
            </w:r>
          </w:p>
        </w:tc>
      </w:tr>
      <w:tr w:rsidR="00213DBE" w:rsidRPr="000C20C7" w14:paraId="7B96FCF7"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F5D81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70794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EA36C2"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438004"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92D8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9713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D4234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-0.904</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59B4A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0.366</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74596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5F3D9D93"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73782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D65EA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F9A2EE"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EC46E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69A9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AB62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EC7BD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3.835</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57CB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0.000126</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24437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71AEE0A3"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D2ECB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CFF9E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B3E3F2"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3C958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40407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F6F8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0.697</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A10D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7.634</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8BD0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2.27e-14</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DC04B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51B06F2D"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ECB18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6403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EFD56E"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DBB54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C72AB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BF270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48B18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8.051</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D033A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8.22e-16</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5B82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4B9A7747"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A5ECC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78CDC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7B3C83"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CD32A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1DDC7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9F44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14C8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4.698</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5FD84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2.63e-06</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F978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27DDA0EA"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DEBF9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69448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7595FA"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07697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66E0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B2797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0.697</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EB55C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7.354</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4765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1.92e-13</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0BCDA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69DED798"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7306A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D2FFB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AA1C87"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152E3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9B2FF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8C598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540D8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8.542</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97BA5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1.32e-17</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D3EAA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7AA47432"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01E00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FC1F0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3FD32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95013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5CB10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0185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0.697</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7DDF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4.022</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0176B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5.77e-05</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3490D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12519125"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0A8CF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CDA6E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8801D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BAA75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B2641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B7664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DC99E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13.255</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08E50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4.2e-40</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47C4B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6111515B"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39FFE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1BE58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40B83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E7155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2A16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0.697</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9DB9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E56B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0.939</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57672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0.348</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1D173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01A221B1"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6AF3E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1D1CE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EA6DCF"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83784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A988E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F66C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A9546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0.699</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17DAF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0.484</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3836F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567C5189"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F322F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9264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175273"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C2DC2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8548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28BE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32A06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0.923</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419D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0.356</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4A466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0B81FA8E"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50C65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D6D69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F27162"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F4AE59"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D1357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FD0BB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B7647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3.55</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96F6A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0.000385</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8196C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3F77E940"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75DE2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D8130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5DAD81"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D62B2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41F8E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F6239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BF11E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5.038</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1E5C1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4.72e-07</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BF359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64175090"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3C1EB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72D32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1B716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DB895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2FA1B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55CF4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1CC3B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2.261</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8D2EE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0.0238</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4E261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23131509"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7A7DD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3AF05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23BD1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19A94A"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8073D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E8F7F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7D980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1.376</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3ECB9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0.169</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163C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15D331F9"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1AB85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1D97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564D6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E504E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FA9FA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CBECA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4205A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3.411</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E09D3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0.000648</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FCC3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216C4BCB"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30E10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3636B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DCFA0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7063DE"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B3EB2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51172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F200D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182C5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0.322</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6A3B2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2C09412A"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A4718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A521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F0546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E36F0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2737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8679A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F533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2.967</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CBC5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0.00301</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5AB61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1D2DE78E"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15BEC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45907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C33477"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C084E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B7A3A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0.725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0E22A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0.714</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54F4A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3.719</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399DA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0.0002</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61EF8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2C45EC6A"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18F53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836B5D"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BA8D5A"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CD82D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22824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ED7CE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DE1F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0.705</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586F4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0.481</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B1278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633BF698"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8B62D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5BC51F"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A60921"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B9332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EBEB8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B7991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7A168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0.842</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BDF6F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B8C3C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6951DCE8"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7019B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980614"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2E23BA"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1D772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70F22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078E7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F1A7E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6.097</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C321A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1.08e-09</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EE20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1135B418"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94A63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B9886F"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B3FF36"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52A23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27066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2C999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0E2F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4.764</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35611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1.9e-06</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DB681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4F4EDC52"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4ABFD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AF04CE"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58414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CD36F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C219A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5E6AB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31BD6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0.522</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3C3C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0.602</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E75FB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2E29F97A"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67198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4AD417"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B748D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72AC8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50E4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6828B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EE735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5.384</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CC65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7.27e-08</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5D664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6D740948"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5499E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A22CC9"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9CCF0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BECEE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1456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53AD7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33E0F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5.892</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4A38E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3.82e-09</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76A3B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230DCA8A"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9512E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02282A"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CBB8B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79F5B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D4078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32B48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44154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5.298</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F213A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1.17e-07</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E897A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07CC7569"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1FDBC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407F92"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6AE90B"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7B1F2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66813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7907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16545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5.049</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AF8B5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4.44e-07</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825A3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1BCD9809"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C0E6C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634661"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8FAD0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EE1C2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BA84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0.689</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6D3F7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0.688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28638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0.138</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7F7E8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0.89</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25A8E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4968779E"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4E5D3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5C1AC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7BCC1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513DA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B6615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C2342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58AB2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1.36</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AB5E0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0.174</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42D81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58CAB09E"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C1C80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22C5D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0DF15B"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F0CE8F"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30F4A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26928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D138B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1.661</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788F6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0.0968</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21551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250B8BC9"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E685F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AF775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82B14E"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D8CF9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A1581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BCF14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7FF2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1.865</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9A1D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0.0622</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75DD04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17E8A674"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FE51A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8F068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FB205E"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15AB7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609F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0.758</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CAF12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9181B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2.513</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2B08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0.012</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E1A7A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12AC9333"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46773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lastRenderedPageBreak/>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5994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96C94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B4B2CF"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3C9F8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C06F8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829EE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0.489</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17B5A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0.625</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9F988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6A6F7164"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97B8B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95E5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A182D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25791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A336B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767EF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F0BE7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0.751</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C6B53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0.452</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21DED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05C2F824"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5DF0A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E623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DA1CF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Super Learner</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95A7F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58803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3BE2F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7F434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4.279</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43AB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1.88e-05</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0A5DF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Yes</w:t>
            </w:r>
          </w:p>
        </w:tc>
      </w:tr>
      <w:tr w:rsidR="00213DBE" w:rsidRPr="000C20C7" w14:paraId="3B77FBB4"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B62DC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07398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37428D"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01147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7C125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0D89B6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CD90C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0.464</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39345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0.643</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9A7B4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21E266A1"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0008F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65177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42165B"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LightGBM</w:t>
            </w:r>
            <w:proofErr w:type="spellEnd"/>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60911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AA74F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55491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E20E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1.33</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47139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0.183</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C66A2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r w:rsidR="00213DBE" w:rsidRPr="000C20C7" w14:paraId="0A3A5F32" w14:textId="77777777" w:rsidTr="00EB0629">
        <w:tc>
          <w:tcPr>
            <w:tcW w:w="143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8804E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08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30162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172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CE13D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Elastic Net</w:t>
            </w:r>
          </w:p>
        </w:tc>
        <w:tc>
          <w:tcPr>
            <w:tcW w:w="141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DC9BE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Random Forest</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56344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0.746</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21552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0.742</w:t>
            </w:r>
          </w:p>
        </w:tc>
        <w:tc>
          <w:tcPr>
            <w:tcW w:w="1028"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CC713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0.518</w:t>
            </w:r>
          </w:p>
        </w:tc>
        <w:tc>
          <w:tcPr>
            <w:tcW w:w="115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201F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0.604</w:t>
            </w:r>
          </w:p>
        </w:tc>
        <w:tc>
          <w:tcPr>
            <w:tcW w:w="90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6DE6C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w:t>
            </w:r>
          </w:p>
        </w:tc>
      </w:tr>
    </w:tbl>
    <w:p w14:paraId="7C62B5E9" w14:textId="77777777" w:rsidR="00000000" w:rsidRPr="000C20C7" w:rsidRDefault="00000000">
      <w:pPr>
        <w:spacing w:before="40"/>
        <w:rPr>
          <w:rFonts w:asciiTheme="majorBidi" w:hAnsiTheme="majorBidi" w:cstheme="majorBidi"/>
          <w:sz w:val="36"/>
          <w:szCs w:val="36"/>
          <w:vertAlign w:val="superscript"/>
        </w:rPr>
      </w:pPr>
      <w:r w:rsidRPr="000C20C7">
        <w:rPr>
          <w:rFonts w:asciiTheme="majorBidi" w:hAnsiTheme="majorBidi" w:cstheme="majorBidi"/>
          <w:sz w:val="24"/>
          <w:szCs w:val="24"/>
          <w:vertAlign w:val="superscript"/>
        </w:rPr>
        <w:t xml:space="preserve">DeLong tests for correlated receiver operating characteristic curves comparing all algorithm pairs within each CVD category and dataset configuration. Statistical significance assessed at alpha = 0.05. Abbreviations: AUC, area under the receiver operating characteristic curve; Bal, SMOTE-balanced configuration; CVD, cardiovascular disease; Sig, statistically significant; SMOTE, synthetic minority oversampling technique; </w:t>
      </w:r>
      <w:proofErr w:type="spellStart"/>
      <w:r w:rsidRPr="000C20C7">
        <w:rPr>
          <w:rFonts w:asciiTheme="majorBidi" w:hAnsiTheme="majorBidi" w:cstheme="majorBidi"/>
          <w:sz w:val="24"/>
          <w:szCs w:val="24"/>
          <w:vertAlign w:val="superscript"/>
        </w:rPr>
        <w:t>Unbal</w:t>
      </w:r>
      <w:proofErr w:type="spellEnd"/>
      <w:r w:rsidRPr="000C20C7">
        <w:rPr>
          <w:rFonts w:asciiTheme="majorBidi" w:hAnsiTheme="majorBidi" w:cstheme="majorBidi"/>
          <w:sz w:val="24"/>
          <w:szCs w:val="24"/>
          <w:vertAlign w:val="superscript"/>
        </w:rPr>
        <w:t xml:space="preserve">, unbalanced configuration with class weights; Z, DeLong test </w:t>
      </w:r>
      <w:proofErr w:type="gramStart"/>
      <w:r w:rsidRPr="000C20C7">
        <w:rPr>
          <w:rFonts w:asciiTheme="majorBidi" w:hAnsiTheme="majorBidi" w:cstheme="majorBidi"/>
          <w:sz w:val="24"/>
          <w:szCs w:val="24"/>
          <w:vertAlign w:val="superscript"/>
        </w:rPr>
        <w:t>statistic</w:t>
      </w:r>
      <w:proofErr w:type="gramEnd"/>
      <w:r w:rsidRPr="000C20C7">
        <w:rPr>
          <w:rFonts w:asciiTheme="majorBidi" w:hAnsiTheme="majorBidi" w:cstheme="majorBidi"/>
          <w:sz w:val="24"/>
          <w:szCs w:val="24"/>
          <w:vertAlign w:val="superscript"/>
        </w:rPr>
        <w:t>.</w:t>
      </w:r>
    </w:p>
    <w:p w14:paraId="71E9A70C" w14:textId="77777777" w:rsidR="00000000" w:rsidRPr="000C20C7" w:rsidRDefault="00000000">
      <w:pPr>
        <w:rPr>
          <w:rFonts w:asciiTheme="majorBidi" w:hAnsiTheme="majorBidi" w:cstheme="majorBidi"/>
        </w:rPr>
      </w:pPr>
      <w:r w:rsidRPr="000C20C7">
        <w:rPr>
          <w:rFonts w:asciiTheme="majorBidi" w:hAnsiTheme="majorBidi" w:cstheme="majorBidi"/>
        </w:rPr>
        <w:br w:type="page"/>
      </w:r>
    </w:p>
    <w:p w14:paraId="2BBA7DDB" w14:textId="77777777" w:rsidR="00000000" w:rsidRPr="000C20C7" w:rsidRDefault="00000000">
      <w:pPr>
        <w:spacing w:before="120" w:after="60"/>
        <w:rPr>
          <w:rFonts w:asciiTheme="majorBidi" w:hAnsiTheme="majorBidi" w:cstheme="majorBidi"/>
        </w:rPr>
      </w:pPr>
      <w:r w:rsidRPr="000C20C7">
        <w:rPr>
          <w:rFonts w:asciiTheme="majorBidi" w:hAnsiTheme="majorBidi" w:cstheme="majorBidi"/>
          <w:b/>
          <w:bCs/>
        </w:rPr>
        <w:lastRenderedPageBreak/>
        <w:t xml:space="preserve">Supplementary Table S4. </w:t>
      </w:r>
      <w:r w:rsidRPr="000C20C7">
        <w:rPr>
          <w:rFonts w:asciiTheme="majorBidi" w:hAnsiTheme="majorBidi" w:cstheme="majorBidi"/>
        </w:rPr>
        <w:t>Generalized Estimating Equation Validation of Within-Patient Correlation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8"/>
        <w:gridCol w:w="1577"/>
        <w:gridCol w:w="2043"/>
        <w:gridCol w:w="1191"/>
        <w:gridCol w:w="1191"/>
        <w:gridCol w:w="1191"/>
        <w:gridCol w:w="1361"/>
        <w:gridCol w:w="1191"/>
        <w:gridCol w:w="1421"/>
        <w:gridCol w:w="1576"/>
      </w:tblGrid>
      <w:tr w:rsidR="00213DBE" w:rsidRPr="000C20C7" w14:paraId="146E8CEB" w14:textId="77777777" w:rsidTr="00EB0629">
        <w:tc>
          <w:tcPr>
            <w:tcW w:w="134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C7B16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CVD Category</w:t>
            </w:r>
          </w:p>
        </w:tc>
        <w:tc>
          <w:tcPr>
            <w:tcW w:w="117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90F5BA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Algorithm</w:t>
            </w:r>
          </w:p>
        </w:tc>
        <w:tc>
          <w:tcPr>
            <w:tcW w:w="151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D3ACC5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Config</w:t>
            </w:r>
          </w:p>
        </w:tc>
        <w:tc>
          <w:tcPr>
            <w:tcW w:w="883"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43BDD67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AUC</w:t>
            </w:r>
          </w:p>
        </w:tc>
        <w:tc>
          <w:tcPr>
            <w:tcW w:w="883"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4D930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N Rec</w:t>
            </w:r>
          </w:p>
        </w:tc>
        <w:tc>
          <w:tcPr>
            <w:tcW w:w="883"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B3305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 xml:space="preserve">N </w:t>
            </w:r>
            <w:proofErr w:type="spellStart"/>
            <w:r w:rsidRPr="000C20C7">
              <w:rPr>
                <w:rFonts w:asciiTheme="majorBidi" w:hAnsiTheme="majorBidi" w:cstheme="majorBidi"/>
                <w:b/>
                <w:bCs/>
                <w:sz w:val="16"/>
                <w:szCs w:val="16"/>
              </w:rPr>
              <w:t>Clust</w:t>
            </w:r>
            <w:proofErr w:type="spellEnd"/>
          </w:p>
        </w:tc>
        <w:tc>
          <w:tcPr>
            <w:tcW w:w="100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F5AE9E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 xml:space="preserve">% </w:t>
            </w:r>
            <w:proofErr w:type="spellStart"/>
            <w:r w:rsidRPr="000C20C7">
              <w:rPr>
                <w:rFonts w:asciiTheme="majorBidi" w:hAnsiTheme="majorBidi" w:cstheme="majorBidi"/>
                <w:b/>
                <w:bCs/>
                <w:sz w:val="16"/>
                <w:szCs w:val="16"/>
              </w:rPr>
              <w:t>Clust</w:t>
            </w:r>
            <w:proofErr w:type="spellEnd"/>
          </w:p>
        </w:tc>
        <w:tc>
          <w:tcPr>
            <w:tcW w:w="883"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DCC8A0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Alpha</w:t>
            </w:r>
          </w:p>
        </w:tc>
        <w:tc>
          <w:tcPr>
            <w:tcW w:w="1054"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AD713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Wald P</w:t>
            </w:r>
          </w:p>
        </w:tc>
        <w:tc>
          <w:tcPr>
            <w:tcW w:w="1169"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81A4FA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Note</w:t>
            </w:r>
          </w:p>
        </w:tc>
      </w:tr>
      <w:tr w:rsidR="00213DBE" w:rsidRPr="000C20C7" w14:paraId="395A6E1D" w14:textId="77777777" w:rsidTr="00EB0629">
        <w:tc>
          <w:tcPr>
            <w:tcW w:w="134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20BF4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17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56F191"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51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7E1B5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ECE13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89667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11295</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2D528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4064</w:t>
            </w:r>
          </w:p>
        </w:tc>
        <w:tc>
          <w:tcPr>
            <w:tcW w:w="100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C4CB3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39.8</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B47D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0.1198</w:t>
            </w:r>
          </w:p>
        </w:tc>
        <w:tc>
          <w:tcPr>
            <w:tcW w:w="105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50E16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5.88e-15</w:t>
            </w:r>
          </w:p>
        </w:tc>
        <w:tc>
          <w:tcPr>
            <w:tcW w:w="116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E48F4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Significant</w:t>
            </w:r>
          </w:p>
        </w:tc>
      </w:tr>
      <w:tr w:rsidR="00213DBE" w:rsidRPr="000C20C7" w14:paraId="34C00B19" w14:textId="77777777" w:rsidTr="00EB0629">
        <w:tc>
          <w:tcPr>
            <w:tcW w:w="134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3F332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17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9AA9EC"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51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75B0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0122A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0.732</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9C0A3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1067</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40786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461</w:t>
            </w:r>
          </w:p>
        </w:tc>
        <w:tc>
          <w:tcPr>
            <w:tcW w:w="100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580F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18.8</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6562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0.1704</w:t>
            </w:r>
          </w:p>
        </w:tc>
        <w:tc>
          <w:tcPr>
            <w:tcW w:w="105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756BB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0.229</w:t>
            </w:r>
          </w:p>
        </w:tc>
        <w:tc>
          <w:tcPr>
            <w:tcW w:w="116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5B1100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Not significant</w:t>
            </w:r>
          </w:p>
        </w:tc>
      </w:tr>
      <w:tr w:rsidR="00213DBE" w:rsidRPr="000C20C7" w14:paraId="7B14B23C" w14:textId="77777777" w:rsidTr="00EB0629">
        <w:tc>
          <w:tcPr>
            <w:tcW w:w="134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7686E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17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2287C3"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51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BF2BFD"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07752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27519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1517</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7296B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708</w:t>
            </w:r>
          </w:p>
        </w:tc>
        <w:tc>
          <w:tcPr>
            <w:tcW w:w="100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0D3B3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16.8</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A6223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0.0413</w:t>
            </w:r>
          </w:p>
        </w:tc>
        <w:tc>
          <w:tcPr>
            <w:tcW w:w="105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7BABB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1.65e-12</w:t>
            </w:r>
          </w:p>
        </w:tc>
        <w:tc>
          <w:tcPr>
            <w:tcW w:w="116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7852F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Significant</w:t>
            </w:r>
          </w:p>
        </w:tc>
      </w:tr>
      <w:tr w:rsidR="00213DBE" w:rsidRPr="000C20C7" w14:paraId="523E37FA" w14:textId="77777777" w:rsidTr="00EB0629">
        <w:tc>
          <w:tcPr>
            <w:tcW w:w="134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06B17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17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D20973"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51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C172F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364670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0.758</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D1C76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433</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DB42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173</w:t>
            </w:r>
          </w:p>
        </w:tc>
        <w:tc>
          <w:tcPr>
            <w:tcW w:w="100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96469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w:t>
            </w:r>
          </w:p>
        </w:tc>
        <w:tc>
          <w:tcPr>
            <w:tcW w:w="88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1FD1E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0.1408</w:t>
            </w:r>
          </w:p>
        </w:tc>
        <w:tc>
          <w:tcPr>
            <w:tcW w:w="1054"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C333F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0.0169</w:t>
            </w:r>
          </w:p>
        </w:tc>
        <w:tc>
          <w:tcPr>
            <w:tcW w:w="1169"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ACC6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Significant</w:t>
            </w:r>
          </w:p>
        </w:tc>
      </w:tr>
    </w:tbl>
    <w:p w14:paraId="37F64A9C" w14:textId="77777777" w:rsidR="00000000" w:rsidRPr="000C20C7" w:rsidRDefault="00000000" w:rsidP="00EB0629">
      <w:pPr>
        <w:rPr>
          <w:rFonts w:asciiTheme="majorBidi" w:hAnsiTheme="majorBidi" w:cstheme="majorBidi"/>
          <w:sz w:val="36"/>
          <w:szCs w:val="36"/>
          <w:vertAlign w:val="superscript"/>
        </w:rPr>
      </w:pPr>
      <w:r w:rsidRPr="000C20C7">
        <w:rPr>
          <w:rFonts w:asciiTheme="majorBidi" w:hAnsiTheme="majorBidi" w:cstheme="majorBidi"/>
          <w:sz w:val="24"/>
          <w:szCs w:val="24"/>
          <w:vertAlign w:val="superscript"/>
        </w:rPr>
        <w:t xml:space="preserve">GEE models with exchangeable working correlation structure and sandwich (robust) standard errors fitted to multi-admission patient subsets within each test partition. Alpha represents the exchangeable correlation estimate. Wald P indicates significance of model-predicted risk as a readmission predictor after accounting for within-patient correlation. Abbreviations: AUC, area under the receiver operating characteristic curve; Bal, SMOTE-balanced configuration; </w:t>
      </w:r>
      <w:proofErr w:type="spellStart"/>
      <w:r w:rsidRPr="000C20C7">
        <w:rPr>
          <w:rFonts w:asciiTheme="majorBidi" w:hAnsiTheme="majorBidi" w:cstheme="majorBidi"/>
          <w:sz w:val="24"/>
          <w:szCs w:val="24"/>
          <w:vertAlign w:val="superscript"/>
        </w:rPr>
        <w:t>Clust</w:t>
      </w:r>
      <w:proofErr w:type="spellEnd"/>
      <w:r w:rsidRPr="000C20C7">
        <w:rPr>
          <w:rFonts w:asciiTheme="majorBidi" w:hAnsiTheme="majorBidi" w:cstheme="majorBidi"/>
          <w:sz w:val="24"/>
          <w:szCs w:val="24"/>
          <w:vertAlign w:val="superscript"/>
        </w:rPr>
        <w:t xml:space="preserve">, clusters (unique patients); CVD, cardiovascular disease; GEE, generalized estimating equations; N Rec, number of records; SMOTE, synthetic minority oversampling technique; </w:t>
      </w:r>
      <w:proofErr w:type="spellStart"/>
      <w:r w:rsidRPr="000C20C7">
        <w:rPr>
          <w:rFonts w:asciiTheme="majorBidi" w:hAnsiTheme="majorBidi" w:cstheme="majorBidi"/>
          <w:sz w:val="24"/>
          <w:szCs w:val="24"/>
          <w:vertAlign w:val="superscript"/>
        </w:rPr>
        <w:t>Unbal</w:t>
      </w:r>
      <w:proofErr w:type="spellEnd"/>
      <w:r w:rsidRPr="000C20C7">
        <w:rPr>
          <w:rFonts w:asciiTheme="majorBidi" w:hAnsiTheme="majorBidi" w:cstheme="majorBidi"/>
          <w:sz w:val="24"/>
          <w:szCs w:val="24"/>
          <w:vertAlign w:val="superscript"/>
        </w:rPr>
        <w:t>, unbalanced configuration with class weights.</w:t>
      </w:r>
    </w:p>
    <w:p w14:paraId="7E9925E0" w14:textId="77777777" w:rsidR="00000000" w:rsidRPr="000C20C7" w:rsidRDefault="00000000">
      <w:pPr>
        <w:rPr>
          <w:rFonts w:asciiTheme="majorBidi" w:hAnsiTheme="majorBidi" w:cstheme="majorBidi"/>
        </w:rPr>
      </w:pPr>
      <w:r w:rsidRPr="000C20C7">
        <w:rPr>
          <w:rFonts w:asciiTheme="majorBidi" w:hAnsiTheme="majorBidi" w:cstheme="majorBidi"/>
        </w:rPr>
        <w:br w:type="page"/>
      </w:r>
    </w:p>
    <w:p w14:paraId="544EEF18" w14:textId="77777777" w:rsidR="00000000" w:rsidRPr="000C20C7" w:rsidRDefault="00000000">
      <w:pPr>
        <w:spacing w:before="120" w:after="60"/>
        <w:rPr>
          <w:rFonts w:asciiTheme="majorBidi" w:hAnsiTheme="majorBidi" w:cstheme="majorBidi"/>
        </w:rPr>
      </w:pPr>
      <w:r w:rsidRPr="000C20C7">
        <w:rPr>
          <w:rFonts w:asciiTheme="majorBidi" w:hAnsiTheme="majorBidi" w:cstheme="majorBidi"/>
          <w:b/>
          <w:bCs/>
        </w:rPr>
        <w:lastRenderedPageBreak/>
        <w:t xml:space="preserve">Supplementary Table S5. </w:t>
      </w:r>
      <w:r w:rsidRPr="000C20C7">
        <w:rPr>
          <w:rFonts w:asciiTheme="majorBidi" w:hAnsiTheme="majorBidi" w:cstheme="majorBidi"/>
        </w:rPr>
        <w:t xml:space="preserve">Clustered Bootstrap Confidence Intervals Compared </w:t>
      </w:r>
      <w:proofErr w:type="gramStart"/>
      <w:r w:rsidRPr="000C20C7">
        <w:rPr>
          <w:rFonts w:asciiTheme="majorBidi" w:hAnsiTheme="majorBidi" w:cstheme="majorBidi"/>
        </w:rPr>
        <w:t>With</w:t>
      </w:r>
      <w:proofErr w:type="gramEnd"/>
      <w:r w:rsidRPr="000C20C7">
        <w:rPr>
          <w:rFonts w:asciiTheme="majorBidi" w:hAnsiTheme="majorBidi" w:cstheme="majorBidi"/>
        </w:rPr>
        <w:t xml:space="preserve"> Standard Bootstrap</w:t>
      </w:r>
    </w:p>
    <w:p w14:paraId="73375B22" w14:textId="77777777" w:rsidR="00000000" w:rsidRPr="000C20C7" w:rsidRDefault="00000000">
      <w:pPr>
        <w:spacing w:before="60" w:after="40"/>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64"/>
        <w:gridCol w:w="1598"/>
        <w:gridCol w:w="1243"/>
        <w:gridCol w:w="1065"/>
        <w:gridCol w:w="1598"/>
        <w:gridCol w:w="1598"/>
        <w:gridCol w:w="1598"/>
        <w:gridCol w:w="1598"/>
        <w:gridCol w:w="1598"/>
      </w:tblGrid>
      <w:tr w:rsidR="00213DBE" w:rsidRPr="000C20C7" w14:paraId="424850A3" w14:textId="77777777" w:rsidTr="00EB0629">
        <w:tc>
          <w:tcPr>
            <w:tcW w:w="1976"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DB02B6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CVD Category</w:t>
            </w:r>
          </w:p>
        </w:tc>
        <w:tc>
          <w:tcPr>
            <w:tcW w:w="118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5A7CDDD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Algorithm</w:t>
            </w:r>
          </w:p>
        </w:tc>
        <w:tc>
          <w:tcPr>
            <w:tcW w:w="922"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356498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Config</w:t>
            </w:r>
          </w:p>
        </w:tc>
        <w:tc>
          <w:tcPr>
            <w:tcW w:w="79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04FBF8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AUC</w:t>
            </w:r>
          </w:p>
        </w:tc>
        <w:tc>
          <w:tcPr>
            <w:tcW w:w="118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E7243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Std CI</w:t>
            </w:r>
          </w:p>
        </w:tc>
        <w:tc>
          <w:tcPr>
            <w:tcW w:w="118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0A1DE6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Std Width</w:t>
            </w:r>
          </w:p>
        </w:tc>
        <w:tc>
          <w:tcPr>
            <w:tcW w:w="118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CDF12CE"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b/>
                <w:bCs/>
                <w:sz w:val="16"/>
                <w:szCs w:val="16"/>
              </w:rPr>
              <w:t>Clust</w:t>
            </w:r>
            <w:proofErr w:type="spellEnd"/>
            <w:r w:rsidRPr="000C20C7">
              <w:rPr>
                <w:rFonts w:asciiTheme="majorBidi" w:hAnsiTheme="majorBidi" w:cstheme="majorBidi"/>
                <w:b/>
                <w:bCs/>
                <w:sz w:val="16"/>
                <w:szCs w:val="16"/>
              </w:rPr>
              <w:t xml:space="preserve"> CI</w:t>
            </w:r>
          </w:p>
        </w:tc>
        <w:tc>
          <w:tcPr>
            <w:tcW w:w="118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4E13197"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b/>
                <w:bCs/>
                <w:sz w:val="16"/>
                <w:szCs w:val="16"/>
              </w:rPr>
              <w:t>Clust</w:t>
            </w:r>
            <w:proofErr w:type="spellEnd"/>
            <w:r w:rsidRPr="000C20C7">
              <w:rPr>
                <w:rFonts w:asciiTheme="majorBidi" w:hAnsiTheme="majorBidi" w:cstheme="majorBidi"/>
                <w:b/>
                <w:bCs/>
                <w:sz w:val="16"/>
                <w:szCs w:val="16"/>
              </w:rPr>
              <w:t xml:space="preserve"> Width</w:t>
            </w:r>
          </w:p>
        </w:tc>
        <w:tc>
          <w:tcPr>
            <w:tcW w:w="118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E3856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Width Ratio</w:t>
            </w:r>
          </w:p>
        </w:tc>
      </w:tr>
      <w:tr w:rsidR="00213DBE" w:rsidRPr="000C20C7" w14:paraId="4804BBC8" w14:textId="77777777" w:rsidTr="00EB0629">
        <w:tc>
          <w:tcPr>
            <w:tcW w:w="19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4A42B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HF</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EF88CF"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9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6024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7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67D7C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0.708</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CE702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0.701–0.716</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B2115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0.015</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5009C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0.7–0.716</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93E29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0.0164</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68D01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1.096</w:t>
            </w:r>
          </w:p>
        </w:tc>
      </w:tr>
      <w:tr w:rsidR="00213DBE" w:rsidRPr="000C20C7" w14:paraId="45813898" w14:textId="77777777" w:rsidTr="00EB0629">
        <w:tc>
          <w:tcPr>
            <w:tcW w:w="19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A4B9E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AF/AFL</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7DA3DE"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9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0475B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7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24767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0.732</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E1D2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0.715–0.75</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42463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0.035</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38D256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0.711–0.753</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E1477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0.0415</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80B3D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1.185</w:t>
            </w:r>
          </w:p>
        </w:tc>
      </w:tr>
      <w:tr w:rsidR="00213DBE" w:rsidRPr="000C20C7" w14:paraId="713136F3" w14:textId="77777777" w:rsidTr="00EB0629">
        <w:tc>
          <w:tcPr>
            <w:tcW w:w="19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64FD1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AMI</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4EBF24"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9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0782C0" w14:textId="77777777" w:rsidR="00000000" w:rsidRPr="000C20C7" w:rsidRDefault="00000000" w:rsidP="00672B5F">
            <w:pPr>
              <w:spacing w:after="0"/>
              <w:jc w:val="center"/>
              <w:rPr>
                <w:rFonts w:asciiTheme="majorBidi" w:hAnsiTheme="majorBidi" w:cstheme="majorBidi"/>
              </w:rPr>
            </w:pPr>
            <w:proofErr w:type="spellStart"/>
            <w:r w:rsidRPr="000C20C7">
              <w:rPr>
                <w:rFonts w:asciiTheme="majorBidi" w:hAnsiTheme="majorBidi" w:cstheme="majorBidi"/>
                <w:sz w:val="16"/>
                <w:szCs w:val="16"/>
              </w:rPr>
              <w:t>Unbal</w:t>
            </w:r>
            <w:proofErr w:type="spellEnd"/>
          </w:p>
        </w:tc>
        <w:tc>
          <w:tcPr>
            <w:tcW w:w="7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2FBBD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0.706</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4631D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0.691–0.721</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F4212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A80F7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0.692–0.722</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66E4B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0.0306</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61CE3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1.018</w:t>
            </w:r>
          </w:p>
        </w:tc>
      </w:tr>
      <w:tr w:rsidR="00213DBE" w:rsidRPr="000C20C7" w14:paraId="4B0C313D" w14:textId="77777777" w:rsidTr="00EB0629">
        <w:tc>
          <w:tcPr>
            <w:tcW w:w="19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15F31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HHD</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1C6358"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92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1C0F9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Bal</w:t>
            </w:r>
          </w:p>
        </w:tc>
        <w:tc>
          <w:tcPr>
            <w:tcW w:w="7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8E1D6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0.758</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0A7ED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0.735–0.777</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B1AF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0.042</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A9FC6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0.733–0.784</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44353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0.0509</w:t>
            </w:r>
          </w:p>
        </w:tc>
        <w:tc>
          <w:tcPr>
            <w:tcW w:w="118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BA2AE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1.212</w:t>
            </w:r>
          </w:p>
        </w:tc>
      </w:tr>
    </w:tbl>
    <w:p w14:paraId="2DC9C4C8" w14:textId="77777777" w:rsidR="00000000" w:rsidRPr="000C20C7" w:rsidRDefault="00000000" w:rsidP="00EB0629">
      <w:pPr>
        <w:rPr>
          <w:rFonts w:asciiTheme="majorBidi" w:hAnsiTheme="majorBidi" w:cstheme="majorBidi"/>
          <w:sz w:val="36"/>
          <w:szCs w:val="36"/>
          <w:vertAlign w:val="superscript"/>
        </w:rPr>
      </w:pPr>
      <w:r w:rsidRPr="000C20C7">
        <w:rPr>
          <w:rFonts w:asciiTheme="majorBidi" w:hAnsiTheme="majorBidi" w:cstheme="majorBidi"/>
          <w:sz w:val="24"/>
          <w:szCs w:val="24"/>
          <w:vertAlign w:val="superscript"/>
        </w:rPr>
        <w:t xml:space="preserve">Patient-resampled clustered </w:t>
      </w:r>
      <w:proofErr w:type="gramStart"/>
      <w:r w:rsidRPr="000C20C7">
        <w:rPr>
          <w:rFonts w:asciiTheme="majorBidi" w:hAnsiTheme="majorBidi" w:cstheme="majorBidi"/>
          <w:sz w:val="24"/>
          <w:szCs w:val="24"/>
          <w:vertAlign w:val="superscript"/>
        </w:rPr>
        <w:t>bootstrap</w:t>
      </w:r>
      <w:proofErr w:type="gramEnd"/>
      <w:r w:rsidRPr="000C20C7">
        <w:rPr>
          <w:rFonts w:asciiTheme="majorBidi" w:hAnsiTheme="majorBidi" w:cstheme="majorBidi"/>
          <w:sz w:val="24"/>
          <w:szCs w:val="24"/>
          <w:vertAlign w:val="superscript"/>
        </w:rPr>
        <w:t xml:space="preserve"> (1000 iterations) compared with standard record-level </w:t>
      </w:r>
      <w:proofErr w:type="gramStart"/>
      <w:r w:rsidRPr="000C20C7">
        <w:rPr>
          <w:rFonts w:asciiTheme="majorBidi" w:hAnsiTheme="majorBidi" w:cstheme="majorBidi"/>
          <w:sz w:val="24"/>
          <w:szCs w:val="24"/>
          <w:vertAlign w:val="superscript"/>
        </w:rPr>
        <w:t>bootstrap</w:t>
      </w:r>
      <w:proofErr w:type="gramEnd"/>
      <w:r w:rsidRPr="000C20C7">
        <w:rPr>
          <w:rFonts w:asciiTheme="majorBidi" w:hAnsiTheme="majorBidi" w:cstheme="majorBidi"/>
          <w:sz w:val="24"/>
          <w:szCs w:val="24"/>
          <w:vertAlign w:val="superscript"/>
        </w:rPr>
        <w:t xml:space="preserve">. Width Ratio represents clustered CI width divided by standard CI width; mean ratio across all models = 1.13 (13% widening), indicating modest but consistent variance underestimation under independence assumptions. Abbreviations: AUC, area under the receiver operating characteristic curve; Bal, SMOTE-balanced configuration; CI, confidence interval; </w:t>
      </w:r>
      <w:proofErr w:type="spellStart"/>
      <w:r w:rsidRPr="000C20C7">
        <w:rPr>
          <w:rFonts w:asciiTheme="majorBidi" w:hAnsiTheme="majorBidi" w:cstheme="majorBidi"/>
          <w:sz w:val="24"/>
          <w:szCs w:val="24"/>
          <w:vertAlign w:val="superscript"/>
        </w:rPr>
        <w:t>Clust</w:t>
      </w:r>
      <w:proofErr w:type="spellEnd"/>
      <w:r w:rsidRPr="000C20C7">
        <w:rPr>
          <w:rFonts w:asciiTheme="majorBidi" w:hAnsiTheme="majorBidi" w:cstheme="majorBidi"/>
          <w:sz w:val="24"/>
          <w:szCs w:val="24"/>
          <w:vertAlign w:val="superscript"/>
        </w:rPr>
        <w:t xml:space="preserve">, clustered bootstrap; CVD, cardiovascular disease; SMOTE, synthetic minority oversampling </w:t>
      </w:r>
      <w:r w:rsidRPr="000C20C7">
        <w:rPr>
          <w:rFonts w:asciiTheme="majorBidi" w:hAnsiTheme="majorBidi" w:cstheme="majorBidi"/>
          <w:sz w:val="24"/>
          <w:szCs w:val="24"/>
          <w:vertAlign w:val="superscript"/>
        </w:rPr>
        <w:t xml:space="preserve">technique; Std, standard (record-level) bootstrap; </w:t>
      </w:r>
      <w:proofErr w:type="spellStart"/>
      <w:r w:rsidRPr="000C20C7">
        <w:rPr>
          <w:rFonts w:asciiTheme="majorBidi" w:hAnsiTheme="majorBidi" w:cstheme="majorBidi"/>
          <w:sz w:val="24"/>
          <w:szCs w:val="24"/>
          <w:vertAlign w:val="superscript"/>
        </w:rPr>
        <w:t>Unbal</w:t>
      </w:r>
      <w:proofErr w:type="spellEnd"/>
      <w:r w:rsidRPr="000C20C7">
        <w:rPr>
          <w:rFonts w:asciiTheme="majorBidi" w:hAnsiTheme="majorBidi" w:cstheme="majorBidi"/>
          <w:sz w:val="24"/>
          <w:szCs w:val="24"/>
          <w:vertAlign w:val="superscript"/>
        </w:rPr>
        <w:t>, unbalanced configuration with class weights.</w:t>
      </w:r>
    </w:p>
    <w:p w14:paraId="308EFB68" w14:textId="77777777" w:rsidR="00000000" w:rsidRPr="000C20C7" w:rsidRDefault="00000000">
      <w:pPr>
        <w:rPr>
          <w:rFonts w:asciiTheme="majorBidi" w:hAnsiTheme="majorBidi" w:cstheme="majorBidi"/>
        </w:rPr>
      </w:pPr>
      <w:r w:rsidRPr="000C20C7">
        <w:rPr>
          <w:rFonts w:asciiTheme="majorBidi" w:hAnsiTheme="majorBidi" w:cstheme="majorBidi"/>
        </w:rPr>
        <w:br w:type="page"/>
      </w:r>
    </w:p>
    <w:p w14:paraId="784F9AF2" w14:textId="77777777" w:rsidR="00000000" w:rsidRPr="000C20C7" w:rsidRDefault="00000000">
      <w:pPr>
        <w:spacing w:before="120" w:after="60"/>
        <w:rPr>
          <w:rFonts w:asciiTheme="majorBidi" w:hAnsiTheme="majorBidi" w:cstheme="majorBidi"/>
        </w:rPr>
      </w:pPr>
      <w:r w:rsidRPr="000C20C7">
        <w:rPr>
          <w:rFonts w:asciiTheme="majorBidi" w:hAnsiTheme="majorBidi" w:cstheme="majorBidi"/>
          <w:b/>
          <w:bCs/>
        </w:rPr>
        <w:lastRenderedPageBreak/>
        <w:t xml:space="preserve">Supplementary Table S6. </w:t>
      </w:r>
      <w:r w:rsidRPr="000C20C7">
        <w:rPr>
          <w:rFonts w:asciiTheme="majorBidi" w:hAnsiTheme="majorBidi" w:cstheme="majorBidi"/>
        </w:rPr>
        <w:t>Best-Model Discrimination Stratified by Admission Order</w:t>
      </w:r>
    </w:p>
    <w:p w14:paraId="20F831C6" w14:textId="77777777" w:rsidR="00000000" w:rsidRPr="000C20C7" w:rsidRDefault="00000000">
      <w:pPr>
        <w:spacing w:before="60" w:after="40"/>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52"/>
        <w:gridCol w:w="1770"/>
        <w:gridCol w:w="1574"/>
        <w:gridCol w:w="1181"/>
        <w:gridCol w:w="1574"/>
        <w:gridCol w:w="2361"/>
        <w:gridCol w:w="1574"/>
        <w:gridCol w:w="1574"/>
      </w:tblGrid>
      <w:tr w:rsidR="00213DBE" w:rsidRPr="000C20C7" w14:paraId="00336676" w14:textId="77777777" w:rsidTr="00EB0629">
        <w:tc>
          <w:tcPr>
            <w:tcW w:w="2190"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C9A362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CVD Category</w:t>
            </w:r>
          </w:p>
        </w:tc>
        <w:tc>
          <w:tcPr>
            <w:tcW w:w="1313"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731C12A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Algorithm</w:t>
            </w:r>
          </w:p>
        </w:tc>
        <w:tc>
          <w:tcPr>
            <w:tcW w:w="1167"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1703F85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Stratum</w:t>
            </w:r>
          </w:p>
        </w:tc>
        <w:tc>
          <w:tcPr>
            <w:tcW w:w="876"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E5A141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N</w:t>
            </w:r>
          </w:p>
        </w:tc>
        <w:tc>
          <w:tcPr>
            <w:tcW w:w="1167"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0C0A57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Event %</w:t>
            </w:r>
          </w:p>
        </w:tc>
        <w:tc>
          <w:tcPr>
            <w:tcW w:w="1751"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6997D50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AUC (95% CI)</w:t>
            </w:r>
          </w:p>
        </w:tc>
        <w:tc>
          <w:tcPr>
            <w:tcW w:w="1167"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0D3C2B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Sens</w:t>
            </w:r>
          </w:p>
        </w:tc>
        <w:tc>
          <w:tcPr>
            <w:tcW w:w="1167"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56E0914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bCs/>
                <w:sz w:val="16"/>
                <w:szCs w:val="16"/>
              </w:rPr>
              <w:t>Spec</w:t>
            </w:r>
          </w:p>
        </w:tc>
      </w:tr>
      <w:tr w:rsidR="00213DBE" w:rsidRPr="000C20C7" w14:paraId="3E1029AC"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EE64E1"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HF</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A0E56E"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8E7F1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First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AE257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20284</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E0222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15.4</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8BA09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0.635 (0.624-0.644)</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9C99F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0.619</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CAB1B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0.582</w:t>
            </w:r>
          </w:p>
        </w:tc>
      </w:tr>
      <w:tr w:rsidR="00213DBE" w:rsidRPr="000C20C7" w14:paraId="77E54345"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1B78D0"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HF</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F6886B"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DC6E4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Repeat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805C8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8096</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69CD9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40.2</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00854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0.603 (0.59-0.616)</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04C3F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0.441</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DE9AC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0.712</w:t>
            </w:r>
          </w:p>
        </w:tc>
      </w:tr>
      <w:tr w:rsidR="00213DBE" w:rsidRPr="000C20C7" w14:paraId="095AB5CE"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52B311"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AF/AFL</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AC5689"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80AAE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First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2A01D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4711</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7947FD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11.5</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F9884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0.68 (0.656-0.702)</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ED69C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0.522</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FFBF4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0.743</w:t>
            </w:r>
          </w:p>
        </w:tc>
      </w:tr>
      <w:tr w:rsidR="00213DBE" w:rsidRPr="000C20C7" w14:paraId="46B018A1"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FD6897"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AF/AFL</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A25101"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0A7FC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Repeat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D5157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966</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A6439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35.7</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7BAFE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0.612 (0.573-0.648)</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1805A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0.803</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9E0EF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0.369</w:t>
            </w:r>
          </w:p>
        </w:tc>
      </w:tr>
      <w:tr w:rsidR="00213DBE" w:rsidRPr="000C20C7" w14:paraId="1A32CDF9"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ADB399"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AMI</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CFEFFD"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369D0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First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338A8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7833</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57687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10.7</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4E7E6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0.673 (0.655-0.692)</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534C7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0.596</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A878E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0.655</w:t>
            </w:r>
          </w:p>
        </w:tc>
      </w:tr>
      <w:tr w:rsidR="00213DBE" w:rsidRPr="000C20C7" w14:paraId="04B7A10F"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1488B3"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AMI</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CCFA30"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A7085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Repeat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F8944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1211</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5C4B7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25.9</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C9155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0.691 (0.662-0.722)</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455C8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0.79</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FBE61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0.514</w:t>
            </w:r>
          </w:p>
        </w:tc>
      </w:tr>
      <w:tr w:rsidR="00213DBE" w:rsidRPr="000C20C7" w14:paraId="754C64E7"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AA6A9C"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HHD</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C891F5"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9408B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First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1F54D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3870</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064EF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9</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11110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0.699 (0.672-0.727)</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C83B6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0.683</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9C894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0.638</w:t>
            </w:r>
          </w:p>
        </w:tc>
      </w:tr>
      <w:tr w:rsidR="00213DBE" w:rsidRPr="000C20C7" w14:paraId="30105785" w14:textId="77777777" w:rsidTr="00EB0629">
        <w:tc>
          <w:tcPr>
            <w:tcW w:w="2190"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C7DD85"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szCs w:val="16"/>
              </w:rPr>
              <w:t>HHD</w:t>
            </w:r>
          </w:p>
        </w:tc>
        <w:tc>
          <w:tcPr>
            <w:tcW w:w="1313"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89E480"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szCs w:val="16"/>
              </w:rPr>
              <w:t>XGBoost</w:t>
            </w:r>
            <w:proofErr w:type="spellEnd"/>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0FCA4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Repeat</w:t>
            </w:r>
          </w:p>
        </w:tc>
        <w:tc>
          <w:tcPr>
            <w:tcW w:w="87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D0067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413</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94188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40</w:t>
            </w:r>
          </w:p>
        </w:tc>
        <w:tc>
          <w:tcPr>
            <w:tcW w:w="175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7E007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0.657 (0.606-0.709)</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E372C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0.691</w:t>
            </w:r>
          </w:p>
        </w:tc>
        <w:tc>
          <w:tcPr>
            <w:tcW w:w="1167"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B7D91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szCs w:val="16"/>
              </w:rPr>
              <w:t>0.605</w:t>
            </w:r>
          </w:p>
        </w:tc>
      </w:tr>
    </w:tbl>
    <w:p w14:paraId="7DFA4F12" w14:textId="77777777" w:rsidR="00000000" w:rsidRPr="000C20C7" w:rsidRDefault="00000000" w:rsidP="00D119CB">
      <w:pPr>
        <w:rPr>
          <w:rFonts w:asciiTheme="majorBidi" w:hAnsiTheme="majorBidi" w:cstheme="majorBidi"/>
          <w:sz w:val="36"/>
          <w:szCs w:val="36"/>
          <w:vertAlign w:val="superscript"/>
        </w:rPr>
      </w:pPr>
      <w:r w:rsidRPr="000C20C7">
        <w:rPr>
          <w:rFonts w:asciiTheme="majorBidi" w:hAnsiTheme="majorBidi" w:cstheme="majorBidi"/>
          <w:sz w:val="24"/>
          <w:szCs w:val="24"/>
          <w:vertAlign w:val="superscript"/>
        </w:rPr>
        <w:t>Performance of the best-performing algorithm (</w:t>
      </w:r>
      <w:proofErr w:type="spellStart"/>
      <w:r w:rsidRPr="000C20C7">
        <w:rPr>
          <w:rFonts w:asciiTheme="majorBidi" w:hAnsiTheme="majorBidi" w:cstheme="majorBidi"/>
          <w:sz w:val="24"/>
          <w:szCs w:val="24"/>
          <w:vertAlign w:val="superscript"/>
        </w:rPr>
        <w:t>XGBoost</w:t>
      </w:r>
      <w:proofErr w:type="spellEnd"/>
      <w:r w:rsidRPr="000C20C7">
        <w:rPr>
          <w:rFonts w:asciiTheme="majorBidi" w:hAnsiTheme="majorBidi" w:cstheme="majorBidi"/>
          <w:sz w:val="24"/>
          <w:szCs w:val="24"/>
          <w:vertAlign w:val="superscript"/>
        </w:rPr>
        <w:t>) stratified by first versus repeat admissions within each test partition. Event % denotes the 30-day readmission rate within stratum. Abbreviations: AUC, area under the receiver operating characteristic curve; CI, confidence interval; CVD, cardiovascular disease; N, sample size; Sens, sensitivity; Spec, specificity.</w:t>
      </w:r>
    </w:p>
    <w:p w14:paraId="06B869DE" w14:textId="77777777" w:rsidR="00000000" w:rsidRPr="000C20C7" w:rsidRDefault="00000000">
      <w:pPr>
        <w:rPr>
          <w:rFonts w:asciiTheme="majorBidi" w:hAnsiTheme="majorBidi" w:cstheme="majorBidi"/>
        </w:rPr>
      </w:pPr>
      <w:r w:rsidRPr="000C20C7">
        <w:rPr>
          <w:rFonts w:asciiTheme="majorBidi" w:hAnsiTheme="majorBidi" w:cstheme="majorBidi"/>
        </w:rPr>
        <w:br w:type="page"/>
      </w:r>
    </w:p>
    <w:p w14:paraId="6BC214BB" w14:textId="77777777" w:rsidR="00000000" w:rsidRPr="000C20C7" w:rsidRDefault="00000000">
      <w:pPr>
        <w:spacing w:before="120" w:after="60"/>
        <w:rPr>
          <w:rFonts w:asciiTheme="majorBidi" w:hAnsiTheme="majorBidi" w:cstheme="majorBidi"/>
        </w:rPr>
      </w:pPr>
      <w:r w:rsidRPr="000C20C7">
        <w:rPr>
          <w:rFonts w:asciiTheme="majorBidi" w:hAnsiTheme="majorBidi" w:cstheme="majorBidi"/>
          <w:b/>
          <w:bCs/>
        </w:rPr>
        <w:lastRenderedPageBreak/>
        <w:t xml:space="preserve">Supplementary Table S7. </w:t>
      </w:r>
      <w:r w:rsidRPr="000C20C7">
        <w:rPr>
          <w:rFonts w:asciiTheme="majorBidi" w:hAnsiTheme="majorBidi" w:cstheme="majorBidi"/>
        </w:rPr>
        <w:t>Aggregated Feature Importance Rankings Across All 40 Base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55"/>
        <w:gridCol w:w="4296"/>
        <w:gridCol w:w="1909"/>
      </w:tblGrid>
      <w:tr w:rsidR="00213DBE" w:rsidRPr="000C20C7" w14:paraId="5DB49046" w14:textId="77777777" w:rsidTr="00D119CB">
        <w:tc>
          <w:tcPr>
            <w:tcW w:w="6196"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0FA234C9" w14:textId="77777777" w:rsidR="00000000" w:rsidRPr="000C20C7" w:rsidRDefault="00000000">
            <w:pPr>
              <w:jc w:val="center"/>
              <w:rPr>
                <w:rFonts w:asciiTheme="majorBidi" w:hAnsiTheme="majorBidi" w:cstheme="majorBidi"/>
              </w:rPr>
            </w:pPr>
            <w:r w:rsidRPr="000C20C7">
              <w:rPr>
                <w:rFonts w:asciiTheme="majorBidi" w:hAnsiTheme="majorBidi" w:cstheme="majorBidi"/>
                <w:b/>
                <w:bCs/>
                <w:sz w:val="16"/>
                <w:szCs w:val="16"/>
              </w:rPr>
              <w:t>Feature</w:t>
            </w:r>
          </w:p>
        </w:tc>
        <w:tc>
          <w:tcPr>
            <w:tcW w:w="3186"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5CCFB765" w14:textId="77777777" w:rsidR="00000000" w:rsidRPr="000C20C7" w:rsidRDefault="00000000">
            <w:pPr>
              <w:jc w:val="center"/>
              <w:rPr>
                <w:rFonts w:asciiTheme="majorBidi" w:hAnsiTheme="majorBidi" w:cstheme="majorBidi"/>
              </w:rPr>
            </w:pPr>
            <w:r w:rsidRPr="000C20C7">
              <w:rPr>
                <w:rFonts w:asciiTheme="majorBidi" w:hAnsiTheme="majorBidi" w:cstheme="majorBidi"/>
                <w:b/>
                <w:bCs/>
                <w:sz w:val="16"/>
                <w:szCs w:val="16"/>
              </w:rPr>
              <w:t>Mean Importance</w:t>
            </w:r>
          </w:p>
        </w:tc>
        <w:tc>
          <w:tcPr>
            <w:tcW w:w="1416"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27BB7642" w14:textId="77777777" w:rsidR="00000000" w:rsidRPr="000C20C7" w:rsidRDefault="00000000">
            <w:pPr>
              <w:jc w:val="center"/>
              <w:rPr>
                <w:rFonts w:asciiTheme="majorBidi" w:hAnsiTheme="majorBidi" w:cstheme="majorBidi"/>
              </w:rPr>
            </w:pPr>
            <w:r w:rsidRPr="000C20C7">
              <w:rPr>
                <w:rFonts w:asciiTheme="majorBidi" w:hAnsiTheme="majorBidi" w:cstheme="majorBidi"/>
                <w:b/>
                <w:bCs/>
                <w:sz w:val="16"/>
                <w:szCs w:val="16"/>
              </w:rPr>
              <w:t>Models (of 40)</w:t>
            </w:r>
          </w:p>
        </w:tc>
      </w:tr>
      <w:tr w:rsidR="00213DBE" w:rsidRPr="000C20C7" w14:paraId="4959EC5F"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0FC683"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LACE: ED Visits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3F7DCF"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0.8328</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CA4F8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32</w:t>
            </w:r>
          </w:p>
        </w:tc>
      </w:tr>
      <w:tr w:rsidR="00213DBE" w:rsidRPr="000C20C7" w14:paraId="19B71D58"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CDDBCC"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Admission Order</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75DF14"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0.3258</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FBBE10"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29</w:t>
            </w:r>
          </w:p>
        </w:tc>
      </w:tr>
      <w:tr w:rsidR="00213DBE" w:rsidRPr="000C20C7" w14:paraId="1E55C085"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ED6EEB"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CVD Mortality Risk</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C4FED1"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0.2843</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7082C6"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27</w:t>
            </w:r>
          </w:p>
        </w:tc>
      </w:tr>
      <w:tr w:rsidR="00213DBE" w:rsidRPr="000C20C7" w14:paraId="79E68B37"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C778F2"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LACE Index (0-19)</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77B275"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0.2667</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06047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32</w:t>
            </w:r>
          </w:p>
        </w:tc>
      </w:tr>
      <w:tr w:rsidR="00213DBE" w:rsidRPr="000C20C7" w14:paraId="55E4914C"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77C773"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Total Charges ($)</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2B540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0.2555</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4374C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26</w:t>
            </w:r>
          </w:p>
        </w:tc>
      </w:tr>
      <w:tr w:rsidR="00213DBE" w:rsidRPr="000C20C7" w14:paraId="6D07BDE0"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A6EC9F"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Age (years)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D06BB2"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0.2296</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C086FF"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24</w:t>
            </w:r>
          </w:p>
        </w:tc>
      </w:tr>
      <w:tr w:rsidR="00213DBE" w:rsidRPr="000C20C7" w14:paraId="650FFF20"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0C2106"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Renal Failure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5BDDB0"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0.1751</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54821B"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28</w:t>
            </w:r>
          </w:p>
        </w:tc>
      </w:tr>
      <w:tr w:rsidR="00213DBE" w:rsidRPr="000C20C7" w14:paraId="3A4CD13A"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BB6D1B"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Charlson Comorbidity Index</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556FA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0.1701</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A991D8"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30</w:t>
            </w:r>
          </w:p>
        </w:tc>
      </w:tr>
      <w:tr w:rsidR="00213DBE" w:rsidRPr="000C20C7" w14:paraId="725CD64D"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037C08"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van Walraven Elixhauser Index</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BA1035"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0.1682</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0C77CD"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29</w:t>
            </w:r>
          </w:p>
        </w:tc>
      </w:tr>
      <w:tr w:rsidR="00213DBE" w:rsidRPr="000C20C7" w14:paraId="1EA7C4F2"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963836"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Insurance Type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F773B8"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0.1475</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1F1650"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29</w:t>
            </w:r>
          </w:p>
        </w:tc>
      </w:tr>
      <w:tr w:rsidR="00213DBE" w:rsidRPr="000C20C7" w14:paraId="628EDEB1"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3B2F23"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Length of Stay (days)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8C2688"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0.1440</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AF20ED"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24</w:t>
            </w:r>
          </w:p>
        </w:tc>
      </w:tr>
      <w:tr w:rsidR="00213DBE" w:rsidRPr="000C20C7" w14:paraId="093E5EC5"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0207CA"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Total Diagnoses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F1A1E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0.1363</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DD0CB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32</w:t>
            </w:r>
          </w:p>
        </w:tc>
      </w:tr>
      <w:tr w:rsidR="00213DBE" w:rsidRPr="000C20C7" w14:paraId="3958A6AB"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C65035"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Admission Year</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FFD44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0.1350</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7F652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31</w:t>
            </w:r>
          </w:p>
        </w:tc>
      </w:tr>
      <w:tr w:rsidR="00213DBE" w:rsidRPr="000C20C7" w14:paraId="73EA9F88"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FEC09F"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CVD Severity Score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3046B8"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0.1294</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15A1B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29</w:t>
            </w:r>
          </w:p>
        </w:tc>
      </w:tr>
      <w:tr w:rsidR="00213DBE" w:rsidRPr="000C20C7" w14:paraId="130DDCF2"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F724C3" w14:textId="77777777" w:rsidR="00000000" w:rsidRPr="000C20C7" w:rsidRDefault="00000000">
            <w:pPr>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4A062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0.1249</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DB2B03"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31</w:t>
            </w:r>
          </w:p>
        </w:tc>
      </w:tr>
      <w:tr w:rsidR="00213DBE" w:rsidRPr="000C20C7" w14:paraId="5FB66C34"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E1F500"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Age-Adjusted Charlson Index</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80C69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0.1176</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501EB3"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29</w:t>
            </w:r>
          </w:p>
        </w:tc>
      </w:tr>
      <w:tr w:rsidR="00213DBE" w:rsidRPr="000C20C7" w14:paraId="780A4D68"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61E30D"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Obesity</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505398"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0.1138</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A3E163"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30</w:t>
            </w:r>
          </w:p>
        </w:tc>
      </w:tr>
      <w:tr w:rsidR="00213DBE" w:rsidRPr="000C20C7" w14:paraId="3863EF4F"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4882B2"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Teaching Status (Missing)</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CAC080"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0.1099</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47E68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11</w:t>
            </w:r>
          </w:p>
        </w:tc>
      </w:tr>
      <w:tr w:rsidR="00213DBE" w:rsidRPr="000C20C7" w14:paraId="26523387"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E085DC"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Total CVD Conditions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7C32CB"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0.1046</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B588E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28</w:t>
            </w:r>
          </w:p>
        </w:tc>
      </w:tr>
      <w:tr w:rsidR="00213DBE" w:rsidRPr="000C20C7" w14:paraId="55DF989E"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8F9690"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Hypertension, Complicated</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8FE7F5"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0.1017</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C26D14"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25</w:t>
            </w:r>
          </w:p>
        </w:tc>
      </w:tr>
      <w:tr w:rsidR="00213DBE" w:rsidRPr="000C20C7" w14:paraId="4DC60F9B"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EEC514"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lastRenderedPageBreak/>
              <w:t>Congestive Heart Failure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0B8EBF"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0.0996</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70003D"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28</w:t>
            </w:r>
          </w:p>
        </w:tc>
      </w:tr>
      <w:tr w:rsidR="00213DBE" w:rsidRPr="000C20C7" w14:paraId="246900D2"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51996E"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Total Procedures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77EEE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0.0930</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15A508"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29</w:t>
            </w:r>
          </w:p>
        </w:tc>
      </w:tr>
      <w:tr w:rsidR="00213DBE" w:rsidRPr="000C20C7" w14:paraId="274B8E81"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5134C1"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Female Sex</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61C05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0.0924</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1D40C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27</w:t>
            </w:r>
          </w:p>
        </w:tc>
      </w:tr>
      <w:tr w:rsidR="00213DBE" w:rsidRPr="000C20C7" w14:paraId="3A3FD512"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A6ADC7"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Hospital Size (beds)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6566A3"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0.0892</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1F4FA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26</w:t>
            </w:r>
          </w:p>
        </w:tc>
      </w:tr>
      <w:tr w:rsidR="00213DBE" w:rsidRPr="000C20C7" w14:paraId="4B9529B4"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DDE2BD"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Admission Quarter</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50464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0.0867</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A4CE90"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25</w:t>
            </w:r>
          </w:p>
        </w:tc>
      </w:tr>
      <w:tr w:rsidR="00213DBE" w:rsidRPr="000C20C7" w14:paraId="0033AA5D"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6DAB7E"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LACE: Length of Stay</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58D71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0.0862</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4070C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27</w:t>
            </w:r>
          </w:p>
        </w:tc>
      </w:tr>
      <w:tr w:rsidR="00213DBE" w:rsidRPr="000C20C7" w14:paraId="43AA68DB"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1B4F02"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Teaching Hospital</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B2D36D"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0.0748</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65BA56"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25</w:t>
            </w:r>
          </w:p>
        </w:tc>
      </w:tr>
      <w:tr w:rsidR="00213DBE" w:rsidRPr="000C20C7" w14:paraId="34C3C8B9"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857DE2"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Fluid and Electrolyte Disorder</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3B4F9F"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0.0729</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6A5ECE"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26</w:t>
            </w:r>
          </w:p>
        </w:tc>
      </w:tr>
      <w:tr w:rsidR="00213DBE" w:rsidRPr="000C20C7" w14:paraId="50DE35D2"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F82A69"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Chronic Pulmonary Disease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7FE9BE"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0.0724</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36F192"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24</w:t>
            </w:r>
          </w:p>
        </w:tc>
      </w:tr>
      <w:tr w:rsidR="00213DBE" w:rsidRPr="000C20C7" w14:paraId="5BEDC476"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C39393"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Hypertension, Uncomplicated</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0169E3"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0.0600</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47EA21"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28</w:t>
            </w:r>
          </w:p>
        </w:tc>
      </w:tr>
      <w:tr w:rsidR="00213DBE" w:rsidRPr="000C20C7" w14:paraId="23407BBA"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B96BFDA"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Diabetes with Complications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4AF7FE"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0.0524</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18B765"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23</w:t>
            </w:r>
          </w:p>
        </w:tc>
      </w:tr>
      <w:tr w:rsidR="00213DBE" w:rsidRPr="000C20C7" w14:paraId="403F9944"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D766D5"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Age &gt;= 75 years</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90F88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0.0512</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9B5CB1"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23</w:t>
            </w:r>
          </w:p>
        </w:tc>
      </w:tr>
      <w:tr w:rsidR="00213DBE" w:rsidRPr="000C20C7" w14:paraId="098681D1"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E78A90"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Cardiac Arrhythmia</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BB98D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0.0496</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E36AD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25</w:t>
            </w:r>
          </w:p>
        </w:tc>
      </w:tr>
      <w:tr w:rsidR="00213DBE" w:rsidRPr="000C20C7" w14:paraId="6FEDDDF8"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2EDBE3"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Diabetes, Uncomplicated</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B64658"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0.0492</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B55E42"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23</w:t>
            </w:r>
          </w:p>
        </w:tc>
      </w:tr>
      <w:tr w:rsidR="00213DBE" w:rsidRPr="000C20C7" w14:paraId="2DD2C48C"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6964B0"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Depression</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487580"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0.0432</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D086DD"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25</w:t>
            </w:r>
          </w:p>
        </w:tc>
      </w:tr>
      <w:tr w:rsidR="00213DBE" w:rsidRPr="000C20C7" w14:paraId="2486AED7"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CAF6DE"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Drug Abuse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6D6B7A"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0.0423</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C11670"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29</w:t>
            </w:r>
          </w:p>
        </w:tc>
      </w:tr>
      <w:tr w:rsidR="00213DBE" w:rsidRPr="000C20C7" w14:paraId="0B345D65"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EE3403"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Coagulopathy</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4E42FD"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0.0421</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6CACF7"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27</w:t>
            </w:r>
          </w:p>
        </w:tc>
      </w:tr>
      <w:tr w:rsidR="00213DBE" w:rsidRPr="000C20C7" w14:paraId="536614C9"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EFA11D"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Hospital Ownership</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04C2EE"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0.0403</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B705CB"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26</w:t>
            </w:r>
          </w:p>
        </w:tc>
      </w:tr>
      <w:tr w:rsidR="00213DBE" w:rsidRPr="000C20C7" w14:paraId="586EE84D"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384D45"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Other Neurological Disorder</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F91946"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0.0390</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4B57AB"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28</w:t>
            </w:r>
          </w:p>
        </w:tc>
      </w:tr>
      <w:tr w:rsidR="00213DBE" w:rsidRPr="000C20C7" w14:paraId="3FBDFD9D"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D2C01E"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Valvular Disease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21192F"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0.0335</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D01B8E"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26</w:t>
            </w:r>
          </w:p>
        </w:tc>
      </w:tr>
      <w:tr w:rsidR="00213DBE" w:rsidRPr="000C20C7" w14:paraId="242793A7"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B74094"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Pulmonary Circulation Disorder</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357815"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0.0285</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4CA374"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22</w:t>
            </w:r>
          </w:p>
        </w:tc>
      </w:tr>
      <w:tr w:rsidR="00213DBE" w:rsidRPr="000C20C7" w14:paraId="35E747B4"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58208C"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lastRenderedPageBreak/>
              <w:t>Alcohol Abuse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E55B26"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0.0281</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E694C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24</w:t>
            </w:r>
          </w:p>
        </w:tc>
      </w:tr>
      <w:tr w:rsidR="00213DBE" w:rsidRPr="000C20C7" w14:paraId="1B67E90F"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B685F5"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Deficiency Anemia</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3DB901"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0.0261</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EF539F"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24</w:t>
            </w:r>
          </w:p>
        </w:tc>
      </w:tr>
      <w:tr w:rsidR="00213DBE" w:rsidRPr="000C20C7" w14:paraId="286E41E7"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64A64F"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Peripheral Vascular Disease</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4D17F1"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0.0256</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9C3A1C"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25</w:t>
            </w:r>
          </w:p>
        </w:tc>
      </w:tr>
      <w:tr w:rsidR="00213DBE" w:rsidRPr="000C20C7" w14:paraId="67B99E4D"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E30CF7"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Hypothyroidism</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75359A"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0.0220</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0960E92"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22</w:t>
            </w:r>
          </w:p>
        </w:tc>
      </w:tr>
      <w:tr w:rsidR="00213DBE" w:rsidRPr="000C20C7" w14:paraId="3C9A7F65"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FAD0B4"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LACE: Acuity</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257655"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0.0198</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399F22"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27</w:t>
            </w:r>
          </w:p>
        </w:tc>
      </w:tr>
      <w:tr w:rsidR="00213DBE" w:rsidRPr="000C20C7" w14:paraId="190CE7EA" w14:textId="77777777" w:rsidTr="00D119CB">
        <w:tc>
          <w:tcPr>
            <w:tcW w:w="619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160755" w14:textId="77777777" w:rsidR="00000000" w:rsidRPr="000C20C7" w:rsidRDefault="00000000">
            <w:pPr>
              <w:rPr>
                <w:rFonts w:asciiTheme="majorBidi" w:hAnsiTheme="majorBidi" w:cstheme="majorBidi"/>
              </w:rPr>
            </w:pPr>
            <w:r w:rsidRPr="000C20C7">
              <w:rPr>
                <w:rFonts w:asciiTheme="majorBidi" w:hAnsiTheme="majorBidi" w:cstheme="majorBidi"/>
                <w:sz w:val="16"/>
                <w:szCs w:val="16"/>
              </w:rPr>
              <w:t>Tax Status (Missing)</w:t>
            </w:r>
          </w:p>
        </w:tc>
        <w:tc>
          <w:tcPr>
            <w:tcW w:w="318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23FFD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0.0000</w:t>
            </w:r>
          </w:p>
        </w:tc>
        <w:tc>
          <w:tcPr>
            <w:tcW w:w="1416"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1B1BF9" w14:textId="77777777" w:rsidR="00000000" w:rsidRPr="000C20C7" w:rsidRDefault="00000000">
            <w:pPr>
              <w:jc w:val="center"/>
              <w:rPr>
                <w:rFonts w:asciiTheme="majorBidi" w:hAnsiTheme="majorBidi" w:cstheme="majorBidi"/>
              </w:rPr>
            </w:pPr>
            <w:r w:rsidRPr="000C20C7">
              <w:rPr>
                <w:rFonts w:asciiTheme="majorBidi" w:hAnsiTheme="majorBidi" w:cstheme="majorBidi"/>
                <w:sz w:val="16"/>
                <w:szCs w:val="16"/>
              </w:rPr>
              <w:t>8</w:t>
            </w:r>
          </w:p>
        </w:tc>
      </w:tr>
    </w:tbl>
    <w:p w14:paraId="1F29C84A" w14:textId="77777777" w:rsidR="00000000" w:rsidRPr="000C20C7" w:rsidRDefault="00000000" w:rsidP="00D119CB">
      <w:pPr>
        <w:rPr>
          <w:rFonts w:asciiTheme="majorBidi" w:hAnsiTheme="majorBidi" w:cstheme="majorBidi"/>
          <w:sz w:val="36"/>
          <w:szCs w:val="36"/>
          <w:vertAlign w:val="superscript"/>
        </w:rPr>
      </w:pPr>
      <w:r w:rsidRPr="000C20C7">
        <w:rPr>
          <w:rFonts w:asciiTheme="majorBidi" w:hAnsiTheme="majorBidi" w:cstheme="majorBidi"/>
          <w:sz w:val="24"/>
          <w:szCs w:val="24"/>
          <w:vertAlign w:val="superscript"/>
        </w:rPr>
        <w:t>Mean normalized importance (scaled 0 to 1) averaged across all base models in which the feature was retained (minimum 3 models). Features ranked by descending mean importance. Abbreviations: CCI, Charlson comorbidity index; ED, emergency department; ICU, intensive care unit; LOS, length of stay; SDI, social deprivation index; SNF, skilled nursing facility.</w:t>
      </w:r>
    </w:p>
    <w:p w14:paraId="20F56EEA" w14:textId="77777777" w:rsidR="00000000" w:rsidRPr="000C20C7" w:rsidRDefault="00000000">
      <w:pPr>
        <w:rPr>
          <w:rFonts w:asciiTheme="majorBidi" w:hAnsiTheme="majorBidi" w:cstheme="majorBidi"/>
        </w:rPr>
      </w:pPr>
      <w:r w:rsidRPr="000C20C7">
        <w:rPr>
          <w:rFonts w:asciiTheme="majorBidi" w:hAnsiTheme="majorBidi" w:cstheme="majorBidi"/>
        </w:rPr>
        <w:br w:type="page"/>
      </w:r>
    </w:p>
    <w:p w14:paraId="02ACCB0C" w14:textId="77777777" w:rsidR="00000000" w:rsidRPr="000C20C7" w:rsidRDefault="00000000">
      <w:pPr>
        <w:spacing w:before="120" w:after="60"/>
        <w:rPr>
          <w:rFonts w:asciiTheme="majorBidi" w:hAnsiTheme="majorBidi" w:cstheme="majorBidi"/>
        </w:rPr>
      </w:pPr>
      <w:r w:rsidRPr="000C20C7">
        <w:rPr>
          <w:rFonts w:asciiTheme="majorBidi" w:hAnsiTheme="majorBidi" w:cstheme="majorBidi"/>
          <w:b/>
          <w:bCs/>
        </w:rPr>
        <w:lastRenderedPageBreak/>
        <w:t xml:space="preserve">Supplementary Table S8. </w:t>
      </w:r>
      <w:r w:rsidRPr="000C20C7">
        <w:rPr>
          <w:rFonts w:asciiTheme="majorBidi" w:hAnsiTheme="majorBidi" w:cstheme="majorBidi"/>
        </w:rPr>
        <w:t>Elastic Net Coefficient Vectors by CVD Category and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61"/>
        <w:gridCol w:w="3580"/>
        <w:gridCol w:w="3819"/>
      </w:tblGrid>
      <w:tr w:rsidR="00213DBE" w:rsidRPr="000C20C7" w14:paraId="382CD6C7" w14:textId="77777777" w:rsidTr="00D119CB">
        <w:tc>
          <w:tcPr>
            <w:tcW w:w="5311"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9F63C2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Feature</w:t>
            </w:r>
          </w:p>
        </w:tc>
        <w:tc>
          <w:tcPr>
            <w:tcW w:w="2655"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66DEE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Coefficient</w:t>
            </w:r>
          </w:p>
        </w:tc>
        <w:tc>
          <w:tcPr>
            <w:tcW w:w="2832" w:type="dxa"/>
            <w:tcBorders>
              <w:top w:val="single" w:sz="1" w:space="0" w:color="999999"/>
              <w:left w:val="single" w:sz="1" w:space="0" w:color="999999"/>
              <w:bottom w:val="single" w:sz="1" w:space="0" w:color="999999"/>
              <w:right w:val="single" w:sz="1" w:space="0" w:color="999999"/>
            </w:tcBorders>
            <w:shd w:val="clear" w:color="auto" w:fill="D5E8F0"/>
            <w:tcMar>
              <w:top w:w="40" w:type="dxa"/>
              <w:left w:w="80" w:type="dxa"/>
              <w:bottom w:w="40" w:type="dxa"/>
              <w:right w:w="80" w:type="dxa"/>
            </w:tcMar>
            <w:vAlign w:val="center"/>
          </w:tcPr>
          <w:p w14:paraId="325313D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bCs/>
                <w:sz w:val="16"/>
                <w:szCs w:val="16"/>
              </w:rPr>
              <w:t>Odds Ratio</w:t>
            </w:r>
          </w:p>
        </w:tc>
      </w:tr>
      <w:tr w:rsidR="00213DBE" w:rsidRPr="000C20C7" w14:paraId="2E100EBE"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2B38688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Heart Failure | unbalanced</w:t>
            </w:r>
          </w:p>
        </w:tc>
      </w:tr>
      <w:tr w:rsidR="00213DBE" w:rsidRPr="000C20C7" w14:paraId="233FB17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124BD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F54A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0.4458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24F7B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1.5618</w:t>
            </w:r>
          </w:p>
        </w:tc>
      </w:tr>
      <w:tr w:rsidR="00213DBE" w:rsidRPr="000C20C7" w14:paraId="119C914C"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87425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Obesity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0830D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-0.1194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455A0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0.8874</w:t>
            </w:r>
          </w:p>
        </w:tc>
      </w:tr>
      <w:tr w:rsidR="00213DBE" w:rsidRPr="000C20C7" w14:paraId="0B15E48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7ECBA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Drug Abuse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57A49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0.0768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5287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1.0798</w:t>
            </w:r>
          </w:p>
        </w:tc>
      </w:tr>
      <w:tr w:rsidR="00213DBE" w:rsidRPr="000C20C7" w14:paraId="4708467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EC36E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Other Neurological Disorder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040AE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0.0706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23DD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1.0731</w:t>
            </w:r>
          </w:p>
        </w:tc>
      </w:tr>
      <w:tr w:rsidR="00213DBE" w:rsidRPr="000C20C7" w14:paraId="42CFC1B9"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834FD8"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9ACF6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0.0337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14B77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1.0343</w:t>
            </w:r>
          </w:p>
        </w:tc>
      </w:tr>
      <w:tr w:rsidR="00213DBE" w:rsidRPr="000C20C7" w14:paraId="6B95F87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747C08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B1F19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0.0320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38DA23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1.0325</w:t>
            </w:r>
          </w:p>
        </w:tc>
      </w:tr>
      <w:tr w:rsidR="00213DBE" w:rsidRPr="000C20C7" w14:paraId="63E7373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68F1A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Congestive Heart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0C3F9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-0.0249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F0FB5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0.9754</w:t>
            </w:r>
          </w:p>
        </w:tc>
      </w:tr>
      <w:tr w:rsidR="00213DBE" w:rsidRPr="000C20C7" w14:paraId="16234DF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3ED19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FB4AB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0.0221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F6D7B6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1.0223</w:t>
            </w:r>
          </w:p>
        </w:tc>
      </w:tr>
      <w:tr w:rsidR="00213DBE" w:rsidRPr="000C20C7" w14:paraId="2BBC4CD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72139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Charlson Comorbidity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67013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0.0210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CA6880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1.0212</w:t>
            </w:r>
          </w:p>
        </w:tc>
      </w:tr>
      <w:tr w:rsidR="00213DBE" w:rsidRPr="000C20C7" w14:paraId="303F3B78"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DD33C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E17C79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-0.0197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518A9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0.9805</w:t>
            </w:r>
          </w:p>
        </w:tc>
      </w:tr>
      <w:tr w:rsidR="00213DBE" w:rsidRPr="000C20C7" w14:paraId="504D072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D9384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Renal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5188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0.0189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EC74E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1.0191</w:t>
            </w:r>
          </w:p>
        </w:tc>
      </w:tr>
      <w:tr w:rsidR="00213DBE" w:rsidRPr="000C20C7" w14:paraId="590CFDC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17A3B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F0100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0.0146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A2A12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1.0147</w:t>
            </w:r>
          </w:p>
        </w:tc>
      </w:tr>
      <w:tr w:rsidR="00213DBE" w:rsidRPr="000C20C7" w14:paraId="3711644F"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70A68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CVD Conditions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B0ED0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-0.0073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81B5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0.9927</w:t>
            </w:r>
          </w:p>
        </w:tc>
      </w:tr>
      <w:tr w:rsidR="00213DBE" w:rsidRPr="000C20C7" w14:paraId="34669D5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41EB1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van Walraven Elixhauser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E39FC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0.0026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755C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1.0026</w:t>
            </w:r>
          </w:p>
        </w:tc>
      </w:tr>
      <w:tr w:rsidR="00213DBE" w:rsidRPr="000C20C7" w14:paraId="71EF78F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AF7FE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Procedures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CAA4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-0.0022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18653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0.9978</w:t>
            </w:r>
          </w:p>
        </w:tc>
      </w:tr>
      <w:tr w:rsidR="00213DBE" w:rsidRPr="000C20C7" w14:paraId="0FD83442"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0AFFBBE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Heart Failure | balanced</w:t>
            </w:r>
          </w:p>
        </w:tc>
      </w:tr>
      <w:tr w:rsidR="00213DBE" w:rsidRPr="000C20C7" w14:paraId="17241A40"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59895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F5AAE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0.5793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A9A4C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1.7848</w:t>
            </w:r>
          </w:p>
        </w:tc>
      </w:tr>
      <w:tr w:rsidR="00213DBE" w:rsidRPr="000C20C7" w14:paraId="571A53A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0FD18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Obesity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E7194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-0.2160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C20A8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0.8057</w:t>
            </w:r>
          </w:p>
        </w:tc>
      </w:tr>
      <w:tr w:rsidR="00213DBE" w:rsidRPr="000C20C7" w14:paraId="321EAEA8"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08F90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Drug Abuse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45571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0.1495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2A918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1.1613</w:t>
            </w:r>
          </w:p>
        </w:tc>
      </w:tr>
      <w:tr w:rsidR="00213DBE" w:rsidRPr="000C20C7" w14:paraId="3243FC3C"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1F341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Other Neurological Disorder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1EB7D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0.1418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7E95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1.1524</w:t>
            </w:r>
          </w:p>
        </w:tc>
      </w:tr>
      <w:tr w:rsidR="00213DBE" w:rsidRPr="000C20C7" w14:paraId="0EA1D49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304B9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Congestive Heart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D07F6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-0.0798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B4580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0.9233</w:t>
            </w:r>
          </w:p>
        </w:tc>
      </w:tr>
      <w:tr w:rsidR="00213DBE" w:rsidRPr="000C20C7" w14:paraId="7BEBD51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64983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30522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0.0411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CC191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1.0419</w:t>
            </w:r>
          </w:p>
        </w:tc>
      </w:tr>
      <w:tr w:rsidR="00213DBE" w:rsidRPr="000C20C7" w14:paraId="6B15A83E"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5B64C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35AC1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0.0405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16BB2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1.0414</w:t>
            </w:r>
          </w:p>
        </w:tc>
      </w:tr>
      <w:tr w:rsidR="00213DBE" w:rsidRPr="000C20C7" w14:paraId="6079520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E448C3"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C82C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0.0404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638F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1.0412</w:t>
            </w:r>
          </w:p>
        </w:tc>
      </w:tr>
      <w:tr w:rsidR="00213DBE" w:rsidRPr="000C20C7" w14:paraId="18370634"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4D6AE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 &gt;= 75 years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0A0F6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-0.0401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FCED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0.9607</w:t>
            </w:r>
          </w:p>
        </w:tc>
      </w:tr>
      <w:tr w:rsidR="00213DBE" w:rsidRPr="000C20C7" w14:paraId="1611290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F5B22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CVD Conditions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BFB9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-0.0367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4A224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0.9640</w:t>
            </w:r>
          </w:p>
        </w:tc>
      </w:tr>
      <w:tr w:rsidR="00213DBE" w:rsidRPr="000C20C7" w14:paraId="774BA66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60A0E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50A8FB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-0.0362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3773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0.9645</w:t>
            </w:r>
          </w:p>
        </w:tc>
      </w:tr>
      <w:tr w:rsidR="00213DBE" w:rsidRPr="000C20C7" w14:paraId="74F143BC"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C3B717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Hospital Ownership</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7DD1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0.0332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EA70A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1.0337</w:t>
            </w:r>
          </w:p>
        </w:tc>
      </w:tr>
      <w:tr w:rsidR="00213DBE" w:rsidRPr="000C20C7" w14:paraId="2F87C56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C0678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Depression</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51678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0.0317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FEC2E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1.0322</w:t>
            </w:r>
          </w:p>
        </w:tc>
      </w:tr>
      <w:tr w:rsidR="00213DBE" w:rsidRPr="000C20C7" w14:paraId="15E3B1A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ACBDB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Charlson Comorbidity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BF6B8E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0.0281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210C5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1.0285</w:t>
            </w:r>
          </w:p>
        </w:tc>
      </w:tr>
      <w:tr w:rsidR="00213DBE" w:rsidRPr="000C20C7" w14:paraId="3A24171E"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2284F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Procedures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54E8C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-0.0267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71FDD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0.9737</w:t>
            </w:r>
          </w:p>
        </w:tc>
      </w:tr>
      <w:tr w:rsidR="00213DBE" w:rsidRPr="000C20C7" w14:paraId="5527DF0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97B6F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Renal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52C5C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0.0239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79FE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1.0242</w:t>
            </w:r>
          </w:p>
        </w:tc>
      </w:tr>
      <w:tr w:rsidR="00213DBE" w:rsidRPr="000C20C7" w14:paraId="2EFE2A7A"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A343D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Valvular Disease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6F63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-0.0125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5A6C6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0.9876</w:t>
            </w:r>
          </w:p>
        </w:tc>
      </w:tr>
      <w:tr w:rsidR="00213DBE" w:rsidRPr="000C20C7" w14:paraId="0E8AB04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B0497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lastRenderedPageBreak/>
              <w:t>Admission 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FFF89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0.0120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F134F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1.0121</w:t>
            </w:r>
          </w:p>
        </w:tc>
      </w:tr>
      <w:tr w:rsidR="00213DBE" w:rsidRPr="000C20C7" w14:paraId="14A84A6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99F3A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Cardiac Arrhythmia</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262A2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0.0106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D2C398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1.0107</w:t>
            </w:r>
          </w:p>
        </w:tc>
      </w:tr>
      <w:tr w:rsidR="00213DBE" w:rsidRPr="000C20C7" w14:paraId="444CDC09"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3A76F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Hospital Size (beds)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F34BC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-0.0083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B008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0.9918</w:t>
            </w:r>
          </w:p>
        </w:tc>
      </w:tr>
      <w:tr w:rsidR="00213DBE" w:rsidRPr="000C20C7" w14:paraId="41D0E2D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A20BC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van Walraven Elixhauser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AAA83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0.0045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003EE1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1.0045</w:t>
            </w:r>
          </w:p>
        </w:tc>
      </w:tr>
      <w:tr w:rsidR="00213DBE" w:rsidRPr="000C20C7" w14:paraId="220A188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9AEB5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Peripheral Vascular Disease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43E41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-0.0040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912A2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0.9960</w:t>
            </w:r>
          </w:p>
        </w:tc>
      </w:tr>
      <w:tr w:rsidR="00213DBE" w:rsidRPr="000C20C7" w14:paraId="351092B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5C5D5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Severity Score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A75D2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-0.0011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16C1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0.9989</w:t>
            </w:r>
          </w:p>
        </w:tc>
      </w:tr>
      <w:tr w:rsidR="00213DBE" w:rsidRPr="000C20C7" w14:paraId="0F8C938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D8546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Quarter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2B1E4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3482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0.9998</w:t>
            </w:r>
          </w:p>
        </w:tc>
      </w:tr>
      <w:tr w:rsidR="00213DBE" w:rsidRPr="000C20C7" w14:paraId="25B01AA9"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03791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Insurance Type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48DD7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64F8F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1.0000</w:t>
            </w:r>
          </w:p>
        </w:tc>
      </w:tr>
      <w:tr w:rsidR="00213DBE" w:rsidRPr="000C20C7" w14:paraId="2163A621"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6FFB93D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Atrial Fibrillation/Flutter | unbalanced</w:t>
            </w:r>
          </w:p>
        </w:tc>
      </w:tr>
      <w:tr w:rsidR="00213DBE" w:rsidRPr="000C20C7" w14:paraId="52E7562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6E8FFC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A858B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0.5113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5F666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1.6674</w:t>
            </w:r>
          </w:p>
        </w:tc>
      </w:tr>
      <w:tr w:rsidR="00213DBE" w:rsidRPr="000C20C7" w14:paraId="2EB8A68F"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E1EC5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359AD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0.0694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8198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1.0719</w:t>
            </w:r>
          </w:p>
        </w:tc>
      </w:tr>
      <w:tr w:rsidR="00213DBE" w:rsidRPr="000C20C7" w14:paraId="6AB5405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DA811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Severity Score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97DBB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0.0277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D620C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1.0281</w:t>
            </w:r>
          </w:p>
        </w:tc>
      </w:tr>
      <w:tr w:rsidR="00213DBE" w:rsidRPr="000C20C7" w14:paraId="6EFDE40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671808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Age-Adjusted Charlson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5D773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0.0212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B44D1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1.0214</w:t>
            </w:r>
          </w:p>
        </w:tc>
      </w:tr>
      <w:tr w:rsidR="00213DBE" w:rsidRPr="000C20C7" w14:paraId="54652ED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21289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1E4F0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0.0142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CA2E7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1.0143</w:t>
            </w:r>
          </w:p>
        </w:tc>
      </w:tr>
      <w:tr w:rsidR="00213DBE" w:rsidRPr="000C20C7" w14:paraId="6F24F93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C212D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van Walraven Elixhauser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59B92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0.0110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21722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1.0111</w:t>
            </w:r>
          </w:p>
        </w:tc>
      </w:tr>
      <w:tr w:rsidR="00213DBE" w:rsidRPr="000C20C7" w14:paraId="562E52C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7A866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83175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22B95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0.9997</w:t>
            </w:r>
          </w:p>
        </w:tc>
      </w:tr>
      <w:tr w:rsidR="00213DBE" w:rsidRPr="000C20C7" w14:paraId="4D301BB7"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4A2A209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Atrial Fibrillation/Flutter | balanced</w:t>
            </w:r>
          </w:p>
        </w:tc>
      </w:tr>
      <w:tr w:rsidR="00213DBE" w:rsidRPr="000C20C7" w14:paraId="2A59D354"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A4086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E452B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0.8939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45AF1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2.4446</w:t>
            </w:r>
          </w:p>
        </w:tc>
      </w:tr>
      <w:tr w:rsidR="00213DBE" w:rsidRPr="000C20C7" w14:paraId="63720C5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0D012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Severity Score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F2F60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0.2465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7D4A2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1.2795</w:t>
            </w:r>
          </w:p>
        </w:tc>
      </w:tr>
      <w:tr w:rsidR="00213DBE" w:rsidRPr="000C20C7" w14:paraId="2A983BA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50F7C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Teaching Status (Missing)</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3E0BF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-0.1970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5D126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0.8212</w:t>
            </w:r>
          </w:p>
        </w:tc>
      </w:tr>
      <w:tr w:rsidR="00213DBE" w:rsidRPr="000C20C7" w14:paraId="46BB3E9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D34888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Drug Abuse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65576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0.1562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D6565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1.1690</w:t>
            </w:r>
          </w:p>
        </w:tc>
      </w:tr>
      <w:tr w:rsidR="00213DBE" w:rsidRPr="000C20C7" w14:paraId="5336BD4E"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5D11C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Obesity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57FE0D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-0.1084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E1D1B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0.8973</w:t>
            </w:r>
          </w:p>
        </w:tc>
      </w:tr>
      <w:tr w:rsidR="00213DBE" w:rsidRPr="000C20C7" w14:paraId="41C3EC3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094E2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Length of Stay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07E87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0.0659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6DDCF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1.0682</w:t>
            </w:r>
          </w:p>
        </w:tc>
      </w:tr>
      <w:tr w:rsidR="00213DBE" w:rsidRPr="000C20C7" w14:paraId="506C95B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49E23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Insurance Type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77D82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0.0656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AB51C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1.0678</w:t>
            </w:r>
          </w:p>
        </w:tc>
      </w:tr>
      <w:tr w:rsidR="00213DBE" w:rsidRPr="000C20C7" w14:paraId="29C1C41C"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B821D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Age-Adjusted Charlson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F7DE5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0.0411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19C5B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1.0420</w:t>
            </w:r>
          </w:p>
        </w:tc>
      </w:tr>
      <w:tr w:rsidR="00213DBE" w:rsidRPr="000C20C7" w14:paraId="46960C5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8D317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AFDDD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-0.0406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DEC77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0.9602</w:t>
            </w:r>
          </w:p>
        </w:tc>
      </w:tr>
      <w:tr w:rsidR="00213DBE" w:rsidRPr="000C20C7" w14:paraId="53E64F9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63909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7ADB7E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0.0398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761A9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1.0406</w:t>
            </w:r>
          </w:p>
        </w:tc>
      </w:tr>
      <w:tr w:rsidR="00213DBE" w:rsidRPr="000C20C7" w14:paraId="5CD2FD4F"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587698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E869E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0.0298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33F1E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1.0303</w:t>
            </w:r>
          </w:p>
        </w:tc>
      </w:tr>
      <w:tr w:rsidR="00213DBE" w:rsidRPr="000C20C7" w14:paraId="578849B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4C9ED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CVD Conditions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772BA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-0.0286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D15A7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0.9718</w:t>
            </w:r>
          </w:p>
        </w:tc>
      </w:tr>
      <w:tr w:rsidR="00213DBE" w:rsidRPr="000C20C7" w14:paraId="7B644DB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7FE99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Charlson Comorbidity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030172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0.0250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F3E9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1.0253</w:t>
            </w:r>
          </w:p>
        </w:tc>
      </w:tr>
      <w:tr w:rsidR="00213DBE" w:rsidRPr="000C20C7" w14:paraId="57826989"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05AE4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Diabetes, Uncomplicated</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FAF8E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0.0248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2BE1C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1.0251</w:t>
            </w:r>
          </w:p>
        </w:tc>
      </w:tr>
      <w:tr w:rsidR="00213DBE" w:rsidRPr="000C20C7" w14:paraId="2186B229"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17947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Teaching Hospital</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A7A86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-0.0220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F4EF2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0.9782</w:t>
            </w:r>
          </w:p>
        </w:tc>
      </w:tr>
      <w:tr w:rsidR="00213DBE" w:rsidRPr="000C20C7" w14:paraId="7F08A32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6D9B6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Hypertension, Uncomplicated</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EF5CF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-0.0165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CF33F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0.9836</w:t>
            </w:r>
          </w:p>
        </w:tc>
      </w:tr>
      <w:tr w:rsidR="00213DBE" w:rsidRPr="000C20C7" w14:paraId="44613668"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68F48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van Walraven Elixhauser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78B5C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0.0163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E286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1.0165</w:t>
            </w:r>
          </w:p>
        </w:tc>
      </w:tr>
      <w:tr w:rsidR="00213DBE" w:rsidRPr="000C20C7" w14:paraId="3F0C2034"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0710AD9"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BA033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0.0141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A1A53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1.0142</w:t>
            </w:r>
          </w:p>
        </w:tc>
      </w:tr>
      <w:tr w:rsidR="00213DBE" w:rsidRPr="000C20C7" w14:paraId="13A65E4C"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3C45D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Coagulopathy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650A9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0.0061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89C70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1.0062</w:t>
            </w:r>
          </w:p>
        </w:tc>
      </w:tr>
      <w:tr w:rsidR="00213DBE" w:rsidRPr="000C20C7" w14:paraId="2CD4B78A"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7C46F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lastRenderedPageBreak/>
              <w:t>LACE: Acuity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BBB59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-0.0049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325A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0.9951</w:t>
            </w:r>
          </w:p>
        </w:tc>
      </w:tr>
      <w:tr w:rsidR="00213DBE" w:rsidRPr="000C20C7" w14:paraId="40DCA9E0"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91E82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Hospital Ownership</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83CA6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0.0031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F9A28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1.0031</w:t>
            </w:r>
          </w:p>
        </w:tc>
      </w:tr>
      <w:tr w:rsidR="00213DBE" w:rsidRPr="000C20C7" w14:paraId="1D69705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6DBCE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Female Sex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F4010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D7EB4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1.0009</w:t>
            </w:r>
          </w:p>
        </w:tc>
      </w:tr>
      <w:tr w:rsidR="00213DBE" w:rsidRPr="000C20C7" w14:paraId="66E6F4C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085F6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Charges ($)</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40AE0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-0.0000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16265C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1.0000</w:t>
            </w:r>
          </w:p>
        </w:tc>
      </w:tr>
      <w:tr w:rsidR="00213DBE" w:rsidRPr="000C20C7" w14:paraId="0A7C549F"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4548875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Acute Myocardial Infarction | unbalanced</w:t>
            </w:r>
          </w:p>
        </w:tc>
      </w:tr>
      <w:tr w:rsidR="00213DBE" w:rsidRPr="000C20C7" w14:paraId="03A3AF39"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C7069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54BC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0.2205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1DDC38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1.2466</w:t>
            </w:r>
          </w:p>
        </w:tc>
      </w:tr>
      <w:tr w:rsidR="00213DBE" w:rsidRPr="000C20C7" w14:paraId="42700B2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85DD9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93F44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0.1279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0F27A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1.1365</w:t>
            </w:r>
          </w:p>
        </w:tc>
      </w:tr>
      <w:tr w:rsidR="00213DBE" w:rsidRPr="000C20C7" w14:paraId="2821F89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69A65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Mortality Risk</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1E83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0.0972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BA3F7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1.1021</w:t>
            </w:r>
          </w:p>
        </w:tc>
      </w:tr>
      <w:tr w:rsidR="00213DBE" w:rsidRPr="000C20C7" w14:paraId="4F8CFE6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49DD5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Severity Score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BE414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0.0897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3DC253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1.0939</w:t>
            </w:r>
          </w:p>
        </w:tc>
      </w:tr>
      <w:tr w:rsidR="00213DBE" w:rsidRPr="000C20C7" w14:paraId="702A39D6"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F07C70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Length of Stay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6C023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0.0490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9D85F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1.0502</w:t>
            </w:r>
          </w:p>
        </w:tc>
      </w:tr>
      <w:tr w:rsidR="00213DBE" w:rsidRPr="000C20C7" w14:paraId="2879EBB0"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F9BB6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976E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0.0428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77300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1.0437</w:t>
            </w:r>
          </w:p>
        </w:tc>
      </w:tr>
      <w:tr w:rsidR="00213DBE" w:rsidRPr="000C20C7" w14:paraId="3388454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53776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Hypertension, Uncomplicated</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519B58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-0.0359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555AC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0.9647</w:t>
            </w:r>
          </w:p>
        </w:tc>
      </w:tr>
      <w:tr w:rsidR="00213DBE" w:rsidRPr="000C20C7" w14:paraId="7D3187F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D5BAF7"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723BD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0.0335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6F9EF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1.0341</w:t>
            </w:r>
          </w:p>
        </w:tc>
      </w:tr>
      <w:tr w:rsidR="00213DBE" w:rsidRPr="000C20C7" w14:paraId="02225696"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394D8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Female Sex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160A66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0.0314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DDE18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1.0319</w:t>
            </w:r>
          </w:p>
        </w:tc>
      </w:tr>
      <w:tr w:rsidR="00213DBE" w:rsidRPr="000C20C7" w14:paraId="34C9D8DE"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6057B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Renal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12BD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0.0247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03D33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1.0250</w:t>
            </w:r>
          </w:p>
        </w:tc>
      </w:tr>
      <w:tr w:rsidR="00213DBE" w:rsidRPr="000C20C7" w14:paraId="49AAAEC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917CD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Charlson Comorbidity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6FF74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0.0241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6F876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1.0244</w:t>
            </w:r>
          </w:p>
        </w:tc>
      </w:tr>
      <w:tr w:rsidR="00213DBE" w:rsidRPr="000C20C7" w14:paraId="6C81EC5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FF9D6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Age-Adjusted Charlson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471A9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0.0206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D4E5D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1.0208</w:t>
            </w:r>
          </w:p>
        </w:tc>
      </w:tr>
      <w:tr w:rsidR="00213DBE" w:rsidRPr="000C20C7" w14:paraId="2A2287CE"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54252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A227D3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0.0125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82AB9B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1.0126</w:t>
            </w:r>
          </w:p>
        </w:tc>
      </w:tr>
      <w:tr w:rsidR="00213DBE" w:rsidRPr="000C20C7" w14:paraId="6B3BCD68"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C0AEC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Obesity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FD999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-0.0111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FA81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0.9889</w:t>
            </w:r>
          </w:p>
        </w:tc>
      </w:tr>
      <w:tr w:rsidR="00213DBE" w:rsidRPr="000C20C7" w14:paraId="5222C21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43F20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AA1D3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-0.0079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2F92E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0.9921</w:t>
            </w:r>
          </w:p>
        </w:tc>
      </w:tr>
      <w:tr w:rsidR="00213DBE" w:rsidRPr="000C20C7" w14:paraId="069E4A3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7CCBF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Hypertension, Complicated</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A993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0.0064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9AEDB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1.0064</w:t>
            </w:r>
          </w:p>
        </w:tc>
      </w:tr>
      <w:tr w:rsidR="00213DBE" w:rsidRPr="000C20C7" w14:paraId="360CEC1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19102E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van Walraven Elixhauser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2A491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0.0049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842CF0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1.0049</w:t>
            </w:r>
          </w:p>
        </w:tc>
      </w:tr>
      <w:tr w:rsidR="00213DBE" w:rsidRPr="000C20C7" w14:paraId="31A25F74"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C9F49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Insurance Type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B819B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0.0029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BF86C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1.0029</w:t>
            </w:r>
          </w:p>
        </w:tc>
      </w:tr>
      <w:tr w:rsidR="00213DBE" w:rsidRPr="000C20C7" w14:paraId="53FF4DA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D34B2D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Procedures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9BDC9C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-0.0020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F3CCA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0.9980</w:t>
            </w:r>
          </w:p>
        </w:tc>
      </w:tr>
      <w:tr w:rsidR="00213DBE" w:rsidRPr="000C20C7" w14:paraId="5D607FEF"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52ECF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Congestive Heart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5A804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0.0015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F7D98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1.0015</w:t>
            </w:r>
          </w:p>
        </w:tc>
      </w:tr>
      <w:tr w:rsidR="00213DBE" w:rsidRPr="000C20C7" w14:paraId="044927ED"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5A18CBA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Acute Myocardial Infarction | balanced</w:t>
            </w:r>
          </w:p>
        </w:tc>
      </w:tr>
      <w:tr w:rsidR="00213DBE" w:rsidRPr="000C20C7" w14:paraId="4E1E24EA"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58D5E4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679A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0.4406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9CE58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1.5536</w:t>
            </w:r>
          </w:p>
        </w:tc>
      </w:tr>
      <w:tr w:rsidR="00213DBE" w:rsidRPr="000C20C7" w14:paraId="11492FC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7AF9C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Coagulopathy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CC254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-0.2578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7BFB9D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0.7728</w:t>
            </w:r>
          </w:p>
        </w:tc>
      </w:tr>
      <w:tr w:rsidR="00213DBE" w:rsidRPr="000C20C7" w14:paraId="466743A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BB4BB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Severity Score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F53DA6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0.2262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EEEB37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1.2539</w:t>
            </w:r>
          </w:p>
        </w:tc>
      </w:tr>
      <w:tr w:rsidR="00213DBE" w:rsidRPr="000C20C7" w14:paraId="471CA3F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9B47B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Obesity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1A2BF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-0.2213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915745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0.8015</w:t>
            </w:r>
          </w:p>
        </w:tc>
      </w:tr>
      <w:tr w:rsidR="00213DBE" w:rsidRPr="000C20C7" w14:paraId="553556F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CA1DE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EA20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0.1660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EBCD7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1.1805</w:t>
            </w:r>
          </w:p>
        </w:tc>
      </w:tr>
      <w:tr w:rsidR="00213DBE" w:rsidRPr="000C20C7" w14:paraId="7363FC44"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55552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Mortality Risk</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6B0D8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0.1622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961AE2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1.1761</w:t>
            </w:r>
          </w:p>
        </w:tc>
      </w:tr>
      <w:tr w:rsidR="00213DBE" w:rsidRPr="000C20C7" w14:paraId="3570C1B6"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D1A99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Hypertension, Uncomplicated</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63436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-0.1560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E1D4F1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0.8556</w:t>
            </w:r>
          </w:p>
        </w:tc>
      </w:tr>
      <w:tr w:rsidR="00213DBE" w:rsidRPr="000C20C7" w14:paraId="36B8BE6F"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C4231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Alcohol Abuse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83A14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0.1314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0CF95F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1.1404</w:t>
            </w:r>
          </w:p>
        </w:tc>
      </w:tr>
      <w:tr w:rsidR="00213DBE" w:rsidRPr="000C20C7" w14:paraId="454E076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6E676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Female Sex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82308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0.1275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38DE31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1.1360</w:t>
            </w:r>
          </w:p>
        </w:tc>
      </w:tr>
      <w:tr w:rsidR="00213DBE" w:rsidRPr="000C20C7" w14:paraId="3D575A4E"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7DF12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Length of Stay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39921A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0.1017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4AC341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1.1071</w:t>
            </w:r>
          </w:p>
        </w:tc>
      </w:tr>
      <w:tr w:rsidR="00213DBE" w:rsidRPr="000C20C7" w14:paraId="253F92E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30372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lastRenderedPageBreak/>
              <w:t>Deficiency Anemia</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3C0C4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0.0944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464E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1.0990</w:t>
            </w:r>
          </w:p>
        </w:tc>
      </w:tr>
      <w:tr w:rsidR="00213DBE" w:rsidRPr="000C20C7" w14:paraId="61290E7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F32CC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60A13C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0.0668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A6982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1.0691</w:t>
            </w:r>
          </w:p>
        </w:tc>
      </w:tr>
      <w:tr w:rsidR="00213DBE" w:rsidRPr="000C20C7" w14:paraId="0084B19A"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1C47A3"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F52DB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0.0635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AE7250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1.0656</w:t>
            </w:r>
          </w:p>
        </w:tc>
      </w:tr>
      <w:tr w:rsidR="00213DBE" w:rsidRPr="000C20C7" w14:paraId="46FA87EE"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9E009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Hospital Ownership</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88872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0.0607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B6C04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1.0626</w:t>
            </w:r>
          </w:p>
        </w:tc>
      </w:tr>
      <w:tr w:rsidR="00213DBE" w:rsidRPr="000C20C7" w14:paraId="14E5B02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3D9B24"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Hospital Size (beds)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757A3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-0.0492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7DE440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0.9520</w:t>
            </w:r>
          </w:p>
        </w:tc>
      </w:tr>
      <w:tr w:rsidR="00213DBE" w:rsidRPr="000C20C7" w14:paraId="51626BA6"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A333D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Chronic Pulmonary Disease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0976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0.0407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0142F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1.0415</w:t>
            </w:r>
          </w:p>
        </w:tc>
      </w:tr>
      <w:tr w:rsidR="00213DBE" w:rsidRPr="000C20C7" w14:paraId="5145484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C88FD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443822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-0.0387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CE4D17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0.9620</w:t>
            </w:r>
          </w:p>
        </w:tc>
      </w:tr>
      <w:tr w:rsidR="00213DBE" w:rsidRPr="000C20C7" w14:paraId="4F303D7F"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9F1C70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Insurance Type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B6CE9B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0.0383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5049E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1.0390</w:t>
            </w:r>
          </w:p>
        </w:tc>
      </w:tr>
      <w:tr w:rsidR="00213DBE" w:rsidRPr="000C20C7" w14:paraId="1D4A95E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8B4006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Acuity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809C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-0.0381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096A9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0.9626</w:t>
            </w:r>
          </w:p>
        </w:tc>
      </w:tr>
      <w:tr w:rsidR="00213DBE" w:rsidRPr="000C20C7" w14:paraId="52C24BF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1653BD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Procedures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B5BC8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-0.0303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0DCEC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0.9702</w:t>
            </w:r>
          </w:p>
        </w:tc>
      </w:tr>
      <w:tr w:rsidR="00213DBE" w:rsidRPr="000C20C7" w14:paraId="407C11A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2E8E18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Other Neurological Disorder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B20C49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-0.0272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323D3A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0.9732</w:t>
            </w:r>
          </w:p>
        </w:tc>
      </w:tr>
      <w:tr w:rsidR="00213DBE" w:rsidRPr="000C20C7" w14:paraId="1BD4A23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2BEE97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108A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0.0258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292911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1.0261</w:t>
            </w:r>
          </w:p>
        </w:tc>
      </w:tr>
      <w:tr w:rsidR="00213DBE" w:rsidRPr="000C20C7" w14:paraId="6946231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5F7AF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Drug Abuse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4FDE4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0.0237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236E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1.0239</w:t>
            </w:r>
          </w:p>
        </w:tc>
      </w:tr>
      <w:tr w:rsidR="00213DBE" w:rsidRPr="000C20C7" w14:paraId="5451819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2BDF1E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Depression</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BF68AC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0.0178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37D0C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1.0180</w:t>
            </w:r>
          </w:p>
        </w:tc>
      </w:tr>
      <w:tr w:rsidR="00213DBE" w:rsidRPr="000C20C7" w14:paraId="6B83F38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5E55E23"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Fluid and Electrolyte Disorder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594E3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0.0174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1A643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1.0176</w:t>
            </w:r>
          </w:p>
        </w:tc>
      </w:tr>
      <w:tr w:rsidR="00213DBE" w:rsidRPr="000C20C7" w14:paraId="2C5ACE49"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21DEC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Charlson Comorbidity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6B56D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0.0165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EEA5C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1.0167</w:t>
            </w:r>
          </w:p>
        </w:tc>
      </w:tr>
      <w:tr w:rsidR="00213DBE" w:rsidRPr="000C20C7" w14:paraId="2CEF278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A89E3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Age-Adjusted Charlson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9C95ED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0.0151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48624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1.0152</w:t>
            </w:r>
          </w:p>
        </w:tc>
      </w:tr>
      <w:tr w:rsidR="00213DBE" w:rsidRPr="000C20C7" w14:paraId="747E020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DCBD81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Peripheral Vascular Disease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2E65E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0.0105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07AC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1.0106</w:t>
            </w:r>
          </w:p>
        </w:tc>
      </w:tr>
      <w:tr w:rsidR="00213DBE" w:rsidRPr="000C20C7" w14:paraId="22056817"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2121A00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Hypertensive Heart Disease | unbalanced</w:t>
            </w:r>
          </w:p>
        </w:tc>
      </w:tr>
      <w:tr w:rsidR="00213DBE" w:rsidRPr="000C20C7" w14:paraId="5C88FBE0"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7706A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5464B3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0.5641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C173E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1.7578</w:t>
            </w:r>
          </w:p>
        </w:tc>
      </w:tr>
      <w:tr w:rsidR="00213DBE" w:rsidRPr="000C20C7" w14:paraId="3FDB006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E33A3B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E1D113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0.0798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2AC5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1.0830</w:t>
            </w:r>
          </w:p>
        </w:tc>
      </w:tr>
      <w:tr w:rsidR="00213DBE" w:rsidRPr="000C20C7" w14:paraId="1B55E65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FAC2E8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822EE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0.0205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4E851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1.0207</w:t>
            </w:r>
          </w:p>
        </w:tc>
      </w:tr>
      <w:tr w:rsidR="00213DBE" w:rsidRPr="000C20C7" w14:paraId="28F78685"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97300B5"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BEEFCD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0.0103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A65A85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1.0104</w:t>
            </w:r>
          </w:p>
        </w:tc>
      </w:tr>
      <w:tr w:rsidR="00213DBE" w:rsidRPr="000C20C7" w14:paraId="49692EB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F0544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DE68A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0.0047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F61E3B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1.0047</w:t>
            </w:r>
          </w:p>
        </w:tc>
      </w:tr>
      <w:tr w:rsidR="00213DBE" w:rsidRPr="000C20C7" w14:paraId="27609654" w14:textId="77777777" w:rsidTr="00D119CB">
        <w:tc>
          <w:tcPr>
            <w:tcW w:w="10798" w:type="dxa"/>
            <w:gridSpan w:val="3"/>
            <w:tcBorders>
              <w:top w:val="single" w:sz="1" w:space="0" w:color="999999"/>
              <w:left w:val="single" w:sz="1" w:space="0" w:color="999999"/>
              <w:bottom w:val="single" w:sz="1" w:space="0" w:color="999999"/>
              <w:right w:val="single" w:sz="1" w:space="0" w:color="999999"/>
            </w:tcBorders>
            <w:shd w:val="clear" w:color="auto" w:fill="E8E8E8"/>
            <w:tcMar>
              <w:top w:w="40" w:type="dxa"/>
              <w:left w:w="80" w:type="dxa"/>
              <w:bottom w:w="40" w:type="dxa"/>
              <w:right w:w="80" w:type="dxa"/>
            </w:tcMar>
          </w:tcPr>
          <w:p w14:paraId="63329A9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b/>
                <w:bCs/>
                <w:sz w:val="16"/>
                <w:szCs w:val="16"/>
              </w:rPr>
              <w:t>Hypertensive Heart Disease | balanced</w:t>
            </w:r>
          </w:p>
        </w:tc>
      </w:tr>
      <w:tr w:rsidR="00213DBE" w:rsidRPr="000C20C7" w14:paraId="0552BF5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F73CC5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ED Visits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872E57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0.9976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D916F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2.7116</w:t>
            </w:r>
          </w:p>
        </w:tc>
      </w:tr>
      <w:tr w:rsidR="00213DBE" w:rsidRPr="000C20C7" w14:paraId="77B424D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2829277"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Teaching Status (Missing)</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639CB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0.9589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249790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2.6087</w:t>
            </w:r>
          </w:p>
        </w:tc>
      </w:tr>
      <w:tr w:rsidR="00213DBE" w:rsidRPr="000C20C7" w14:paraId="368B4C9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4F6CB4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Depression</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AE289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0.3150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BAA65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1.3702</w:t>
            </w:r>
          </w:p>
        </w:tc>
      </w:tr>
      <w:tr w:rsidR="00213DBE" w:rsidRPr="000C20C7" w14:paraId="18709210"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906FF2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Obesity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C762B2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-0.2921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C62E17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0.7467</w:t>
            </w:r>
          </w:p>
        </w:tc>
      </w:tr>
      <w:tr w:rsidR="00213DBE" w:rsidRPr="000C20C7" w14:paraId="2B624F7A"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A01EA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Coagulopathy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6C4679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0.1205</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7C63E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1.1281</w:t>
            </w:r>
          </w:p>
        </w:tc>
      </w:tr>
      <w:tr w:rsidR="00213DBE" w:rsidRPr="000C20C7" w14:paraId="282B073F"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58FBB3B"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Other Neurological Disorder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60EC45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0.1013</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F8E10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1.1066</w:t>
            </w:r>
          </w:p>
        </w:tc>
      </w:tr>
      <w:tr w:rsidR="00213DBE" w:rsidRPr="000C20C7" w14:paraId="13D4996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C1BE8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Valvular Disease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4B5FA5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-0.0958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45173C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0.9086</w:t>
            </w:r>
          </w:p>
        </w:tc>
      </w:tr>
      <w:tr w:rsidR="00213DBE" w:rsidRPr="000C20C7" w14:paraId="35CFB58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E0CD529"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Index (0-19)</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D5A653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0.0777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E9578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1.0808</w:t>
            </w:r>
          </w:p>
        </w:tc>
      </w:tr>
      <w:tr w:rsidR="00213DBE" w:rsidRPr="000C20C7" w14:paraId="33A44D0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C72D938"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LACE: Acuity</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0444D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-0.0749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D28E2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0.9279</w:t>
            </w:r>
          </w:p>
        </w:tc>
      </w:tr>
      <w:tr w:rsidR="00213DBE" w:rsidRPr="000C20C7" w14:paraId="4FC4440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12BDDBC"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Fluid and Electrolyte Disorder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AE6471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0.0549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F43313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1.0565</w:t>
            </w:r>
          </w:p>
        </w:tc>
      </w:tr>
      <w:tr w:rsidR="00213DBE" w:rsidRPr="000C20C7" w14:paraId="32B8828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77399BD"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CVD Mortality Risk</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8DDBA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0.0531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D49C93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1.0545</w:t>
            </w:r>
          </w:p>
        </w:tc>
      </w:tr>
      <w:tr w:rsidR="00213DBE" w:rsidRPr="000C20C7" w14:paraId="67AEDF3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74E03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lastRenderedPageBreak/>
              <w:t>Total Diagnoses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CB8A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0.0499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9BCA5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1.0512</w:t>
            </w:r>
          </w:p>
        </w:tc>
      </w:tr>
      <w:tr w:rsidR="00213DBE" w:rsidRPr="000C20C7" w14:paraId="1C0A2FF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AB56EB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Congestive Heart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D65050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-0.0440</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77E86E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0.9570</w:t>
            </w:r>
          </w:p>
        </w:tc>
      </w:tr>
      <w:tr w:rsidR="00213DBE" w:rsidRPr="000C20C7" w14:paraId="68809A4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DDE438F" w14:textId="77777777" w:rsidR="00000000" w:rsidRPr="000C20C7" w:rsidRDefault="00000000" w:rsidP="00672B5F">
            <w:pPr>
              <w:spacing w:after="0"/>
              <w:rPr>
                <w:rFonts w:asciiTheme="majorBidi" w:hAnsiTheme="majorBidi" w:cstheme="majorBidi"/>
              </w:rPr>
            </w:pPr>
            <w:proofErr w:type="spellStart"/>
            <w:r w:rsidRPr="000C20C7">
              <w:rPr>
                <w:rFonts w:asciiTheme="majorBidi" w:hAnsiTheme="majorBidi" w:cstheme="majorBidi"/>
                <w:sz w:val="16"/>
                <w:szCs w:val="16"/>
              </w:rPr>
              <w:t>Elixhauser</w:t>
            </w:r>
            <w:proofErr w:type="spellEnd"/>
            <w:r w:rsidRPr="000C20C7">
              <w:rPr>
                <w:rFonts w:asciiTheme="majorBidi" w:hAnsiTheme="majorBidi" w:cstheme="majorBidi"/>
                <w:sz w:val="16"/>
                <w:szCs w:val="16"/>
              </w:rPr>
              <w:t xml:space="preserve"> Comorbidity Count</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2D2AD5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0.0424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5023F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1.0433</w:t>
            </w:r>
          </w:p>
        </w:tc>
      </w:tr>
      <w:tr w:rsidR="00213DBE" w:rsidRPr="000C20C7" w14:paraId="301447F0"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8AAECE2"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Drug Abuse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04E6D3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0.0387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BC001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1.0395</w:t>
            </w:r>
          </w:p>
        </w:tc>
      </w:tr>
      <w:tr w:rsidR="00213DBE" w:rsidRPr="000C20C7" w14:paraId="34999CE1"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5189510"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Renal Failure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B1B363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0.0317</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DFCC18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1.0323</w:t>
            </w:r>
          </w:p>
        </w:tc>
      </w:tr>
      <w:tr w:rsidR="00213DBE" w:rsidRPr="000C20C7" w14:paraId="0AE95123"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424441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Admission Year</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553D2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-0.0239</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719269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0.9764</w:t>
            </w:r>
          </w:p>
        </w:tc>
      </w:tr>
      <w:tr w:rsidR="00213DBE" w:rsidRPr="000C20C7" w14:paraId="603DAADB"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3DA51A1"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Charlson Comorbidity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97A63E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0.0192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4756992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1.0194</w:t>
            </w:r>
          </w:p>
        </w:tc>
      </w:tr>
      <w:tr w:rsidR="00213DBE" w:rsidRPr="000C20C7" w14:paraId="5DA4D858"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8D076EA"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Insurance Type</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06EC34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0.0181</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44748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1.0183</w:t>
            </w:r>
          </w:p>
        </w:tc>
      </w:tr>
      <w:tr w:rsidR="00213DBE" w:rsidRPr="000C20C7" w14:paraId="1A926A02"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180C80D6"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Hypertension, Uncomplicated</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2B7558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-0.0158</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E59EA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0.9843</w:t>
            </w:r>
          </w:p>
        </w:tc>
      </w:tr>
      <w:tr w:rsidR="00213DBE" w:rsidRPr="000C20C7" w14:paraId="6DBCCC54"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DF9A1E5"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CVD Conditions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6CC4BFD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-0.0096</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530123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0.9904</w:t>
            </w:r>
          </w:p>
        </w:tc>
      </w:tr>
      <w:tr w:rsidR="00213DBE" w:rsidRPr="000C20C7" w14:paraId="72869C5D"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F7ADFE"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Total Procedures</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7EDAF6A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0.0024</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35A84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1.0024</w:t>
            </w:r>
          </w:p>
        </w:tc>
      </w:tr>
      <w:tr w:rsidR="00213DBE" w:rsidRPr="000C20C7" w14:paraId="3B20FE67" w14:textId="77777777" w:rsidTr="00D119CB">
        <w:tc>
          <w:tcPr>
            <w:tcW w:w="5311"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3129886F" w14:textId="77777777" w:rsidR="00000000" w:rsidRPr="000C20C7" w:rsidRDefault="00000000" w:rsidP="00672B5F">
            <w:pPr>
              <w:spacing w:after="0"/>
              <w:rPr>
                <w:rFonts w:asciiTheme="majorBidi" w:hAnsiTheme="majorBidi" w:cstheme="majorBidi"/>
              </w:rPr>
            </w:pPr>
            <w:r w:rsidRPr="000C20C7">
              <w:rPr>
                <w:rFonts w:asciiTheme="majorBidi" w:hAnsiTheme="majorBidi" w:cstheme="majorBidi"/>
                <w:sz w:val="16"/>
                <w:szCs w:val="16"/>
              </w:rPr>
              <w:t>Age-Adjusted Charlson Index</w:t>
            </w:r>
          </w:p>
        </w:tc>
        <w:tc>
          <w:tcPr>
            <w:tcW w:w="2655"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2163CC7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0.0022</w:t>
            </w:r>
          </w:p>
        </w:tc>
        <w:tc>
          <w:tcPr>
            <w:tcW w:w="2832" w:type="dxa"/>
            <w:tcBorders>
              <w:top w:val="single" w:sz="1" w:space="0" w:color="999999"/>
              <w:left w:val="single" w:sz="1" w:space="0" w:color="999999"/>
              <w:bottom w:val="single" w:sz="1" w:space="0" w:color="999999"/>
              <w:right w:val="single" w:sz="1" w:space="0" w:color="999999"/>
            </w:tcBorders>
            <w:tcMar>
              <w:top w:w="40" w:type="dxa"/>
              <w:left w:w="80" w:type="dxa"/>
              <w:bottom w:w="40" w:type="dxa"/>
              <w:right w:w="80" w:type="dxa"/>
            </w:tcMar>
          </w:tcPr>
          <w:p w14:paraId="0CA899C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szCs w:val="16"/>
              </w:rPr>
              <w:t>1.0023</w:t>
            </w:r>
          </w:p>
        </w:tc>
      </w:tr>
    </w:tbl>
    <w:p w14:paraId="7BCC8058" w14:textId="77777777" w:rsidR="00000000" w:rsidRPr="000C20C7" w:rsidRDefault="00000000">
      <w:pPr>
        <w:spacing w:before="40"/>
        <w:rPr>
          <w:rFonts w:asciiTheme="majorBidi" w:hAnsiTheme="majorBidi" w:cstheme="majorBidi"/>
          <w:sz w:val="36"/>
          <w:szCs w:val="36"/>
          <w:vertAlign w:val="superscript"/>
        </w:rPr>
      </w:pPr>
      <w:r w:rsidRPr="000C20C7">
        <w:rPr>
          <w:rFonts w:asciiTheme="majorBidi" w:hAnsiTheme="majorBidi" w:cstheme="majorBidi"/>
          <w:sz w:val="24"/>
          <w:szCs w:val="24"/>
          <w:vertAlign w:val="superscript"/>
        </w:rPr>
        <w:t xml:space="preserve">Non-zero elastic net coefficients with regularization parameter lambda selected by the one-standard-error rule. Coefficients enable exact reproduction of predicted probabilities: log-odds(readmission) = intercept + </w:t>
      </w:r>
      <w:proofErr w:type="gramStart"/>
      <w:r w:rsidRPr="000C20C7">
        <w:rPr>
          <w:rFonts w:asciiTheme="majorBidi" w:hAnsiTheme="majorBidi" w:cstheme="majorBidi"/>
          <w:sz w:val="24"/>
          <w:szCs w:val="24"/>
          <w:vertAlign w:val="superscript"/>
        </w:rPr>
        <w:t>sum(</w:t>
      </w:r>
      <w:proofErr w:type="spellStart"/>
      <w:proofErr w:type="gramEnd"/>
      <w:r w:rsidRPr="000C20C7">
        <w:rPr>
          <w:rFonts w:asciiTheme="majorBidi" w:hAnsiTheme="majorBidi" w:cstheme="majorBidi"/>
          <w:sz w:val="24"/>
          <w:szCs w:val="24"/>
          <w:vertAlign w:val="superscript"/>
        </w:rPr>
        <w:t>beta_j</w:t>
      </w:r>
      <w:proofErr w:type="spellEnd"/>
      <w:r w:rsidRPr="000C20C7">
        <w:rPr>
          <w:rFonts w:asciiTheme="majorBidi" w:hAnsiTheme="majorBidi" w:cstheme="majorBidi"/>
          <w:sz w:val="24"/>
          <w:szCs w:val="24"/>
          <w:vertAlign w:val="superscript"/>
        </w:rPr>
        <w:t xml:space="preserve"> * </w:t>
      </w:r>
      <w:proofErr w:type="spellStart"/>
      <w:r w:rsidRPr="000C20C7">
        <w:rPr>
          <w:rFonts w:asciiTheme="majorBidi" w:hAnsiTheme="majorBidi" w:cstheme="majorBidi"/>
          <w:sz w:val="24"/>
          <w:szCs w:val="24"/>
          <w:vertAlign w:val="superscript"/>
        </w:rPr>
        <w:t>x_j</w:t>
      </w:r>
      <w:proofErr w:type="spellEnd"/>
      <w:r w:rsidRPr="000C20C7">
        <w:rPr>
          <w:rFonts w:asciiTheme="majorBidi" w:hAnsiTheme="majorBidi" w:cstheme="majorBidi"/>
          <w:sz w:val="24"/>
          <w:szCs w:val="24"/>
          <w:vertAlign w:val="superscript"/>
        </w:rPr>
        <w:t xml:space="preserve">). Odds ratios represent exp(coefficient). Abbreviations: Bal, SMOTE-balanced configuration; CVD, cardiovascular disease; </w:t>
      </w:r>
      <w:proofErr w:type="gramStart"/>
      <w:r w:rsidRPr="000C20C7">
        <w:rPr>
          <w:rFonts w:asciiTheme="majorBidi" w:hAnsiTheme="majorBidi" w:cstheme="majorBidi"/>
          <w:sz w:val="24"/>
          <w:szCs w:val="24"/>
          <w:vertAlign w:val="superscript"/>
        </w:rPr>
        <w:t>OR,</w:t>
      </w:r>
      <w:proofErr w:type="gramEnd"/>
      <w:r w:rsidRPr="000C20C7">
        <w:rPr>
          <w:rFonts w:asciiTheme="majorBidi" w:hAnsiTheme="majorBidi" w:cstheme="majorBidi"/>
          <w:sz w:val="24"/>
          <w:szCs w:val="24"/>
          <w:vertAlign w:val="superscript"/>
        </w:rPr>
        <w:t xml:space="preserve"> odds ratio; SMOTE, synthetic minority oversampling technique; </w:t>
      </w:r>
      <w:proofErr w:type="spellStart"/>
      <w:r w:rsidRPr="000C20C7">
        <w:rPr>
          <w:rFonts w:asciiTheme="majorBidi" w:hAnsiTheme="majorBidi" w:cstheme="majorBidi"/>
          <w:sz w:val="24"/>
          <w:szCs w:val="24"/>
          <w:vertAlign w:val="superscript"/>
        </w:rPr>
        <w:t>Unbal</w:t>
      </w:r>
      <w:proofErr w:type="spellEnd"/>
      <w:r w:rsidRPr="000C20C7">
        <w:rPr>
          <w:rFonts w:asciiTheme="majorBidi" w:hAnsiTheme="majorBidi" w:cstheme="majorBidi"/>
          <w:sz w:val="24"/>
          <w:szCs w:val="24"/>
          <w:vertAlign w:val="superscript"/>
        </w:rPr>
        <w:t>, unbalanced configuration with class weights. Note: Because 30-day readmission rates exceed 10% in all CVD categories, odds ratios from logistic-scale coefficients should not be interpreted as relative risks. An OR of 1.5 does not indicate 50% higher risk when the outcome is common; consult the calibr</w:t>
      </w:r>
      <w:r w:rsidRPr="000C20C7">
        <w:rPr>
          <w:rFonts w:asciiTheme="majorBidi" w:hAnsiTheme="majorBidi" w:cstheme="majorBidi"/>
          <w:sz w:val="24"/>
          <w:szCs w:val="24"/>
          <w:vertAlign w:val="superscript"/>
        </w:rPr>
        <w:t>ation analysis (Figure 4) for absolute risk interpretation.</w:t>
      </w:r>
    </w:p>
    <w:p w14:paraId="6F64A262" w14:textId="77777777" w:rsidR="00000000" w:rsidRPr="000C20C7" w:rsidRDefault="00000000">
      <w:pPr>
        <w:rPr>
          <w:rFonts w:asciiTheme="majorBidi" w:hAnsiTheme="majorBidi" w:cstheme="majorBidi"/>
        </w:rPr>
      </w:pPr>
    </w:p>
    <w:p w14:paraId="5564E413" w14:textId="77777777" w:rsidR="00672B5F" w:rsidRDefault="00672B5F">
      <w:pPr>
        <w:rPr>
          <w:rFonts w:asciiTheme="majorBidi" w:hAnsiTheme="majorBidi" w:cstheme="majorBidi"/>
          <w:b/>
        </w:rPr>
      </w:pPr>
      <w:r>
        <w:rPr>
          <w:rFonts w:asciiTheme="majorBidi" w:hAnsiTheme="majorBidi" w:cstheme="majorBidi"/>
          <w:b/>
        </w:rPr>
        <w:br w:type="page"/>
      </w:r>
    </w:p>
    <w:p w14:paraId="02B67188" w14:textId="16BFC13C" w:rsidR="00000000" w:rsidRPr="000C20C7" w:rsidRDefault="00000000" w:rsidP="000C20C7">
      <w:pPr>
        <w:rPr>
          <w:rFonts w:asciiTheme="majorBidi" w:hAnsiTheme="majorBidi" w:cstheme="majorBidi"/>
        </w:rPr>
      </w:pPr>
      <w:r w:rsidRPr="000C20C7">
        <w:rPr>
          <w:rFonts w:asciiTheme="majorBidi" w:hAnsiTheme="majorBidi" w:cstheme="majorBidi"/>
          <w:b/>
        </w:rPr>
        <w:lastRenderedPageBreak/>
        <w:t>Supplementary Table S9. Sensitivity and Specificity Tradeoffs Between Balanced (SMOTE) and Unbalanced Dataset Configurations.</w:t>
      </w:r>
    </w:p>
    <w:p w14:paraId="2C2E1F7C" w14:textId="77777777" w:rsidR="00000000" w:rsidRPr="000C20C7" w:rsidRDefault="00000000" w:rsidP="000C20C7">
      <w:pPr>
        <w:rPr>
          <w:rFonts w:asciiTheme="majorBidi" w:hAnsiTheme="majorBidi" w:cstheme="majorBidi"/>
        </w:rPr>
      </w:pPr>
    </w:p>
    <w:tbl>
      <w:tblPr>
        <w:tblW w:w="11071" w:type="dxa"/>
        <w:jc w:val="center"/>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1705"/>
        <w:gridCol w:w="1350"/>
        <w:gridCol w:w="588"/>
        <w:gridCol w:w="582"/>
        <w:gridCol w:w="630"/>
        <w:gridCol w:w="607"/>
        <w:gridCol w:w="576"/>
        <w:gridCol w:w="711"/>
        <w:gridCol w:w="711"/>
        <w:gridCol w:w="711"/>
        <w:gridCol w:w="711"/>
        <w:gridCol w:w="711"/>
        <w:gridCol w:w="739"/>
        <w:gridCol w:w="739"/>
      </w:tblGrid>
      <w:tr w:rsidR="000C20C7" w:rsidRPr="000C20C7" w14:paraId="7AAEE8E3" w14:textId="77777777" w:rsidTr="00F04156">
        <w:trPr>
          <w:jc w:val="center"/>
        </w:trPr>
        <w:tc>
          <w:tcPr>
            <w:tcW w:w="1705" w:type="dxa"/>
            <w:shd w:val="clear" w:color="auto" w:fill="E1EBF7" w:themeFill="text2" w:themeFillTint="1A"/>
          </w:tcPr>
          <w:p w14:paraId="007AB0E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CVD Category</w:t>
            </w:r>
          </w:p>
        </w:tc>
        <w:tc>
          <w:tcPr>
            <w:tcW w:w="1350" w:type="dxa"/>
            <w:shd w:val="clear" w:color="auto" w:fill="E1EBF7" w:themeFill="text2" w:themeFillTint="1A"/>
          </w:tcPr>
          <w:p w14:paraId="7DE1DBD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Event</w:t>
            </w:r>
            <w:r w:rsidRPr="000C20C7">
              <w:rPr>
                <w:rFonts w:asciiTheme="majorBidi" w:hAnsiTheme="majorBidi" w:cstheme="majorBidi"/>
                <w:b/>
                <w:sz w:val="16"/>
              </w:rPr>
              <w:br/>
              <w:t>Rate</w:t>
            </w:r>
          </w:p>
        </w:tc>
        <w:tc>
          <w:tcPr>
            <w:tcW w:w="588" w:type="dxa"/>
            <w:shd w:val="clear" w:color="auto" w:fill="E1EBF7" w:themeFill="text2" w:themeFillTint="1A"/>
          </w:tcPr>
          <w:p w14:paraId="5CBAE6D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AUC</w:t>
            </w:r>
          </w:p>
        </w:tc>
        <w:tc>
          <w:tcPr>
            <w:tcW w:w="582" w:type="dxa"/>
            <w:shd w:val="clear" w:color="auto" w:fill="E1EBF7" w:themeFill="text2" w:themeFillTint="1A"/>
          </w:tcPr>
          <w:p w14:paraId="0936027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Sens</w:t>
            </w:r>
          </w:p>
        </w:tc>
        <w:tc>
          <w:tcPr>
            <w:tcW w:w="630" w:type="dxa"/>
            <w:shd w:val="clear" w:color="auto" w:fill="E1EBF7" w:themeFill="text2" w:themeFillTint="1A"/>
          </w:tcPr>
          <w:p w14:paraId="7808A86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Spec</w:t>
            </w:r>
          </w:p>
        </w:tc>
        <w:tc>
          <w:tcPr>
            <w:tcW w:w="607" w:type="dxa"/>
            <w:shd w:val="clear" w:color="auto" w:fill="E1EBF7" w:themeFill="text2" w:themeFillTint="1A"/>
          </w:tcPr>
          <w:p w14:paraId="7F3255B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PPV</w:t>
            </w:r>
          </w:p>
        </w:tc>
        <w:tc>
          <w:tcPr>
            <w:tcW w:w="576" w:type="dxa"/>
            <w:shd w:val="clear" w:color="auto" w:fill="E1EBF7" w:themeFill="text2" w:themeFillTint="1A"/>
          </w:tcPr>
          <w:p w14:paraId="490EE13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NPV</w:t>
            </w:r>
          </w:p>
        </w:tc>
        <w:tc>
          <w:tcPr>
            <w:tcW w:w="711" w:type="dxa"/>
            <w:shd w:val="clear" w:color="auto" w:fill="E1EBF7" w:themeFill="text2" w:themeFillTint="1A"/>
          </w:tcPr>
          <w:p w14:paraId="5AE1BF9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AUC</w:t>
            </w:r>
          </w:p>
        </w:tc>
        <w:tc>
          <w:tcPr>
            <w:tcW w:w="711" w:type="dxa"/>
            <w:shd w:val="clear" w:color="auto" w:fill="E1EBF7" w:themeFill="text2" w:themeFillTint="1A"/>
          </w:tcPr>
          <w:p w14:paraId="217FAC7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Sens</w:t>
            </w:r>
          </w:p>
        </w:tc>
        <w:tc>
          <w:tcPr>
            <w:tcW w:w="711" w:type="dxa"/>
            <w:shd w:val="clear" w:color="auto" w:fill="E1EBF7" w:themeFill="text2" w:themeFillTint="1A"/>
          </w:tcPr>
          <w:p w14:paraId="3A083C4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Spec</w:t>
            </w:r>
          </w:p>
        </w:tc>
        <w:tc>
          <w:tcPr>
            <w:tcW w:w="711" w:type="dxa"/>
            <w:shd w:val="clear" w:color="auto" w:fill="E1EBF7" w:themeFill="text2" w:themeFillTint="1A"/>
          </w:tcPr>
          <w:p w14:paraId="68FE457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PPV</w:t>
            </w:r>
          </w:p>
        </w:tc>
        <w:tc>
          <w:tcPr>
            <w:tcW w:w="711" w:type="dxa"/>
            <w:shd w:val="clear" w:color="auto" w:fill="E1EBF7" w:themeFill="text2" w:themeFillTint="1A"/>
          </w:tcPr>
          <w:p w14:paraId="7DBBCAD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NPV</w:t>
            </w:r>
          </w:p>
        </w:tc>
        <w:tc>
          <w:tcPr>
            <w:tcW w:w="739" w:type="dxa"/>
            <w:shd w:val="clear" w:color="auto" w:fill="E1EBF7" w:themeFill="text2" w:themeFillTint="1A"/>
          </w:tcPr>
          <w:p w14:paraId="2862319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Δ Sens</w:t>
            </w:r>
          </w:p>
        </w:tc>
        <w:tc>
          <w:tcPr>
            <w:tcW w:w="739" w:type="dxa"/>
            <w:shd w:val="clear" w:color="auto" w:fill="E1EBF7" w:themeFill="text2" w:themeFillTint="1A"/>
          </w:tcPr>
          <w:p w14:paraId="5A15356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Δ Spec</w:t>
            </w:r>
          </w:p>
        </w:tc>
      </w:tr>
      <w:tr w:rsidR="000C20C7" w:rsidRPr="000C20C7" w14:paraId="1C83DDFC" w14:textId="77777777" w:rsidTr="00972ACE">
        <w:trPr>
          <w:jc w:val="center"/>
        </w:trPr>
        <w:tc>
          <w:tcPr>
            <w:tcW w:w="1705" w:type="dxa"/>
          </w:tcPr>
          <w:p w14:paraId="23295450"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AMI</w:t>
            </w:r>
          </w:p>
        </w:tc>
        <w:tc>
          <w:tcPr>
            <w:tcW w:w="1350" w:type="dxa"/>
          </w:tcPr>
          <w:p w14:paraId="039440A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12.8%</w:t>
            </w:r>
          </w:p>
        </w:tc>
        <w:tc>
          <w:tcPr>
            <w:tcW w:w="588" w:type="dxa"/>
          </w:tcPr>
          <w:p w14:paraId="69820ED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0.706</w:t>
            </w:r>
          </w:p>
        </w:tc>
        <w:tc>
          <w:tcPr>
            <w:tcW w:w="582" w:type="dxa"/>
          </w:tcPr>
          <w:p w14:paraId="3D80B18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0.571</w:t>
            </w:r>
          </w:p>
        </w:tc>
        <w:tc>
          <w:tcPr>
            <w:tcW w:w="630" w:type="dxa"/>
          </w:tcPr>
          <w:p w14:paraId="0D26D32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0.728</w:t>
            </w:r>
          </w:p>
        </w:tc>
        <w:tc>
          <w:tcPr>
            <w:tcW w:w="607" w:type="dxa"/>
          </w:tcPr>
          <w:p w14:paraId="257F032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0.235</w:t>
            </w:r>
          </w:p>
        </w:tc>
        <w:tc>
          <w:tcPr>
            <w:tcW w:w="576" w:type="dxa"/>
          </w:tcPr>
          <w:p w14:paraId="14A8479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0.921</w:t>
            </w:r>
          </w:p>
        </w:tc>
        <w:tc>
          <w:tcPr>
            <w:tcW w:w="711" w:type="dxa"/>
          </w:tcPr>
          <w:p w14:paraId="16CFE2B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0.695</w:t>
            </w:r>
          </w:p>
        </w:tc>
        <w:tc>
          <w:tcPr>
            <w:tcW w:w="711" w:type="dxa"/>
          </w:tcPr>
          <w:p w14:paraId="403A804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0.706</w:t>
            </w:r>
          </w:p>
        </w:tc>
        <w:tc>
          <w:tcPr>
            <w:tcW w:w="711" w:type="dxa"/>
          </w:tcPr>
          <w:p w14:paraId="1F57AA7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0.577</w:t>
            </w:r>
          </w:p>
        </w:tc>
        <w:tc>
          <w:tcPr>
            <w:tcW w:w="711" w:type="dxa"/>
          </w:tcPr>
          <w:p w14:paraId="0133511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0.196</w:t>
            </w:r>
          </w:p>
        </w:tc>
        <w:tc>
          <w:tcPr>
            <w:tcW w:w="711" w:type="dxa"/>
          </w:tcPr>
          <w:p w14:paraId="28BA286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0.931</w:t>
            </w:r>
          </w:p>
        </w:tc>
        <w:tc>
          <w:tcPr>
            <w:tcW w:w="739" w:type="dxa"/>
          </w:tcPr>
          <w:p w14:paraId="08ADFEB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+0.135</w:t>
            </w:r>
          </w:p>
        </w:tc>
        <w:tc>
          <w:tcPr>
            <w:tcW w:w="739" w:type="dxa"/>
          </w:tcPr>
          <w:p w14:paraId="1610C5E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-0.151</w:t>
            </w:r>
          </w:p>
        </w:tc>
      </w:tr>
      <w:tr w:rsidR="000C20C7" w:rsidRPr="000C20C7" w14:paraId="3C28E0BA" w14:textId="77777777" w:rsidTr="00972ACE">
        <w:trPr>
          <w:jc w:val="center"/>
        </w:trPr>
        <w:tc>
          <w:tcPr>
            <w:tcW w:w="1705" w:type="dxa"/>
          </w:tcPr>
          <w:p w14:paraId="09E7BFD7"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AF/AFL</w:t>
            </w:r>
          </w:p>
        </w:tc>
        <w:tc>
          <w:tcPr>
            <w:tcW w:w="1350" w:type="dxa"/>
          </w:tcPr>
          <w:p w14:paraId="1AB7482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15.6%</w:t>
            </w:r>
          </w:p>
        </w:tc>
        <w:tc>
          <w:tcPr>
            <w:tcW w:w="588" w:type="dxa"/>
          </w:tcPr>
          <w:p w14:paraId="0458B6D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0.731</w:t>
            </w:r>
          </w:p>
        </w:tc>
        <w:tc>
          <w:tcPr>
            <w:tcW w:w="582" w:type="dxa"/>
          </w:tcPr>
          <w:p w14:paraId="5A6BE33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0.658</w:t>
            </w:r>
          </w:p>
        </w:tc>
        <w:tc>
          <w:tcPr>
            <w:tcW w:w="630" w:type="dxa"/>
          </w:tcPr>
          <w:p w14:paraId="77F8632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0.684</w:t>
            </w:r>
          </w:p>
        </w:tc>
        <w:tc>
          <w:tcPr>
            <w:tcW w:w="607" w:type="dxa"/>
          </w:tcPr>
          <w:p w14:paraId="0F017B5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0.278</w:t>
            </w:r>
          </w:p>
        </w:tc>
        <w:tc>
          <w:tcPr>
            <w:tcW w:w="576" w:type="dxa"/>
          </w:tcPr>
          <w:p w14:paraId="46E5388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0.915</w:t>
            </w:r>
          </w:p>
        </w:tc>
        <w:tc>
          <w:tcPr>
            <w:tcW w:w="711" w:type="dxa"/>
          </w:tcPr>
          <w:p w14:paraId="62B68C4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0.732</w:t>
            </w:r>
          </w:p>
        </w:tc>
        <w:tc>
          <w:tcPr>
            <w:tcW w:w="711" w:type="dxa"/>
          </w:tcPr>
          <w:p w14:paraId="1030559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0.708</w:t>
            </w:r>
          </w:p>
        </w:tc>
        <w:tc>
          <w:tcPr>
            <w:tcW w:w="711" w:type="dxa"/>
          </w:tcPr>
          <w:p w14:paraId="2950348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0.648</w:t>
            </w:r>
          </w:p>
        </w:tc>
        <w:tc>
          <w:tcPr>
            <w:tcW w:w="711" w:type="dxa"/>
          </w:tcPr>
          <w:p w14:paraId="04FB30F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0.271</w:t>
            </w:r>
          </w:p>
        </w:tc>
        <w:tc>
          <w:tcPr>
            <w:tcW w:w="711" w:type="dxa"/>
          </w:tcPr>
          <w:p w14:paraId="3392A0D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0.923</w:t>
            </w:r>
          </w:p>
        </w:tc>
        <w:tc>
          <w:tcPr>
            <w:tcW w:w="739" w:type="dxa"/>
          </w:tcPr>
          <w:p w14:paraId="1B303C0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+0.050</w:t>
            </w:r>
          </w:p>
        </w:tc>
        <w:tc>
          <w:tcPr>
            <w:tcW w:w="739" w:type="dxa"/>
          </w:tcPr>
          <w:p w14:paraId="247BCB0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-0.036</w:t>
            </w:r>
          </w:p>
        </w:tc>
      </w:tr>
      <w:tr w:rsidR="000C20C7" w:rsidRPr="000C20C7" w14:paraId="7A8F7E13" w14:textId="77777777" w:rsidTr="00972ACE">
        <w:trPr>
          <w:jc w:val="center"/>
        </w:trPr>
        <w:tc>
          <w:tcPr>
            <w:tcW w:w="1705" w:type="dxa"/>
          </w:tcPr>
          <w:p w14:paraId="07420BDA"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HF</w:t>
            </w:r>
          </w:p>
        </w:tc>
        <w:tc>
          <w:tcPr>
            <w:tcW w:w="1350" w:type="dxa"/>
          </w:tcPr>
          <w:p w14:paraId="0BCD5A3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22.5%</w:t>
            </w:r>
          </w:p>
        </w:tc>
        <w:tc>
          <w:tcPr>
            <w:tcW w:w="588" w:type="dxa"/>
          </w:tcPr>
          <w:p w14:paraId="600B271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0.707</w:t>
            </w:r>
          </w:p>
        </w:tc>
        <w:tc>
          <w:tcPr>
            <w:tcW w:w="582" w:type="dxa"/>
          </w:tcPr>
          <w:p w14:paraId="26E80DF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0.678</w:t>
            </w:r>
          </w:p>
        </w:tc>
        <w:tc>
          <w:tcPr>
            <w:tcW w:w="630" w:type="dxa"/>
          </w:tcPr>
          <w:p w14:paraId="2F6C06A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0.630</w:t>
            </w:r>
          </w:p>
        </w:tc>
        <w:tc>
          <w:tcPr>
            <w:tcW w:w="607" w:type="dxa"/>
          </w:tcPr>
          <w:p w14:paraId="5E47492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0.347</w:t>
            </w:r>
          </w:p>
        </w:tc>
        <w:tc>
          <w:tcPr>
            <w:tcW w:w="576" w:type="dxa"/>
          </w:tcPr>
          <w:p w14:paraId="6FCDF78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0.871</w:t>
            </w:r>
          </w:p>
        </w:tc>
        <w:tc>
          <w:tcPr>
            <w:tcW w:w="711" w:type="dxa"/>
          </w:tcPr>
          <w:p w14:paraId="4B9E66F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0.708</w:t>
            </w:r>
          </w:p>
        </w:tc>
        <w:tc>
          <w:tcPr>
            <w:tcW w:w="711" w:type="dxa"/>
          </w:tcPr>
          <w:p w14:paraId="16DFDE2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0.632</w:t>
            </w:r>
          </w:p>
        </w:tc>
        <w:tc>
          <w:tcPr>
            <w:tcW w:w="711" w:type="dxa"/>
          </w:tcPr>
          <w:p w14:paraId="255962C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0.680</w:t>
            </w:r>
          </w:p>
        </w:tc>
        <w:tc>
          <w:tcPr>
            <w:tcW w:w="711" w:type="dxa"/>
          </w:tcPr>
          <w:p w14:paraId="712EDDA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0.364</w:t>
            </w:r>
          </w:p>
        </w:tc>
        <w:tc>
          <w:tcPr>
            <w:tcW w:w="711" w:type="dxa"/>
          </w:tcPr>
          <w:p w14:paraId="2DFB4C4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0.864</w:t>
            </w:r>
          </w:p>
        </w:tc>
        <w:tc>
          <w:tcPr>
            <w:tcW w:w="739" w:type="dxa"/>
          </w:tcPr>
          <w:p w14:paraId="1CAB1BF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-0.046</w:t>
            </w:r>
          </w:p>
        </w:tc>
        <w:tc>
          <w:tcPr>
            <w:tcW w:w="739" w:type="dxa"/>
          </w:tcPr>
          <w:p w14:paraId="6B5D6F9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+0.050</w:t>
            </w:r>
          </w:p>
        </w:tc>
      </w:tr>
      <w:tr w:rsidR="000C20C7" w:rsidRPr="000C20C7" w14:paraId="1AD41B89" w14:textId="77777777" w:rsidTr="00972ACE">
        <w:trPr>
          <w:jc w:val="center"/>
        </w:trPr>
        <w:tc>
          <w:tcPr>
            <w:tcW w:w="1705" w:type="dxa"/>
          </w:tcPr>
          <w:p w14:paraId="6DE486FA"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HHD</w:t>
            </w:r>
          </w:p>
        </w:tc>
        <w:tc>
          <w:tcPr>
            <w:tcW w:w="1350" w:type="dxa"/>
          </w:tcPr>
          <w:p w14:paraId="731B0A3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12.0%</w:t>
            </w:r>
          </w:p>
        </w:tc>
        <w:tc>
          <w:tcPr>
            <w:tcW w:w="588" w:type="dxa"/>
          </w:tcPr>
          <w:p w14:paraId="6F63173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0.753</w:t>
            </w:r>
          </w:p>
        </w:tc>
        <w:tc>
          <w:tcPr>
            <w:tcW w:w="582" w:type="dxa"/>
          </w:tcPr>
          <w:p w14:paraId="477ED7A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0.693</w:t>
            </w:r>
          </w:p>
        </w:tc>
        <w:tc>
          <w:tcPr>
            <w:tcW w:w="630" w:type="dxa"/>
          </w:tcPr>
          <w:p w14:paraId="6824C5F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0.692</w:t>
            </w:r>
          </w:p>
        </w:tc>
        <w:tc>
          <w:tcPr>
            <w:tcW w:w="607" w:type="dxa"/>
          </w:tcPr>
          <w:p w14:paraId="65CB5E7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0.234</w:t>
            </w:r>
          </w:p>
        </w:tc>
        <w:tc>
          <w:tcPr>
            <w:tcW w:w="576" w:type="dxa"/>
          </w:tcPr>
          <w:p w14:paraId="45F3A48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0.943</w:t>
            </w:r>
          </w:p>
        </w:tc>
        <w:tc>
          <w:tcPr>
            <w:tcW w:w="711" w:type="dxa"/>
          </w:tcPr>
          <w:p w14:paraId="2EFB390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0.758</w:t>
            </w:r>
          </w:p>
        </w:tc>
        <w:tc>
          <w:tcPr>
            <w:tcW w:w="711" w:type="dxa"/>
          </w:tcPr>
          <w:p w14:paraId="76C718D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0.734</w:t>
            </w:r>
          </w:p>
        </w:tc>
        <w:tc>
          <w:tcPr>
            <w:tcW w:w="711" w:type="dxa"/>
          </w:tcPr>
          <w:p w14:paraId="4F11718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0.652</w:t>
            </w:r>
          </w:p>
        </w:tc>
        <w:tc>
          <w:tcPr>
            <w:tcW w:w="711" w:type="dxa"/>
          </w:tcPr>
          <w:p w14:paraId="6B3E594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0.223</w:t>
            </w:r>
          </w:p>
        </w:tc>
        <w:tc>
          <w:tcPr>
            <w:tcW w:w="711" w:type="dxa"/>
          </w:tcPr>
          <w:p w14:paraId="51F4134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0.948</w:t>
            </w:r>
          </w:p>
        </w:tc>
        <w:tc>
          <w:tcPr>
            <w:tcW w:w="739" w:type="dxa"/>
          </w:tcPr>
          <w:p w14:paraId="1B95131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+0.041</w:t>
            </w:r>
          </w:p>
        </w:tc>
        <w:tc>
          <w:tcPr>
            <w:tcW w:w="739" w:type="dxa"/>
          </w:tcPr>
          <w:p w14:paraId="41093F7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-0.040</w:t>
            </w:r>
          </w:p>
        </w:tc>
      </w:tr>
    </w:tbl>
    <w:p w14:paraId="56311ACE" w14:textId="77777777" w:rsidR="00000000" w:rsidRPr="000C20C7" w:rsidRDefault="00000000" w:rsidP="000C20C7">
      <w:pPr>
        <w:rPr>
          <w:rFonts w:asciiTheme="majorBidi" w:hAnsiTheme="majorBidi" w:cstheme="majorBidi"/>
          <w:sz w:val="24"/>
          <w:szCs w:val="24"/>
          <w:vertAlign w:val="superscript"/>
        </w:rPr>
      </w:pPr>
      <w:r w:rsidRPr="000C20C7">
        <w:rPr>
          <w:rFonts w:asciiTheme="majorBidi" w:hAnsiTheme="majorBidi" w:cstheme="majorBidi"/>
          <w:sz w:val="24"/>
          <w:szCs w:val="24"/>
          <w:vertAlign w:val="superscript"/>
        </w:rPr>
        <w:t>SMOTE = Synthetic Minority Oversampling Technique (K=5 neighbors), applied to training set only. Balanced configurations apply SMOTE; unbalanced configurations use the natural class distribution. PPV = positive predictive value; NPV = negative predictive value. Best algorithm (</w:t>
      </w:r>
      <w:proofErr w:type="spellStart"/>
      <w:r w:rsidRPr="000C20C7">
        <w:rPr>
          <w:rFonts w:asciiTheme="majorBidi" w:hAnsiTheme="majorBidi" w:cstheme="majorBidi"/>
          <w:sz w:val="24"/>
          <w:szCs w:val="24"/>
          <w:vertAlign w:val="superscript"/>
        </w:rPr>
        <w:t>XGBoost</w:t>
      </w:r>
      <w:proofErr w:type="spellEnd"/>
      <w:r w:rsidRPr="000C20C7">
        <w:rPr>
          <w:rFonts w:asciiTheme="majorBidi" w:hAnsiTheme="majorBidi" w:cstheme="majorBidi"/>
          <w:sz w:val="24"/>
          <w:szCs w:val="24"/>
          <w:vertAlign w:val="superscript"/>
        </w:rPr>
        <w:t>) shown for each CVD category. Abbreviations: AUC, area under the receiver operating characteristic curve; CVD, cardiovascular disease; HF, heart failure; AMI, acute myocardial infarction; AF/AFL, atrial fibrillation/atrial flutter; HHD, hypertensive heart disease; NPV, negative predictive value; PPV, positive predictive value; SMOTE, Synthetic Minority Over-sampling Technique. Event rates in this table reflect the 30% held-out test partition and may differ slightly from full-cohort rates reported in</w:t>
      </w:r>
      <w:r w:rsidRPr="000C20C7">
        <w:rPr>
          <w:rFonts w:asciiTheme="majorBidi" w:hAnsiTheme="majorBidi" w:cstheme="majorBidi"/>
          <w:sz w:val="24"/>
          <w:szCs w:val="24"/>
          <w:vertAlign w:val="superscript"/>
        </w:rPr>
        <w:t xml:space="preserve"> the main text (e.g., HHD test-set rate 12.0% vs. full-cohort 12.4%).</w:t>
      </w:r>
    </w:p>
    <w:p w14:paraId="34DE27FB" w14:textId="77777777" w:rsidR="00000000" w:rsidRPr="000C20C7" w:rsidRDefault="00000000" w:rsidP="000C20C7">
      <w:pPr>
        <w:rPr>
          <w:rFonts w:asciiTheme="majorBidi" w:hAnsiTheme="majorBidi" w:cstheme="majorBidi"/>
        </w:rPr>
      </w:pPr>
      <w:r w:rsidRPr="000C20C7">
        <w:rPr>
          <w:rFonts w:asciiTheme="majorBidi" w:hAnsiTheme="majorBidi" w:cstheme="majorBidi"/>
          <w:b/>
        </w:rPr>
        <w:br w:type="page"/>
      </w:r>
    </w:p>
    <w:p w14:paraId="49B0852D" w14:textId="77777777" w:rsidR="00000000" w:rsidRPr="000C20C7" w:rsidRDefault="00000000" w:rsidP="000C20C7">
      <w:pPr>
        <w:rPr>
          <w:rFonts w:asciiTheme="majorBidi" w:hAnsiTheme="majorBidi" w:cstheme="majorBidi"/>
        </w:rPr>
      </w:pPr>
      <w:r w:rsidRPr="000C20C7">
        <w:rPr>
          <w:rFonts w:asciiTheme="majorBidi" w:hAnsiTheme="majorBidi" w:cstheme="majorBidi"/>
          <w:b/>
        </w:rPr>
        <w:lastRenderedPageBreak/>
        <w:t>Supplementary Table S10. Comparison of Key Clinical Features Across ICD-9 (2010–2015 Q3) and ICD-10 (2015 Q4–2020) Coding Eras.</w:t>
      </w:r>
    </w:p>
    <w:p w14:paraId="13F1E3A5" w14:textId="77777777" w:rsidR="00000000" w:rsidRPr="000C20C7" w:rsidRDefault="00000000" w:rsidP="000C20C7">
      <w:pPr>
        <w:rPr>
          <w:rFonts w:asciiTheme="majorBidi" w:hAnsiTheme="majorBidi" w:cstheme="majorBidi"/>
        </w:rPr>
      </w:pPr>
      <w:r w:rsidRPr="000C20C7">
        <w:rPr>
          <w:rFonts w:asciiTheme="majorBidi" w:hAnsiTheme="majorBidi" w:cstheme="majorBidi"/>
          <w:b/>
        </w:rPr>
        <w:t>30-Day Readmission Rate by Coding Era and CVD Category</w:t>
      </w:r>
    </w:p>
    <w:tbl>
      <w:tblPr>
        <w:tblW w:w="0" w:type="auto"/>
        <w:jc w:val="center"/>
        <w:tblLook w:val="04A0" w:firstRow="1" w:lastRow="0" w:firstColumn="1" w:lastColumn="0" w:noHBand="0" w:noVBand="1"/>
      </w:tblPr>
      <w:tblGrid>
        <w:gridCol w:w="2698"/>
        <w:gridCol w:w="897"/>
        <w:gridCol w:w="1440"/>
        <w:gridCol w:w="361"/>
        <w:gridCol w:w="1709"/>
        <w:gridCol w:w="988"/>
        <w:gridCol w:w="992"/>
        <w:gridCol w:w="1705"/>
      </w:tblGrid>
      <w:tr w:rsidR="000C20C7" w:rsidRPr="000C20C7" w14:paraId="3CA0BF5E" w14:textId="77777777" w:rsidTr="000C20C7">
        <w:trPr>
          <w:jc w:val="center"/>
        </w:trPr>
        <w:tc>
          <w:tcPr>
            <w:tcW w:w="2698" w:type="dxa"/>
            <w:tcBorders>
              <w:top w:val="single" w:sz="4" w:space="0" w:color="EEECE1" w:themeColor="background2"/>
              <w:left w:val="single" w:sz="4" w:space="0" w:color="EEECE1" w:themeColor="background2"/>
            </w:tcBorders>
            <w:shd w:val="clear" w:color="auto" w:fill="D9D9D9" w:themeFill="background1" w:themeFillShade="D9"/>
          </w:tcPr>
          <w:p w14:paraId="41B6F1A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Coding Era</w:t>
            </w:r>
          </w:p>
        </w:tc>
        <w:tc>
          <w:tcPr>
            <w:tcW w:w="2698" w:type="dxa"/>
            <w:gridSpan w:val="3"/>
            <w:tcBorders>
              <w:top w:val="single" w:sz="4" w:space="0" w:color="EEECE1" w:themeColor="background2"/>
            </w:tcBorders>
            <w:shd w:val="clear" w:color="auto" w:fill="D9D9D9" w:themeFill="background1" w:themeFillShade="D9"/>
          </w:tcPr>
          <w:p w14:paraId="226277A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CVD Category</w:t>
            </w:r>
          </w:p>
        </w:tc>
        <w:tc>
          <w:tcPr>
            <w:tcW w:w="2697" w:type="dxa"/>
            <w:gridSpan w:val="2"/>
            <w:tcBorders>
              <w:top w:val="single" w:sz="4" w:space="0" w:color="EEECE1" w:themeColor="background2"/>
            </w:tcBorders>
            <w:shd w:val="clear" w:color="auto" w:fill="D9D9D9" w:themeFill="background1" w:themeFillShade="D9"/>
          </w:tcPr>
          <w:p w14:paraId="36951A8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N</w:t>
            </w:r>
          </w:p>
        </w:tc>
        <w:tc>
          <w:tcPr>
            <w:tcW w:w="2697" w:type="dxa"/>
            <w:gridSpan w:val="2"/>
            <w:tcBorders>
              <w:top w:val="single" w:sz="4" w:space="0" w:color="EEECE1" w:themeColor="background2"/>
              <w:right w:val="single" w:sz="4" w:space="0" w:color="EEECE1" w:themeColor="background2"/>
            </w:tcBorders>
            <w:shd w:val="clear" w:color="auto" w:fill="D9D9D9" w:themeFill="background1" w:themeFillShade="D9"/>
          </w:tcPr>
          <w:p w14:paraId="1127BD9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Readmission Rate</w:t>
            </w:r>
          </w:p>
        </w:tc>
      </w:tr>
      <w:tr w:rsidR="000C20C7" w:rsidRPr="000C20C7" w14:paraId="776998FF" w14:textId="77777777" w:rsidTr="000C20C7">
        <w:trPr>
          <w:jc w:val="center"/>
        </w:trPr>
        <w:tc>
          <w:tcPr>
            <w:tcW w:w="2698" w:type="dxa"/>
            <w:tcBorders>
              <w:left w:val="single" w:sz="4" w:space="0" w:color="EEECE1" w:themeColor="background2"/>
            </w:tcBorders>
            <w:shd w:val="clear" w:color="auto" w:fill="D9D9D9" w:themeFill="background1" w:themeFillShade="D9"/>
          </w:tcPr>
          <w:p w14:paraId="7DDA4280"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ICD-10 (2015Q4-2020)</w:t>
            </w:r>
          </w:p>
        </w:tc>
        <w:tc>
          <w:tcPr>
            <w:tcW w:w="2698" w:type="dxa"/>
            <w:gridSpan w:val="3"/>
            <w:shd w:val="clear" w:color="auto" w:fill="D9D9D9" w:themeFill="background1" w:themeFillShade="D9"/>
          </w:tcPr>
          <w:p w14:paraId="39362209"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AMI</w:t>
            </w:r>
          </w:p>
        </w:tc>
        <w:tc>
          <w:tcPr>
            <w:tcW w:w="2697" w:type="dxa"/>
            <w:gridSpan w:val="2"/>
            <w:shd w:val="clear" w:color="auto" w:fill="D9D9D9" w:themeFill="background1" w:themeFillShade="D9"/>
          </w:tcPr>
          <w:p w14:paraId="6CC47EB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15,259</w:t>
            </w:r>
          </w:p>
        </w:tc>
        <w:tc>
          <w:tcPr>
            <w:tcW w:w="2697" w:type="dxa"/>
            <w:gridSpan w:val="2"/>
            <w:tcBorders>
              <w:right w:val="single" w:sz="4" w:space="0" w:color="EEECE1" w:themeColor="background2"/>
            </w:tcBorders>
            <w:shd w:val="clear" w:color="auto" w:fill="D9D9D9" w:themeFill="background1" w:themeFillShade="D9"/>
          </w:tcPr>
          <w:p w14:paraId="493E55A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12.3%</w:t>
            </w:r>
          </w:p>
        </w:tc>
      </w:tr>
      <w:tr w:rsidR="000C20C7" w:rsidRPr="000C20C7" w14:paraId="433ED9AF" w14:textId="77777777" w:rsidTr="000C20C7">
        <w:trPr>
          <w:jc w:val="center"/>
        </w:trPr>
        <w:tc>
          <w:tcPr>
            <w:tcW w:w="2698" w:type="dxa"/>
            <w:tcBorders>
              <w:left w:val="single" w:sz="4" w:space="0" w:color="EEECE1" w:themeColor="background2"/>
            </w:tcBorders>
            <w:shd w:val="clear" w:color="auto" w:fill="D9D9D9" w:themeFill="background1" w:themeFillShade="D9"/>
          </w:tcPr>
          <w:p w14:paraId="291F75F5"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ICD-10 (2015Q4-2020)</w:t>
            </w:r>
          </w:p>
        </w:tc>
        <w:tc>
          <w:tcPr>
            <w:tcW w:w="2698" w:type="dxa"/>
            <w:gridSpan w:val="3"/>
            <w:shd w:val="clear" w:color="auto" w:fill="D9D9D9" w:themeFill="background1" w:themeFillShade="D9"/>
          </w:tcPr>
          <w:p w14:paraId="36FD13A4"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AF/AFL</w:t>
            </w:r>
          </w:p>
        </w:tc>
        <w:tc>
          <w:tcPr>
            <w:tcW w:w="2697" w:type="dxa"/>
            <w:gridSpan w:val="2"/>
            <w:shd w:val="clear" w:color="auto" w:fill="D9D9D9" w:themeFill="background1" w:themeFillShade="D9"/>
          </w:tcPr>
          <w:p w14:paraId="25E75A0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9,176</w:t>
            </w:r>
          </w:p>
        </w:tc>
        <w:tc>
          <w:tcPr>
            <w:tcW w:w="2697" w:type="dxa"/>
            <w:gridSpan w:val="2"/>
            <w:tcBorders>
              <w:right w:val="single" w:sz="4" w:space="0" w:color="EEECE1" w:themeColor="background2"/>
            </w:tcBorders>
            <w:shd w:val="clear" w:color="auto" w:fill="D9D9D9" w:themeFill="background1" w:themeFillShade="D9"/>
          </w:tcPr>
          <w:p w14:paraId="3775F4D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14.4%</w:t>
            </w:r>
          </w:p>
        </w:tc>
      </w:tr>
      <w:tr w:rsidR="000C20C7" w:rsidRPr="000C20C7" w14:paraId="2F0EC86B" w14:textId="77777777" w:rsidTr="000C20C7">
        <w:trPr>
          <w:jc w:val="center"/>
        </w:trPr>
        <w:tc>
          <w:tcPr>
            <w:tcW w:w="2698" w:type="dxa"/>
            <w:tcBorders>
              <w:left w:val="single" w:sz="4" w:space="0" w:color="EEECE1" w:themeColor="background2"/>
            </w:tcBorders>
            <w:shd w:val="clear" w:color="auto" w:fill="D9D9D9" w:themeFill="background1" w:themeFillShade="D9"/>
          </w:tcPr>
          <w:p w14:paraId="5D31F8E5"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ICD-10 (2015Q4-2020)</w:t>
            </w:r>
          </w:p>
        </w:tc>
        <w:tc>
          <w:tcPr>
            <w:tcW w:w="2698" w:type="dxa"/>
            <w:gridSpan w:val="3"/>
            <w:shd w:val="clear" w:color="auto" w:fill="D9D9D9" w:themeFill="background1" w:themeFillShade="D9"/>
          </w:tcPr>
          <w:p w14:paraId="61265FBA"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HF</w:t>
            </w:r>
          </w:p>
        </w:tc>
        <w:tc>
          <w:tcPr>
            <w:tcW w:w="2697" w:type="dxa"/>
            <w:gridSpan w:val="2"/>
            <w:shd w:val="clear" w:color="auto" w:fill="D9D9D9" w:themeFill="background1" w:themeFillShade="D9"/>
          </w:tcPr>
          <w:p w14:paraId="18334A0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51,227</w:t>
            </w:r>
          </w:p>
        </w:tc>
        <w:tc>
          <w:tcPr>
            <w:tcW w:w="2697" w:type="dxa"/>
            <w:gridSpan w:val="2"/>
            <w:tcBorders>
              <w:right w:val="single" w:sz="4" w:space="0" w:color="EEECE1" w:themeColor="background2"/>
            </w:tcBorders>
            <w:shd w:val="clear" w:color="auto" w:fill="D9D9D9" w:themeFill="background1" w:themeFillShade="D9"/>
          </w:tcPr>
          <w:p w14:paraId="02AC824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21.6%</w:t>
            </w:r>
          </w:p>
        </w:tc>
      </w:tr>
      <w:tr w:rsidR="000C20C7" w:rsidRPr="000C20C7" w14:paraId="7CF1A745" w14:textId="77777777" w:rsidTr="000C20C7">
        <w:trPr>
          <w:jc w:val="center"/>
        </w:trPr>
        <w:tc>
          <w:tcPr>
            <w:tcW w:w="2698" w:type="dxa"/>
            <w:tcBorders>
              <w:left w:val="single" w:sz="4" w:space="0" w:color="EEECE1" w:themeColor="background2"/>
            </w:tcBorders>
            <w:shd w:val="clear" w:color="auto" w:fill="D9D9D9" w:themeFill="background1" w:themeFillShade="D9"/>
          </w:tcPr>
          <w:p w14:paraId="652B768E"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ICD-10 (2015Q4-2020)</w:t>
            </w:r>
          </w:p>
        </w:tc>
        <w:tc>
          <w:tcPr>
            <w:tcW w:w="2698" w:type="dxa"/>
            <w:gridSpan w:val="3"/>
            <w:shd w:val="clear" w:color="auto" w:fill="D9D9D9" w:themeFill="background1" w:themeFillShade="D9"/>
          </w:tcPr>
          <w:p w14:paraId="4F701394"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HHD</w:t>
            </w:r>
          </w:p>
        </w:tc>
        <w:tc>
          <w:tcPr>
            <w:tcW w:w="2697" w:type="dxa"/>
            <w:gridSpan w:val="2"/>
            <w:shd w:val="clear" w:color="auto" w:fill="D9D9D9" w:themeFill="background1" w:themeFillShade="D9"/>
          </w:tcPr>
          <w:p w14:paraId="19AC077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8,233</w:t>
            </w:r>
          </w:p>
        </w:tc>
        <w:tc>
          <w:tcPr>
            <w:tcW w:w="2697" w:type="dxa"/>
            <w:gridSpan w:val="2"/>
            <w:tcBorders>
              <w:right w:val="single" w:sz="4" w:space="0" w:color="EEECE1" w:themeColor="background2"/>
            </w:tcBorders>
            <w:shd w:val="clear" w:color="auto" w:fill="D9D9D9" w:themeFill="background1" w:themeFillShade="D9"/>
          </w:tcPr>
          <w:p w14:paraId="77A7D70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14.2%</w:t>
            </w:r>
          </w:p>
        </w:tc>
      </w:tr>
      <w:tr w:rsidR="000C20C7" w:rsidRPr="000C20C7" w14:paraId="066DFF2B" w14:textId="77777777" w:rsidTr="000C20C7">
        <w:trPr>
          <w:jc w:val="center"/>
        </w:trPr>
        <w:tc>
          <w:tcPr>
            <w:tcW w:w="2698" w:type="dxa"/>
            <w:tcBorders>
              <w:left w:val="single" w:sz="4" w:space="0" w:color="EEECE1" w:themeColor="background2"/>
            </w:tcBorders>
            <w:shd w:val="clear" w:color="auto" w:fill="D9D9D9" w:themeFill="background1" w:themeFillShade="D9"/>
          </w:tcPr>
          <w:p w14:paraId="5DAB0005"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ICD-9 (2010-2015Q3)</w:t>
            </w:r>
          </w:p>
        </w:tc>
        <w:tc>
          <w:tcPr>
            <w:tcW w:w="2698" w:type="dxa"/>
            <w:gridSpan w:val="3"/>
            <w:shd w:val="clear" w:color="auto" w:fill="D9D9D9" w:themeFill="background1" w:themeFillShade="D9"/>
          </w:tcPr>
          <w:p w14:paraId="042CA6B2"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AMI</w:t>
            </w:r>
          </w:p>
        </w:tc>
        <w:tc>
          <w:tcPr>
            <w:tcW w:w="2697" w:type="dxa"/>
            <w:gridSpan w:val="2"/>
            <w:shd w:val="clear" w:color="auto" w:fill="D9D9D9" w:themeFill="background1" w:themeFillShade="D9"/>
          </w:tcPr>
          <w:p w14:paraId="4003BD3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14,867</w:t>
            </w:r>
          </w:p>
        </w:tc>
        <w:tc>
          <w:tcPr>
            <w:tcW w:w="2697" w:type="dxa"/>
            <w:gridSpan w:val="2"/>
            <w:tcBorders>
              <w:right w:val="single" w:sz="4" w:space="0" w:color="EEECE1" w:themeColor="background2"/>
            </w:tcBorders>
            <w:shd w:val="clear" w:color="auto" w:fill="D9D9D9" w:themeFill="background1" w:themeFillShade="D9"/>
          </w:tcPr>
          <w:p w14:paraId="6A7E32C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13.7%</w:t>
            </w:r>
          </w:p>
        </w:tc>
      </w:tr>
      <w:tr w:rsidR="000C20C7" w:rsidRPr="000C20C7" w14:paraId="024957E8" w14:textId="77777777" w:rsidTr="000C20C7">
        <w:trPr>
          <w:jc w:val="center"/>
        </w:trPr>
        <w:tc>
          <w:tcPr>
            <w:tcW w:w="2698" w:type="dxa"/>
            <w:tcBorders>
              <w:left w:val="single" w:sz="4" w:space="0" w:color="EEECE1" w:themeColor="background2"/>
            </w:tcBorders>
            <w:shd w:val="clear" w:color="auto" w:fill="D9D9D9" w:themeFill="background1" w:themeFillShade="D9"/>
          </w:tcPr>
          <w:p w14:paraId="44E2BB0F"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ICD-9 (2010-2015Q3)</w:t>
            </w:r>
          </w:p>
        </w:tc>
        <w:tc>
          <w:tcPr>
            <w:tcW w:w="2698" w:type="dxa"/>
            <w:gridSpan w:val="3"/>
            <w:shd w:val="clear" w:color="auto" w:fill="D9D9D9" w:themeFill="background1" w:themeFillShade="D9"/>
          </w:tcPr>
          <w:p w14:paraId="492F0F42"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AF/AFL</w:t>
            </w:r>
          </w:p>
        </w:tc>
        <w:tc>
          <w:tcPr>
            <w:tcW w:w="2697" w:type="dxa"/>
            <w:gridSpan w:val="2"/>
            <w:shd w:val="clear" w:color="auto" w:fill="D9D9D9" w:themeFill="background1" w:themeFillShade="D9"/>
          </w:tcPr>
          <w:p w14:paraId="2D69248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9,606</w:t>
            </w:r>
          </w:p>
        </w:tc>
        <w:tc>
          <w:tcPr>
            <w:tcW w:w="2697" w:type="dxa"/>
            <w:gridSpan w:val="2"/>
            <w:tcBorders>
              <w:right w:val="single" w:sz="4" w:space="0" w:color="EEECE1" w:themeColor="background2"/>
            </w:tcBorders>
            <w:shd w:val="clear" w:color="auto" w:fill="D9D9D9" w:themeFill="background1" w:themeFillShade="D9"/>
          </w:tcPr>
          <w:p w14:paraId="35AB28C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16.3%</w:t>
            </w:r>
          </w:p>
        </w:tc>
      </w:tr>
      <w:tr w:rsidR="000C20C7" w:rsidRPr="000C20C7" w14:paraId="1387E299" w14:textId="77777777" w:rsidTr="000C20C7">
        <w:trPr>
          <w:jc w:val="center"/>
        </w:trPr>
        <w:tc>
          <w:tcPr>
            <w:tcW w:w="2698" w:type="dxa"/>
            <w:tcBorders>
              <w:left w:val="single" w:sz="4" w:space="0" w:color="EEECE1" w:themeColor="background2"/>
            </w:tcBorders>
            <w:shd w:val="clear" w:color="auto" w:fill="D9D9D9" w:themeFill="background1" w:themeFillShade="D9"/>
          </w:tcPr>
          <w:p w14:paraId="52BE166D"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ICD-9 (2010-2015Q3)</w:t>
            </w:r>
          </w:p>
        </w:tc>
        <w:tc>
          <w:tcPr>
            <w:tcW w:w="2698" w:type="dxa"/>
            <w:gridSpan w:val="3"/>
            <w:shd w:val="clear" w:color="auto" w:fill="D9D9D9" w:themeFill="background1" w:themeFillShade="D9"/>
          </w:tcPr>
          <w:p w14:paraId="616F47D0"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HF</w:t>
            </w:r>
          </w:p>
        </w:tc>
        <w:tc>
          <w:tcPr>
            <w:tcW w:w="2697" w:type="dxa"/>
            <w:gridSpan w:val="2"/>
            <w:shd w:val="clear" w:color="auto" w:fill="D9D9D9" w:themeFill="background1" w:themeFillShade="D9"/>
          </w:tcPr>
          <w:p w14:paraId="0522DCD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43,335</w:t>
            </w:r>
          </w:p>
        </w:tc>
        <w:tc>
          <w:tcPr>
            <w:tcW w:w="2697" w:type="dxa"/>
            <w:gridSpan w:val="2"/>
            <w:tcBorders>
              <w:right w:val="single" w:sz="4" w:space="0" w:color="EEECE1" w:themeColor="background2"/>
            </w:tcBorders>
            <w:shd w:val="clear" w:color="auto" w:fill="D9D9D9" w:themeFill="background1" w:themeFillShade="D9"/>
          </w:tcPr>
          <w:p w14:paraId="257EFBA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23.6%</w:t>
            </w:r>
          </w:p>
        </w:tc>
      </w:tr>
      <w:tr w:rsidR="000C20C7" w:rsidRPr="000C20C7" w14:paraId="62C5302A" w14:textId="77777777" w:rsidTr="000C20C7">
        <w:trPr>
          <w:jc w:val="center"/>
        </w:trPr>
        <w:tc>
          <w:tcPr>
            <w:tcW w:w="2698" w:type="dxa"/>
            <w:tcBorders>
              <w:left w:val="single" w:sz="4" w:space="0" w:color="EEECE1" w:themeColor="background2"/>
            </w:tcBorders>
            <w:shd w:val="clear" w:color="auto" w:fill="D9D9D9" w:themeFill="background1" w:themeFillShade="D9"/>
          </w:tcPr>
          <w:p w14:paraId="5F0CC745"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ICD-9 (2010-2015Q3)</w:t>
            </w:r>
          </w:p>
        </w:tc>
        <w:tc>
          <w:tcPr>
            <w:tcW w:w="2698" w:type="dxa"/>
            <w:gridSpan w:val="3"/>
            <w:shd w:val="clear" w:color="auto" w:fill="D9D9D9" w:themeFill="background1" w:themeFillShade="D9"/>
          </w:tcPr>
          <w:p w14:paraId="08458B0B" w14:textId="77777777" w:rsidR="00000000" w:rsidRPr="000C20C7" w:rsidRDefault="00000000" w:rsidP="00C33C7E">
            <w:pPr>
              <w:spacing w:after="0"/>
              <w:rPr>
                <w:rFonts w:asciiTheme="majorBidi" w:hAnsiTheme="majorBidi" w:cstheme="majorBidi"/>
              </w:rPr>
            </w:pPr>
            <w:r>
              <w:rPr>
                <w:rFonts w:asciiTheme="majorBidi" w:hAnsiTheme="majorBidi" w:cstheme="majorBidi"/>
                <w:sz w:val="16"/>
              </w:rPr>
              <w:t>HHD</w:t>
            </w:r>
          </w:p>
        </w:tc>
        <w:tc>
          <w:tcPr>
            <w:tcW w:w="2697" w:type="dxa"/>
            <w:gridSpan w:val="2"/>
            <w:shd w:val="clear" w:color="auto" w:fill="D9D9D9" w:themeFill="background1" w:themeFillShade="D9"/>
          </w:tcPr>
          <w:p w14:paraId="6EF3EAD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6,088</w:t>
            </w:r>
          </w:p>
        </w:tc>
        <w:tc>
          <w:tcPr>
            <w:tcW w:w="2697" w:type="dxa"/>
            <w:gridSpan w:val="2"/>
            <w:tcBorders>
              <w:right w:val="single" w:sz="4" w:space="0" w:color="EEECE1" w:themeColor="background2"/>
            </w:tcBorders>
            <w:shd w:val="clear" w:color="auto" w:fill="D9D9D9" w:themeFill="background1" w:themeFillShade="D9"/>
          </w:tcPr>
          <w:p w14:paraId="1E84ABF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9.9%</w:t>
            </w:r>
          </w:p>
        </w:tc>
      </w:tr>
      <w:tr w:rsidR="000C20C7" w:rsidRPr="000C20C7" w14:paraId="2919AD25"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E1EBF7" w:themeFill="text2" w:themeFillTint="1A"/>
          </w:tcPr>
          <w:p w14:paraId="41D59F8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Variable</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E1EBF7" w:themeFill="text2" w:themeFillTint="1A"/>
          </w:tcPr>
          <w:p w14:paraId="3B553FC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Overall</w:t>
            </w:r>
            <w:r w:rsidRPr="000C20C7">
              <w:rPr>
                <w:rFonts w:asciiTheme="majorBidi" w:hAnsiTheme="majorBidi" w:cstheme="majorBidi"/>
                <w:b/>
                <w:sz w:val="16"/>
              </w:rPr>
              <w:br/>
              <w:t>(N=157,791)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E1EBF7" w:themeFill="text2" w:themeFillTint="1A"/>
          </w:tcPr>
          <w:p w14:paraId="507C914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ICD-10 Era</w:t>
            </w:r>
            <w:r w:rsidRPr="000C20C7">
              <w:rPr>
                <w:rFonts w:asciiTheme="majorBidi" w:hAnsiTheme="majorBidi" w:cstheme="majorBidi"/>
                <w:b/>
                <w:sz w:val="16"/>
              </w:rPr>
              <w:br/>
              <w:t>(n=83,895)</w:t>
            </w:r>
          </w:p>
        </w:tc>
        <w:tc>
          <w:tcPr>
            <w:tcW w:w="1980" w:type="dxa"/>
            <w:gridSpan w:val="2"/>
            <w:tcBorders>
              <w:left w:val="single" w:sz="4" w:space="0" w:color="DDD9C3" w:themeColor="background2" w:themeShade="E6"/>
              <w:bottom w:val="single" w:sz="4" w:space="0" w:color="DDD9C3" w:themeColor="background2" w:themeShade="E6"/>
            </w:tcBorders>
            <w:shd w:val="clear" w:color="auto" w:fill="E1EBF7" w:themeFill="text2" w:themeFillTint="1A"/>
          </w:tcPr>
          <w:p w14:paraId="55DF394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ICD-9 Era</w:t>
            </w:r>
            <w:r w:rsidRPr="000C20C7">
              <w:rPr>
                <w:rFonts w:asciiTheme="majorBidi" w:hAnsiTheme="majorBidi" w:cstheme="majorBidi"/>
                <w:b/>
                <w:sz w:val="16"/>
              </w:rPr>
              <w:br/>
              <w:t>(n=73,896)</w:t>
            </w:r>
          </w:p>
        </w:tc>
        <w:tc>
          <w:tcPr>
            <w:tcW w:w="1705" w:type="dxa"/>
            <w:tcBorders>
              <w:bottom w:val="single" w:sz="4" w:space="0" w:color="DDD9C3" w:themeColor="background2" w:themeShade="E6"/>
            </w:tcBorders>
            <w:shd w:val="clear" w:color="auto" w:fill="E1EBF7" w:themeFill="text2" w:themeFillTint="1A"/>
          </w:tcPr>
          <w:p w14:paraId="6FA5076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b/>
                <w:sz w:val="16"/>
              </w:rPr>
              <w:t>SMD</w:t>
            </w:r>
          </w:p>
        </w:tc>
      </w:tr>
      <w:tr w:rsidR="000C20C7" w:rsidRPr="000C20C7" w14:paraId="48753F03"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9143D3B"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LACE Index (0–19),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87DE3A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9.67 (3.02)</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092D0F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10.01 (2.96)</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B66503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9.28 (3.04)</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F21382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0.244</w:t>
            </w:r>
          </w:p>
        </w:tc>
      </w:tr>
      <w:tr w:rsidR="000C20C7" w:rsidRPr="000C20C7" w14:paraId="149B1F6D"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4FF2B0F"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Charlson Comorbidity Index,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C23B78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3.15 (2.05)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14501D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3.51 (2.11)</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F64BE1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2.73 (1.90)</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6DC830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0.389</w:t>
            </w:r>
          </w:p>
        </w:tc>
      </w:tr>
      <w:tr w:rsidR="000C20C7" w:rsidRPr="000C20C7" w14:paraId="592984FF"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E114C73"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Age-Adjusted Charlson,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8AEA5E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5.04 (2.65)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F20603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5.43 (2.68)</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81920F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4.60 (2.53)</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713442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0.318</w:t>
            </w:r>
          </w:p>
        </w:tc>
      </w:tr>
      <w:tr w:rsidR="000C20C7" w:rsidRPr="000C20C7" w14:paraId="1E788E9C"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8E010C4"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van Walraven Elixhauser Index,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6EFF8C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11.99 (8.74)</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F27F8B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12.89 (8.63)</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B7E033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10.96 (8.75)</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C4F04D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0.223</w:t>
            </w:r>
          </w:p>
        </w:tc>
      </w:tr>
      <w:tr w:rsidR="000C20C7" w:rsidRPr="000C20C7" w14:paraId="3EADFF04"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203B17E" w14:textId="77777777" w:rsidR="00000000" w:rsidRPr="000C20C7" w:rsidRDefault="00000000" w:rsidP="00C33C7E">
            <w:pPr>
              <w:spacing w:after="0"/>
              <w:rPr>
                <w:rFonts w:asciiTheme="majorBidi" w:hAnsiTheme="majorBidi" w:cstheme="majorBidi"/>
              </w:rPr>
            </w:pPr>
            <w:proofErr w:type="spellStart"/>
            <w:r w:rsidRPr="000C20C7">
              <w:rPr>
                <w:rFonts w:asciiTheme="majorBidi" w:hAnsiTheme="majorBidi" w:cstheme="majorBidi"/>
                <w:sz w:val="16"/>
              </w:rPr>
              <w:t>Elixhauser</w:t>
            </w:r>
            <w:proofErr w:type="spellEnd"/>
            <w:r w:rsidRPr="000C20C7">
              <w:rPr>
                <w:rFonts w:asciiTheme="majorBidi" w:hAnsiTheme="majorBidi" w:cstheme="majorBidi"/>
                <w:sz w:val="16"/>
              </w:rPr>
              <w:t xml:space="preserve"> Comorbidity Count,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2BCF8C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4.63 (2.00)</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6A1BBF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4.75 (1.84)</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5B5F23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4.50 (2.15)</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019F3E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0.124</w:t>
            </w:r>
          </w:p>
        </w:tc>
      </w:tr>
      <w:tr w:rsidR="000C20C7" w:rsidRPr="000C20C7" w14:paraId="243E7DF0"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41D1518"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Total diagnoses,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ABF0EF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14.41 (4.14)</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EAECE8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15.39 (3.65)</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3353FD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13.29 (4.38)</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CDE390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0.520</w:t>
            </w:r>
          </w:p>
        </w:tc>
      </w:tr>
      <w:tr w:rsidR="000C20C7" w:rsidRPr="000C20C7" w14:paraId="040B5DEE"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C722340"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LACE-L (Length of Stay Score),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1BF178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3.36 (1.53)</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AF6889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3.40 (1.52)</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EE3981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3.32 (1.53)</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C4EBF3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0.056</w:t>
            </w:r>
          </w:p>
        </w:tc>
      </w:tr>
      <w:tr w:rsidR="000C20C7" w:rsidRPr="000C20C7" w14:paraId="7E6CBAE9"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31F33F9"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LACE-A (Acuity Score),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F19C05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2.84 (0.68)</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9F5484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2.86 (0.63)</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1E3019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2.81 (0.73)</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CC00AD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0.074</w:t>
            </w:r>
          </w:p>
        </w:tc>
      </w:tr>
      <w:tr w:rsidR="000C20C7" w:rsidRPr="000C20C7" w14:paraId="6889E09C"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C4B708F"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LACE-C (Comorbidity Score),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529F7C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3.08 (1.81)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613D20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3.35 (1.75)</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16E3C7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2.77 (1.82)</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D12E28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0.328</w:t>
            </w:r>
          </w:p>
        </w:tc>
      </w:tr>
      <w:tr w:rsidR="000C20C7" w:rsidRPr="000C20C7" w14:paraId="36FEAAB0"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C7AB304"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LACE-E (ED Visits Score),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A325AF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0.39 (0.89)</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8D8D6F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0.40 (0.90)</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1BC0A7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0.39 (0.88)</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5EA424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0.012</w:t>
            </w:r>
          </w:p>
        </w:tc>
      </w:tr>
      <w:tr w:rsidR="000C20C7" w:rsidRPr="000C20C7" w14:paraId="458392F0"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2E7019E"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Length of stay, days, </w:t>
            </w:r>
            <w:proofErr w:type="gramStart"/>
            <w:r w:rsidRPr="000C20C7">
              <w:rPr>
                <w:rFonts w:asciiTheme="majorBidi" w:hAnsiTheme="majorBidi" w:cstheme="majorBidi"/>
                <w:sz w:val="16"/>
              </w:rPr>
              <w:t>mean</w:t>
            </w:r>
            <w:proofErr w:type="gramEnd"/>
            <w:r w:rsidRPr="000C20C7">
              <w:rPr>
                <w:rFonts w:asciiTheme="majorBidi" w:hAnsiTheme="majorBidi" w:cstheme="majorBidi"/>
                <w:sz w:val="16"/>
              </w:rPr>
              <w:t xml:space="preserve">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33608E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4.99 (6.01)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AFF6A9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5.06 (5.92)</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3A90E4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4.90 (6.10)</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7968BF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0.027</w:t>
            </w:r>
          </w:p>
        </w:tc>
      </w:tr>
      <w:tr w:rsidR="000C20C7" w:rsidRPr="000C20C7" w14:paraId="25B0D2DD"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3A8DABA"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Age, years,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FDBEDB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62.75 (14.19)</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33C08C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62.96 (14.04)</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12AB9E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62.50 (14.34)</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F2B92E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0.032</w:t>
            </w:r>
          </w:p>
        </w:tc>
      </w:tr>
      <w:tr w:rsidR="000C20C7" w:rsidRPr="000C20C7" w14:paraId="47F947C7"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B9626C7"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Total procedures,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A5A668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1.72 (1.96)</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91B1DE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1.61 (1.80)</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0572C3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1.85 (2.12)</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B48192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0.120</w:t>
            </w:r>
          </w:p>
        </w:tc>
      </w:tr>
      <w:tr w:rsidR="000C20C7" w:rsidRPr="000C20C7" w14:paraId="09B6D416"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1438512"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Congestive Heart Failure</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654CCF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68</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E48203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73</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00964F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62</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373BA1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0.235</w:t>
            </w:r>
          </w:p>
        </w:tc>
      </w:tr>
      <w:tr w:rsidR="000C20C7" w:rsidRPr="000C20C7" w14:paraId="3D3A13ED"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5F2F4F3"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Renal Failure</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4ABF55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3EF39C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50</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B87A1B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40</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D52D17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0.197</w:t>
            </w:r>
          </w:p>
        </w:tc>
      </w:tr>
      <w:tr w:rsidR="000C20C7" w:rsidRPr="000C20C7" w14:paraId="1C6D0D5B"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81B3B31"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Cardiac Arrhythmias</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7BACDA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37</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471178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41</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1A059E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33</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FA6C8A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0.161</w:t>
            </w:r>
          </w:p>
        </w:tc>
      </w:tr>
      <w:tr w:rsidR="000C20C7" w:rsidRPr="000C20C7" w14:paraId="1396CECC"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EA62F9B"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Chronic Pulmonary Disease</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87D151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19EEDA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32</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90FA80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38</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8AF2E7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0.122</w:t>
            </w:r>
          </w:p>
        </w:tc>
      </w:tr>
      <w:tr w:rsidR="000C20C7" w:rsidRPr="000C20C7" w14:paraId="055AA0F2"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B881EBC"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Fluid and Electrolyte Disorders</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00FD5B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32</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A87530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34</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48A1E0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29</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1AF83A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0.112</w:t>
            </w:r>
          </w:p>
        </w:tc>
      </w:tr>
      <w:tr w:rsidR="000C20C7" w:rsidRPr="000C20C7" w14:paraId="2934B2A1"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0DD2063"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Diabetes, Uncomplicated</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E30197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64E614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7F6745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37</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4DA63D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0.547</w:t>
            </w:r>
          </w:p>
        </w:tc>
      </w:tr>
      <w:tr w:rsidR="000C20C7" w:rsidRPr="000C20C7" w14:paraId="6D114E3D"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5B59291"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Diabetes with Complications</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1C4BAD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3408EB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38</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EB0D13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10</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055F7D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0.670</w:t>
            </w:r>
          </w:p>
        </w:tc>
      </w:tr>
      <w:tr w:rsidR="000C20C7" w:rsidRPr="000C20C7" w14:paraId="1F5E3E10"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BF36C47"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Hypertension, Uncomplicated</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48DABD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A06655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17</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269CB3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34</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FA4C67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0.377</w:t>
            </w:r>
          </w:p>
        </w:tc>
      </w:tr>
      <w:tr w:rsidR="000C20C7" w:rsidRPr="000C20C7" w14:paraId="3A401E77"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D7FB145"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Hypertension, Complicated</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6C08C8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3DB85E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26</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7AC187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36</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032DC7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0.214</w:t>
            </w:r>
          </w:p>
        </w:tc>
      </w:tr>
      <w:tr w:rsidR="000C20C7" w:rsidRPr="000C20C7" w14:paraId="1D967CE2"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8DD8A48"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Depression</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60EC63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FD738E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EAF82D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7</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E3B220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0.033</w:t>
            </w:r>
          </w:p>
        </w:tc>
      </w:tr>
      <w:tr w:rsidR="000C20C7" w:rsidRPr="000C20C7" w14:paraId="35027E3E"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1419F01"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Obesity</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D7DA5F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28</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855660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30</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F36E35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25</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7BC7C8A"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0.108</w:t>
            </w:r>
          </w:p>
        </w:tc>
      </w:tr>
      <w:tr w:rsidR="000C20C7" w:rsidRPr="000C20C7" w14:paraId="50291EC5"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BB1EEA2"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Deficiency Anemia</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41C9C1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89CCCA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7</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26452F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DD003A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0.039</w:t>
            </w:r>
          </w:p>
        </w:tc>
      </w:tr>
      <w:tr w:rsidR="000C20C7" w:rsidRPr="000C20C7" w14:paraId="65F02506"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48E4421"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Coagulopathy</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0D89AA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0B1CB6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FD4832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6B9835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0.062</w:t>
            </w:r>
          </w:p>
        </w:tc>
      </w:tr>
      <w:tr w:rsidR="000C20C7" w:rsidRPr="000C20C7" w14:paraId="609DED4C"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8C94C84"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Hypothyroidism</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D894F0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7A988A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DED131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B03173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0.002</w:t>
            </w:r>
          </w:p>
        </w:tc>
      </w:tr>
      <w:tr w:rsidR="000C20C7" w:rsidRPr="000C20C7" w14:paraId="153F4B84"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5A55A6C"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Liver Disease</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38AA49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8D9406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1875E9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144BE2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0.043</w:t>
            </w:r>
          </w:p>
        </w:tc>
      </w:tr>
      <w:tr w:rsidR="000C20C7" w:rsidRPr="000C20C7" w14:paraId="0838C0CA"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840B1AA"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Peripheral Vascular Disease</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4EC8EC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22DBE0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13</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FE0280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56C565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0.128</w:t>
            </w:r>
          </w:p>
        </w:tc>
      </w:tr>
      <w:tr w:rsidR="000C20C7" w:rsidRPr="000C20C7" w14:paraId="42CD58C8"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448CAEC"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Valvular Disease</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79D626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18</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BD5CD4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17</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43038E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19</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9043E0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0.034</w:t>
            </w:r>
          </w:p>
        </w:tc>
      </w:tr>
      <w:tr w:rsidR="000C20C7" w:rsidRPr="000C20C7" w14:paraId="118524DF"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AD3C540"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Pulmonary Circulation Disorders</w:t>
            </w:r>
            <w:r>
              <w:rPr>
                <w:rFonts w:asciiTheme="majorBidi" w:hAnsiTheme="majorBidi" w:cstheme="majorBidi"/>
                <w:sz w:val="16"/>
              </w:rPr>
              <w:t xml:space="preserve">, </w:t>
            </w:r>
            <w:r w:rsidRPr="00597240">
              <w:rPr>
                <w:rFonts w:asciiTheme="majorBidi" w:hAnsiTheme="majorBidi" w:cstheme="majorBidi"/>
                <w:sz w:val="16"/>
              </w:rPr>
              <w:t>%</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94304D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19</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B1E593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20</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65279E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17</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51AD5B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0.070</w:t>
            </w:r>
          </w:p>
        </w:tc>
      </w:tr>
      <w:tr w:rsidR="000C20C7" w:rsidRPr="000C20C7" w14:paraId="3353F216"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BE4479E"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Admission order,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F9C529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1.49 (1.59)</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B1A1F2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1.50 (1.63)</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42B393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1.48 (1.54)</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93F0FF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0.016</w:t>
            </w:r>
          </w:p>
        </w:tc>
      </w:tr>
      <w:tr w:rsidR="000C20C7" w:rsidRPr="000C20C7" w14:paraId="1F2903BC"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67B05CB"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Total CVD conditions, mean (SD)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89A016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4.57 (1.94)</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733CEC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4.48 (1.83)</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98FF79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4.68 (2.05)</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31A332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0.105</w:t>
            </w:r>
          </w:p>
        </w:tc>
      </w:tr>
      <w:tr w:rsidR="000C20C7" w:rsidRPr="000C20C7" w14:paraId="0775D1E8"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3810F5B"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lastRenderedPageBreak/>
              <w:t>Insurance Type</w:t>
            </w:r>
            <w:r>
              <w:rPr>
                <w:rFonts w:asciiTheme="majorBidi" w:hAnsiTheme="majorBidi" w:cstheme="majorBidi"/>
                <w:sz w:val="16"/>
              </w:rPr>
              <w:t xml:space="preserve">, </w:t>
            </w:r>
            <w:r w:rsidRPr="00C14DFF">
              <w:rPr>
                <w:rFonts w:asciiTheme="majorBidi" w:hAnsiTheme="majorBidi" w:cstheme="majorBidi"/>
                <w:sz w:val="16"/>
              </w:rPr>
              <w:t>n (%)</w:t>
            </w:r>
            <w:r w:rsidRPr="000C20C7">
              <w:rPr>
                <w:rFonts w:asciiTheme="majorBidi" w:hAnsiTheme="majorBidi" w:cstheme="majorBidi"/>
                <w:sz w:val="16"/>
              </w:rPr>
              <w:t>: Commercial</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936C83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33,341 (21.1)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5AAA0C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17,358 (20.7)</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DE67C6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15,983 (21.6)</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E3F8FA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0.161</w:t>
            </w:r>
          </w:p>
        </w:tc>
      </w:tr>
      <w:tr w:rsidR="000C20C7" w:rsidRPr="000C20C7" w14:paraId="7C279CC9"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E027085"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Medicaid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EA383D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16,868 (10.7)</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205D40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9,618 (11.5)</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4A3F33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7,250 (9.8)</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0B6B418" w14:textId="77777777" w:rsidR="00000000" w:rsidRPr="000C20C7" w:rsidRDefault="00000000" w:rsidP="00C33C7E">
            <w:pPr>
              <w:spacing w:after="0"/>
              <w:jc w:val="center"/>
              <w:rPr>
                <w:rFonts w:asciiTheme="majorBidi" w:hAnsiTheme="majorBidi" w:cstheme="majorBidi"/>
              </w:rPr>
            </w:pPr>
          </w:p>
        </w:tc>
      </w:tr>
      <w:tr w:rsidR="000C20C7" w:rsidRPr="000C20C7" w14:paraId="6A39E6C8"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6B6C156"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Medicare</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C23B80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92,250 (58.5)</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159240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50,522 (60.2)</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3C77E0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41,728 (56.5)</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739A9F5" w14:textId="77777777" w:rsidR="00000000" w:rsidRPr="000C20C7" w:rsidRDefault="00000000" w:rsidP="00C33C7E">
            <w:pPr>
              <w:spacing w:after="0"/>
              <w:jc w:val="center"/>
              <w:rPr>
                <w:rFonts w:asciiTheme="majorBidi" w:hAnsiTheme="majorBidi" w:cstheme="majorBidi"/>
              </w:rPr>
            </w:pPr>
          </w:p>
        </w:tc>
      </w:tr>
      <w:tr w:rsidR="000C20C7" w:rsidRPr="000C20C7" w14:paraId="5928AB4B"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A576B23"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Self-Pay/Uninsured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6B5E77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15,332 (9.7)</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B7CD01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6,397 (7.6)</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E46D2D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8,935 (12.1)</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E14A5C7" w14:textId="77777777" w:rsidR="00000000" w:rsidRPr="000C20C7" w:rsidRDefault="00000000" w:rsidP="00C33C7E">
            <w:pPr>
              <w:spacing w:after="0"/>
              <w:jc w:val="center"/>
              <w:rPr>
                <w:rFonts w:asciiTheme="majorBidi" w:hAnsiTheme="majorBidi" w:cstheme="majorBidi"/>
              </w:rPr>
            </w:pPr>
          </w:p>
        </w:tc>
      </w:tr>
      <w:tr w:rsidR="000C20C7" w:rsidRPr="000C20C7" w14:paraId="7971DDC1"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8403A96"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Primary CVD Category</w:t>
            </w:r>
            <w:r>
              <w:rPr>
                <w:rFonts w:asciiTheme="majorBidi" w:hAnsiTheme="majorBidi" w:cstheme="majorBidi"/>
                <w:sz w:val="16"/>
              </w:rPr>
              <w:t xml:space="preserve">, </w:t>
            </w:r>
            <w:r w:rsidRPr="00C14DFF">
              <w:rPr>
                <w:rFonts w:asciiTheme="majorBidi" w:hAnsiTheme="majorBidi" w:cstheme="majorBidi"/>
                <w:sz w:val="16"/>
              </w:rPr>
              <w:t>n (%)</w:t>
            </w:r>
            <w:r w:rsidRPr="000C20C7">
              <w:rPr>
                <w:rFonts w:asciiTheme="majorBidi" w:hAnsiTheme="majorBidi" w:cstheme="majorBidi"/>
                <w:sz w:val="16"/>
              </w:rPr>
              <w:t xml:space="preserve">: </w:t>
            </w:r>
            <w:r>
              <w:rPr>
                <w:rFonts w:asciiTheme="majorBidi" w:hAnsiTheme="majorBidi" w:cstheme="majorBidi"/>
                <w:sz w:val="16"/>
              </w:rPr>
              <w:t>AMI</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31433E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30,126 (19.1)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918139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15,259 (18.2)</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BB4463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14,867 (20.1)</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DF5CAC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0.096</w:t>
            </w:r>
          </w:p>
        </w:tc>
      </w:tr>
      <w:tr w:rsidR="000C20C7" w:rsidRPr="000C20C7" w14:paraId="1CFD58F8"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05539AA"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w:t>
            </w:r>
            <w:r>
              <w:rPr>
                <w:rFonts w:asciiTheme="majorBidi" w:hAnsiTheme="majorBidi" w:cstheme="majorBidi"/>
                <w:sz w:val="16"/>
              </w:rPr>
              <w:t>AF/AFL</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091EEA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18,782 (11.9)</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97E13F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9,176 (10.9)</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4D223D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9,606 (13.0)</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CB5940C" w14:textId="77777777" w:rsidR="00000000" w:rsidRPr="000C20C7" w:rsidRDefault="00000000" w:rsidP="00C33C7E">
            <w:pPr>
              <w:spacing w:after="0"/>
              <w:jc w:val="center"/>
              <w:rPr>
                <w:rFonts w:asciiTheme="majorBidi" w:hAnsiTheme="majorBidi" w:cstheme="majorBidi"/>
              </w:rPr>
            </w:pPr>
          </w:p>
        </w:tc>
      </w:tr>
      <w:tr w:rsidR="000C20C7" w:rsidRPr="000C20C7" w14:paraId="22B633B4"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E4AD5F2"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H</w:t>
            </w:r>
            <w:r>
              <w:rPr>
                <w:rFonts w:asciiTheme="majorBidi" w:hAnsiTheme="majorBidi" w:cstheme="majorBidi"/>
                <w:sz w:val="16"/>
              </w:rPr>
              <w:t>F</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7FE731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94,562 (59.9)</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79117F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51,227 (61.1)</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451087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43,335 (58.6)</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3BE9DBC" w14:textId="77777777" w:rsidR="00000000" w:rsidRPr="000C20C7" w:rsidRDefault="00000000" w:rsidP="00C33C7E">
            <w:pPr>
              <w:spacing w:after="0"/>
              <w:jc w:val="center"/>
              <w:rPr>
                <w:rFonts w:asciiTheme="majorBidi" w:hAnsiTheme="majorBidi" w:cstheme="majorBidi"/>
              </w:rPr>
            </w:pPr>
          </w:p>
        </w:tc>
      </w:tr>
      <w:tr w:rsidR="000C20C7" w:rsidRPr="000C20C7" w14:paraId="5CA43E0A"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2EA4447"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H</w:t>
            </w:r>
            <w:r>
              <w:rPr>
                <w:rFonts w:asciiTheme="majorBidi" w:hAnsiTheme="majorBidi" w:cstheme="majorBidi"/>
                <w:sz w:val="16"/>
              </w:rPr>
              <w:t>HD</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04A210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14,321 (9.1)</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6E0C23C"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8,233 (9.8)</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7884B5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6,088 (8.2)</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2BF36C0" w14:textId="77777777" w:rsidR="00000000" w:rsidRPr="000C20C7" w:rsidRDefault="00000000" w:rsidP="00C33C7E">
            <w:pPr>
              <w:spacing w:after="0"/>
              <w:jc w:val="center"/>
              <w:rPr>
                <w:rFonts w:asciiTheme="majorBidi" w:hAnsiTheme="majorBidi" w:cstheme="majorBidi"/>
              </w:rPr>
            </w:pPr>
          </w:p>
        </w:tc>
      </w:tr>
      <w:tr w:rsidR="000C20C7" w:rsidRPr="000C20C7" w14:paraId="5FD73CEB"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3ECDAC1"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Race/Ethnicity</w:t>
            </w:r>
            <w:r>
              <w:rPr>
                <w:rFonts w:asciiTheme="majorBidi" w:hAnsiTheme="majorBidi" w:cstheme="majorBidi"/>
                <w:sz w:val="16"/>
              </w:rPr>
              <w:t xml:space="preserve">, </w:t>
            </w:r>
            <w:r w:rsidRPr="00C14DFF">
              <w:rPr>
                <w:rFonts w:asciiTheme="majorBidi" w:hAnsiTheme="majorBidi" w:cstheme="majorBidi"/>
                <w:sz w:val="16"/>
              </w:rPr>
              <w:t>n (%)</w:t>
            </w:r>
            <w:r w:rsidRPr="000C20C7">
              <w:rPr>
                <w:rFonts w:asciiTheme="majorBidi" w:hAnsiTheme="majorBidi" w:cstheme="majorBidi"/>
                <w:sz w:val="16"/>
              </w:rPr>
              <w:t>: Black</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090DEC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152,492 (96.6)</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0BF48C4"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81,479 (97.1)</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5576431"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71,013 (96.1)</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4AB6F3D"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0.056</w:t>
            </w:r>
          </w:p>
        </w:tc>
      </w:tr>
      <w:tr w:rsidR="000C20C7" w:rsidRPr="000C20C7" w14:paraId="34F0C7DA"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F48E154"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Hispanic</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9F94B2E"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5,299 (3.4)</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BC5DA4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2,416 (2.9)</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052F8CF"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2,883 (3.9)</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A1FE713" w14:textId="77777777" w:rsidR="00000000" w:rsidRPr="000C20C7" w:rsidRDefault="00000000" w:rsidP="00C33C7E">
            <w:pPr>
              <w:spacing w:after="0"/>
              <w:jc w:val="center"/>
              <w:rPr>
                <w:rFonts w:asciiTheme="majorBidi" w:hAnsiTheme="majorBidi" w:cstheme="majorBidi"/>
              </w:rPr>
            </w:pPr>
          </w:p>
        </w:tc>
      </w:tr>
      <w:tr w:rsidR="000C20C7" w:rsidRPr="000C20C7" w14:paraId="2F2CA941"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42FCB18"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LACE Risk Category</w:t>
            </w:r>
            <w:r>
              <w:rPr>
                <w:rFonts w:asciiTheme="majorBidi" w:hAnsiTheme="majorBidi" w:cstheme="majorBidi"/>
                <w:sz w:val="16"/>
              </w:rPr>
              <w:t xml:space="preserve">, </w:t>
            </w:r>
            <w:r w:rsidRPr="00C14DFF">
              <w:rPr>
                <w:rFonts w:asciiTheme="majorBidi" w:hAnsiTheme="majorBidi" w:cstheme="majorBidi"/>
                <w:sz w:val="16"/>
              </w:rPr>
              <w:t>n (%)</w:t>
            </w:r>
            <w:r w:rsidRPr="000C20C7">
              <w:rPr>
                <w:rFonts w:asciiTheme="majorBidi" w:hAnsiTheme="majorBidi" w:cstheme="majorBidi"/>
                <w:sz w:val="16"/>
              </w:rPr>
              <w:t>: High</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88F037B"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84,036 (53.3)</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1853C27"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49,048 (58.5)</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F61A665"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34,988 (47.3)</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00393ED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0.231</w:t>
            </w:r>
          </w:p>
        </w:tc>
      </w:tr>
      <w:tr w:rsidR="000C20C7" w:rsidRPr="000C20C7" w14:paraId="53B7697B"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F65F2B6"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Low</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51D1F02"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6,188 (3.9)</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93B8956"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2,500 (3.0)</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C107A83"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3,688 (5.0)</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F38DE5D" w14:textId="77777777" w:rsidR="00000000" w:rsidRPr="000C20C7" w:rsidRDefault="00000000" w:rsidP="00C33C7E">
            <w:pPr>
              <w:spacing w:after="0"/>
              <w:jc w:val="center"/>
              <w:rPr>
                <w:rFonts w:asciiTheme="majorBidi" w:hAnsiTheme="majorBidi" w:cstheme="majorBidi"/>
              </w:rPr>
            </w:pPr>
          </w:p>
        </w:tc>
      </w:tr>
      <w:tr w:rsidR="000C20C7" w:rsidRPr="000C20C7" w14:paraId="74E96234" w14:textId="77777777" w:rsidTr="00F04156">
        <w:trPr>
          <w:jc w:val="center"/>
        </w:trPr>
        <w:tc>
          <w:tcPr>
            <w:tcW w:w="3595"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E566967" w14:textId="77777777" w:rsidR="00000000" w:rsidRPr="000C20C7" w:rsidRDefault="00000000" w:rsidP="00C33C7E">
            <w:pPr>
              <w:spacing w:after="0"/>
              <w:rPr>
                <w:rFonts w:asciiTheme="majorBidi" w:hAnsiTheme="majorBidi" w:cstheme="majorBidi"/>
              </w:rPr>
            </w:pPr>
            <w:r w:rsidRPr="000C20C7">
              <w:rPr>
                <w:rFonts w:asciiTheme="majorBidi" w:hAnsiTheme="majorBidi" w:cstheme="majorBidi"/>
                <w:sz w:val="16"/>
              </w:rPr>
              <w:t xml:space="preserve">  Moderate</w:t>
            </w:r>
          </w:p>
        </w:tc>
        <w:tc>
          <w:tcPr>
            <w:tcW w:w="14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4166678"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67,567 (42.8)</w:t>
            </w:r>
          </w:p>
        </w:tc>
        <w:tc>
          <w:tcPr>
            <w:tcW w:w="207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A65B919"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32,347 (38.6)</w:t>
            </w:r>
          </w:p>
        </w:tc>
        <w:tc>
          <w:tcPr>
            <w:tcW w:w="1980"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B7AD410" w14:textId="77777777" w:rsidR="00000000" w:rsidRPr="000C20C7" w:rsidRDefault="00000000" w:rsidP="00C33C7E">
            <w:pPr>
              <w:spacing w:after="0"/>
              <w:jc w:val="center"/>
              <w:rPr>
                <w:rFonts w:asciiTheme="majorBidi" w:hAnsiTheme="majorBidi" w:cstheme="majorBidi"/>
              </w:rPr>
            </w:pPr>
            <w:r w:rsidRPr="000C20C7">
              <w:rPr>
                <w:rFonts w:asciiTheme="majorBidi" w:hAnsiTheme="majorBidi" w:cstheme="majorBidi"/>
                <w:sz w:val="16"/>
              </w:rPr>
              <w:t>35,220 (47.7)</w:t>
            </w:r>
          </w:p>
        </w:tc>
        <w:tc>
          <w:tcPr>
            <w:tcW w:w="1705"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62265DCD" w14:textId="77777777" w:rsidR="00000000" w:rsidRPr="000C20C7" w:rsidRDefault="00000000" w:rsidP="00C33C7E">
            <w:pPr>
              <w:spacing w:after="0"/>
              <w:jc w:val="center"/>
              <w:rPr>
                <w:rFonts w:asciiTheme="majorBidi" w:hAnsiTheme="majorBidi" w:cstheme="majorBidi"/>
              </w:rPr>
            </w:pPr>
          </w:p>
        </w:tc>
      </w:tr>
    </w:tbl>
    <w:p w14:paraId="386951D6" w14:textId="77777777" w:rsidR="00000000" w:rsidRPr="000C20C7" w:rsidRDefault="00000000" w:rsidP="000C20C7">
      <w:pPr>
        <w:rPr>
          <w:rFonts w:asciiTheme="majorBidi" w:hAnsiTheme="majorBidi" w:cstheme="majorBidi"/>
          <w:sz w:val="24"/>
          <w:szCs w:val="24"/>
          <w:vertAlign w:val="superscript"/>
        </w:rPr>
      </w:pPr>
      <w:r w:rsidRPr="000C20C7">
        <w:rPr>
          <w:rFonts w:asciiTheme="majorBidi" w:hAnsiTheme="majorBidi" w:cstheme="majorBidi"/>
          <w:sz w:val="24"/>
          <w:szCs w:val="24"/>
          <w:vertAlign w:val="superscript"/>
        </w:rPr>
        <w:t>Values are mean (SD) for continuous variables and n (%) for categorical variables. SMD = standardized mean difference; SMD &gt; 0.10 indicates meaningful imbalance between coding eras. The ICD-10-CM coding system, implemented October 1, 2015, permits substantially more granular diagnostic coding, which may inflate comorbidity counts. N(ICD-9) = 73,896 (46.8%); N(ICD-10) = 83,895 (53.2%).</w:t>
      </w:r>
      <w:r>
        <w:rPr>
          <w:rFonts w:asciiTheme="majorBidi" w:hAnsiTheme="majorBidi" w:cstheme="majorBidi"/>
          <w:sz w:val="24"/>
          <w:szCs w:val="24"/>
          <w:vertAlign w:val="superscript"/>
        </w:rPr>
        <w:t xml:space="preserve"> </w:t>
      </w:r>
      <w:r w:rsidRPr="000C20C7">
        <w:rPr>
          <w:rFonts w:asciiTheme="majorBidi" w:hAnsiTheme="majorBidi" w:cstheme="majorBidi"/>
          <w:sz w:val="24"/>
          <w:szCs w:val="24"/>
          <w:vertAlign w:val="superscript"/>
        </w:rPr>
        <w:t>Abbreviations: CVD, cardiovascular disease; HF, heart failure; AMI, acute myocardial infarction; AF/AFL, atrial fibrillation/atrial flutter; HHD, hypertensive heart disease; ICD, International Classification of Diseases; LACE, Length of stay, Acuity, Comorbidities, Emergency department visits; SD, standard deviation; SMD, standardized mean difference.</w:t>
      </w:r>
    </w:p>
    <w:p w14:paraId="3B755CC7" w14:textId="77777777" w:rsidR="00000000" w:rsidRPr="000C20C7" w:rsidRDefault="00000000" w:rsidP="000C20C7">
      <w:pPr>
        <w:rPr>
          <w:rFonts w:asciiTheme="majorBidi" w:hAnsiTheme="majorBidi" w:cstheme="majorBidi"/>
        </w:rPr>
      </w:pPr>
    </w:p>
    <w:p w14:paraId="20751690" w14:textId="77777777" w:rsidR="00000000" w:rsidRDefault="00000000">
      <w:pPr>
        <w:rPr>
          <w:rFonts w:asciiTheme="majorBidi" w:hAnsiTheme="majorBidi" w:cstheme="majorBidi"/>
        </w:rPr>
      </w:pPr>
      <w:r>
        <w:rPr>
          <w:rFonts w:asciiTheme="majorBidi" w:hAnsiTheme="majorBidi" w:cstheme="majorBidi"/>
        </w:rPr>
        <w:br w:type="page"/>
      </w:r>
    </w:p>
    <w:p w14:paraId="46EF44BD" w14:textId="77777777" w:rsidR="00000000" w:rsidRPr="000C20C7" w:rsidRDefault="00000000" w:rsidP="000C20C7">
      <w:pPr>
        <w:rPr>
          <w:rFonts w:asciiTheme="majorBidi" w:hAnsiTheme="majorBidi" w:cstheme="majorBidi"/>
        </w:rPr>
      </w:pPr>
      <w:r w:rsidRPr="000C20C7">
        <w:rPr>
          <w:rFonts w:asciiTheme="majorBidi" w:hAnsiTheme="majorBidi" w:cstheme="majorBidi"/>
          <w:b/>
        </w:rPr>
        <w:lastRenderedPageBreak/>
        <w:t>Supplementary Table S11. Sensitivity Analysis of LACE Index Construct Overlap on Model Discrimination.</w:t>
      </w:r>
    </w:p>
    <w:tbl>
      <w:tblPr>
        <w:tblW w:w="0" w:type="auto"/>
        <w:jc w:val="center"/>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848"/>
        <w:gridCol w:w="1185"/>
        <w:gridCol w:w="2912"/>
        <w:gridCol w:w="900"/>
        <w:gridCol w:w="1575"/>
        <w:gridCol w:w="890"/>
        <w:gridCol w:w="1155"/>
        <w:gridCol w:w="1325"/>
      </w:tblGrid>
      <w:tr w:rsidR="000C20C7" w:rsidRPr="000C20C7" w14:paraId="4FE3F394" w14:textId="77777777" w:rsidTr="00630D3B">
        <w:trPr>
          <w:jc w:val="center"/>
        </w:trPr>
        <w:tc>
          <w:tcPr>
            <w:tcW w:w="848" w:type="dxa"/>
            <w:shd w:val="clear" w:color="auto" w:fill="E1EBF7" w:themeFill="text2" w:themeFillTint="1A"/>
          </w:tcPr>
          <w:p w14:paraId="2A14B00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CVD Category</w:t>
            </w:r>
          </w:p>
        </w:tc>
        <w:tc>
          <w:tcPr>
            <w:tcW w:w="1185" w:type="dxa"/>
            <w:shd w:val="clear" w:color="auto" w:fill="E1EBF7" w:themeFill="text2" w:themeFillTint="1A"/>
          </w:tcPr>
          <w:p w14:paraId="76B105B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Configuration</w:t>
            </w:r>
          </w:p>
        </w:tc>
        <w:tc>
          <w:tcPr>
            <w:tcW w:w="2912" w:type="dxa"/>
            <w:shd w:val="clear" w:color="auto" w:fill="E1EBF7" w:themeFill="text2" w:themeFillTint="1A"/>
          </w:tcPr>
          <w:p w14:paraId="0034C77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Feature</w:t>
            </w:r>
            <w:r w:rsidRPr="000C20C7">
              <w:rPr>
                <w:rFonts w:asciiTheme="majorBidi" w:hAnsiTheme="majorBidi" w:cstheme="majorBidi"/>
                <w:b/>
                <w:sz w:val="16"/>
              </w:rPr>
              <w:br/>
              <w:t>Config</w:t>
            </w:r>
          </w:p>
        </w:tc>
        <w:tc>
          <w:tcPr>
            <w:tcW w:w="900" w:type="dxa"/>
            <w:shd w:val="clear" w:color="auto" w:fill="E1EBF7" w:themeFill="text2" w:themeFillTint="1A"/>
          </w:tcPr>
          <w:p w14:paraId="03D4406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N</w:t>
            </w:r>
            <w:r w:rsidRPr="000C20C7">
              <w:rPr>
                <w:rFonts w:asciiTheme="majorBidi" w:hAnsiTheme="majorBidi" w:cstheme="majorBidi"/>
                <w:b/>
                <w:sz w:val="16"/>
              </w:rPr>
              <w:br/>
              <w:t>Features</w:t>
            </w:r>
          </w:p>
        </w:tc>
        <w:tc>
          <w:tcPr>
            <w:tcW w:w="1575" w:type="dxa"/>
            <w:shd w:val="clear" w:color="auto" w:fill="E1EBF7" w:themeFill="text2" w:themeFillTint="1A"/>
          </w:tcPr>
          <w:p w14:paraId="00B756B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AUC (95% CI)</w:t>
            </w:r>
          </w:p>
        </w:tc>
        <w:tc>
          <w:tcPr>
            <w:tcW w:w="890" w:type="dxa"/>
            <w:shd w:val="clear" w:color="auto" w:fill="E1EBF7" w:themeFill="text2" w:themeFillTint="1A"/>
          </w:tcPr>
          <w:p w14:paraId="1485405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DeLong p</w:t>
            </w:r>
            <w:r w:rsidRPr="000C20C7">
              <w:rPr>
                <w:rFonts w:asciiTheme="majorBidi" w:hAnsiTheme="majorBidi" w:cstheme="majorBidi"/>
                <w:b/>
                <w:sz w:val="16"/>
              </w:rPr>
              <w:br/>
              <w:t>vs Full</w:t>
            </w:r>
          </w:p>
        </w:tc>
        <w:tc>
          <w:tcPr>
            <w:tcW w:w="1155" w:type="dxa"/>
            <w:shd w:val="clear" w:color="auto" w:fill="E1EBF7" w:themeFill="text2" w:themeFillTint="1A"/>
          </w:tcPr>
          <w:p w14:paraId="570134B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DeLong p</w:t>
            </w:r>
            <w:r w:rsidRPr="000C20C7">
              <w:rPr>
                <w:rFonts w:asciiTheme="majorBidi" w:hAnsiTheme="majorBidi" w:cstheme="majorBidi"/>
                <w:b/>
                <w:sz w:val="16"/>
              </w:rPr>
              <w:br/>
              <w:t>vs Composite</w:t>
            </w:r>
          </w:p>
        </w:tc>
        <w:tc>
          <w:tcPr>
            <w:tcW w:w="1325" w:type="dxa"/>
            <w:shd w:val="clear" w:color="auto" w:fill="E1EBF7" w:themeFill="text2" w:themeFillTint="1A"/>
          </w:tcPr>
          <w:p w14:paraId="644F43A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b/>
                <w:sz w:val="16"/>
              </w:rPr>
              <w:t>DeLong p</w:t>
            </w:r>
            <w:r w:rsidRPr="000C20C7">
              <w:rPr>
                <w:rFonts w:asciiTheme="majorBidi" w:hAnsiTheme="majorBidi" w:cstheme="majorBidi"/>
                <w:b/>
                <w:sz w:val="16"/>
              </w:rPr>
              <w:br/>
              <w:t>vs Components</w:t>
            </w:r>
          </w:p>
        </w:tc>
      </w:tr>
      <w:tr w:rsidR="000C20C7" w:rsidRPr="000C20C7" w14:paraId="67A5737E" w14:textId="77777777" w:rsidTr="00630D3B">
        <w:trPr>
          <w:jc w:val="center"/>
        </w:trPr>
        <w:tc>
          <w:tcPr>
            <w:tcW w:w="848" w:type="dxa"/>
          </w:tcPr>
          <w:p w14:paraId="7704434A" w14:textId="77777777" w:rsidR="00000000" w:rsidRPr="000C20C7" w:rsidRDefault="00000000" w:rsidP="00672B5F">
            <w:pPr>
              <w:spacing w:after="0"/>
              <w:rPr>
                <w:rFonts w:asciiTheme="majorBidi" w:hAnsiTheme="majorBidi" w:cstheme="majorBidi"/>
              </w:rPr>
            </w:pPr>
            <w:r>
              <w:rPr>
                <w:rFonts w:asciiTheme="majorBidi" w:hAnsiTheme="majorBidi" w:cstheme="majorBidi"/>
                <w:sz w:val="16"/>
              </w:rPr>
              <w:t>AMI</w:t>
            </w:r>
          </w:p>
        </w:tc>
        <w:tc>
          <w:tcPr>
            <w:tcW w:w="1185" w:type="dxa"/>
          </w:tcPr>
          <w:p w14:paraId="7996558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Unbalanced</w:t>
            </w:r>
          </w:p>
        </w:tc>
        <w:tc>
          <w:tcPr>
            <w:tcW w:w="2912" w:type="dxa"/>
          </w:tcPr>
          <w:p w14:paraId="175B3E2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Components Only (Composite Removed)</w:t>
            </w:r>
          </w:p>
        </w:tc>
        <w:tc>
          <w:tcPr>
            <w:tcW w:w="900" w:type="dxa"/>
          </w:tcPr>
          <w:p w14:paraId="226C6D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46</w:t>
            </w:r>
          </w:p>
        </w:tc>
        <w:tc>
          <w:tcPr>
            <w:tcW w:w="1575" w:type="dxa"/>
          </w:tcPr>
          <w:p w14:paraId="34C3194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0.707 (0.690-0.724)</w:t>
            </w:r>
          </w:p>
        </w:tc>
        <w:tc>
          <w:tcPr>
            <w:tcW w:w="890" w:type="dxa"/>
          </w:tcPr>
          <w:p w14:paraId="3BADD1B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0.664</w:t>
            </w:r>
          </w:p>
        </w:tc>
        <w:tc>
          <w:tcPr>
            <w:tcW w:w="1155" w:type="dxa"/>
          </w:tcPr>
          <w:p w14:paraId="165375A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0.6493</w:t>
            </w:r>
          </w:p>
        </w:tc>
        <w:tc>
          <w:tcPr>
            <w:tcW w:w="1325" w:type="dxa"/>
          </w:tcPr>
          <w:p w14:paraId="1AD4900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r>
      <w:tr w:rsidR="00CB375E" w:rsidRPr="000C20C7" w14:paraId="567A2D6E" w14:textId="77777777" w:rsidTr="00630D3B">
        <w:trPr>
          <w:jc w:val="center"/>
        </w:trPr>
        <w:tc>
          <w:tcPr>
            <w:tcW w:w="848" w:type="dxa"/>
          </w:tcPr>
          <w:p w14:paraId="514C8FA6" w14:textId="77777777" w:rsidR="00000000" w:rsidRPr="000C20C7" w:rsidRDefault="00000000" w:rsidP="00672B5F">
            <w:pPr>
              <w:spacing w:after="0"/>
              <w:rPr>
                <w:rFonts w:asciiTheme="majorBidi" w:hAnsiTheme="majorBidi" w:cstheme="majorBidi"/>
              </w:rPr>
            </w:pPr>
            <w:r w:rsidRPr="00177FA1">
              <w:rPr>
                <w:rFonts w:asciiTheme="majorBidi" w:hAnsiTheme="majorBidi" w:cstheme="majorBidi"/>
                <w:sz w:val="16"/>
              </w:rPr>
              <w:t>AMI</w:t>
            </w:r>
          </w:p>
        </w:tc>
        <w:tc>
          <w:tcPr>
            <w:tcW w:w="1185" w:type="dxa"/>
          </w:tcPr>
          <w:p w14:paraId="012FBC3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Unbalanced</w:t>
            </w:r>
          </w:p>
        </w:tc>
        <w:tc>
          <w:tcPr>
            <w:tcW w:w="2912" w:type="dxa"/>
          </w:tcPr>
          <w:p w14:paraId="1F53FC1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Composite Index Only (Components Removed)</w:t>
            </w:r>
          </w:p>
        </w:tc>
        <w:tc>
          <w:tcPr>
            <w:tcW w:w="900" w:type="dxa"/>
          </w:tcPr>
          <w:p w14:paraId="73FBF3F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44</w:t>
            </w:r>
          </w:p>
        </w:tc>
        <w:tc>
          <w:tcPr>
            <w:tcW w:w="1575" w:type="dxa"/>
          </w:tcPr>
          <w:p w14:paraId="23CA899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0.707 (0.690-0.723)</w:t>
            </w:r>
          </w:p>
        </w:tc>
        <w:tc>
          <w:tcPr>
            <w:tcW w:w="890" w:type="dxa"/>
          </w:tcPr>
          <w:p w14:paraId="2C0CE25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0.9003</w:t>
            </w:r>
          </w:p>
        </w:tc>
        <w:tc>
          <w:tcPr>
            <w:tcW w:w="1155" w:type="dxa"/>
          </w:tcPr>
          <w:p w14:paraId="0553C27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325" w:type="dxa"/>
          </w:tcPr>
          <w:p w14:paraId="795895D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0.6493</w:t>
            </w:r>
          </w:p>
        </w:tc>
      </w:tr>
      <w:tr w:rsidR="00CB375E" w:rsidRPr="000C20C7" w14:paraId="6875F402" w14:textId="77777777" w:rsidTr="00630D3B">
        <w:trPr>
          <w:jc w:val="center"/>
        </w:trPr>
        <w:tc>
          <w:tcPr>
            <w:tcW w:w="848" w:type="dxa"/>
          </w:tcPr>
          <w:p w14:paraId="282DAF67" w14:textId="77777777" w:rsidR="00000000" w:rsidRPr="000C20C7" w:rsidRDefault="00000000" w:rsidP="00672B5F">
            <w:pPr>
              <w:spacing w:after="0"/>
              <w:rPr>
                <w:rFonts w:asciiTheme="majorBidi" w:hAnsiTheme="majorBidi" w:cstheme="majorBidi"/>
              </w:rPr>
            </w:pPr>
            <w:r w:rsidRPr="00177FA1">
              <w:rPr>
                <w:rFonts w:asciiTheme="majorBidi" w:hAnsiTheme="majorBidi" w:cstheme="majorBidi"/>
                <w:sz w:val="16"/>
              </w:rPr>
              <w:t>AMI</w:t>
            </w:r>
          </w:p>
        </w:tc>
        <w:tc>
          <w:tcPr>
            <w:tcW w:w="1185" w:type="dxa"/>
          </w:tcPr>
          <w:p w14:paraId="7BAEBF1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Unbalanced</w:t>
            </w:r>
          </w:p>
        </w:tc>
        <w:tc>
          <w:tcPr>
            <w:tcW w:w="2912" w:type="dxa"/>
          </w:tcPr>
          <w:p w14:paraId="79E673F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Full Feature Set (LACE Index + Components)</w:t>
            </w:r>
          </w:p>
        </w:tc>
        <w:tc>
          <w:tcPr>
            <w:tcW w:w="900" w:type="dxa"/>
          </w:tcPr>
          <w:p w14:paraId="18FB4F4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47</w:t>
            </w:r>
          </w:p>
        </w:tc>
        <w:tc>
          <w:tcPr>
            <w:tcW w:w="1575" w:type="dxa"/>
          </w:tcPr>
          <w:p w14:paraId="7C1E19F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0.707 (0.690-0.723)</w:t>
            </w:r>
          </w:p>
        </w:tc>
        <w:tc>
          <w:tcPr>
            <w:tcW w:w="890" w:type="dxa"/>
          </w:tcPr>
          <w:p w14:paraId="29D6B5C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155" w:type="dxa"/>
          </w:tcPr>
          <w:p w14:paraId="2D0965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0.9003</w:t>
            </w:r>
          </w:p>
        </w:tc>
        <w:tc>
          <w:tcPr>
            <w:tcW w:w="1325" w:type="dxa"/>
          </w:tcPr>
          <w:p w14:paraId="5C8B562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0.664</w:t>
            </w:r>
          </w:p>
        </w:tc>
      </w:tr>
      <w:tr w:rsidR="000C20C7" w:rsidRPr="000C20C7" w14:paraId="5CE59916" w14:textId="77777777" w:rsidTr="00630D3B">
        <w:trPr>
          <w:jc w:val="center"/>
        </w:trPr>
        <w:tc>
          <w:tcPr>
            <w:tcW w:w="848" w:type="dxa"/>
          </w:tcPr>
          <w:p w14:paraId="101ECDA4" w14:textId="77777777" w:rsidR="00000000" w:rsidRPr="000C20C7" w:rsidRDefault="00000000" w:rsidP="00672B5F">
            <w:pPr>
              <w:spacing w:after="0"/>
              <w:rPr>
                <w:rFonts w:asciiTheme="majorBidi" w:hAnsiTheme="majorBidi" w:cstheme="majorBidi"/>
              </w:rPr>
            </w:pPr>
            <w:r>
              <w:rPr>
                <w:rFonts w:asciiTheme="majorBidi" w:hAnsiTheme="majorBidi" w:cstheme="majorBidi"/>
                <w:sz w:val="16"/>
              </w:rPr>
              <w:t>AF/AFL</w:t>
            </w:r>
          </w:p>
        </w:tc>
        <w:tc>
          <w:tcPr>
            <w:tcW w:w="1185" w:type="dxa"/>
          </w:tcPr>
          <w:p w14:paraId="08C3C90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5A049B3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Components Only (Composite Removed)</w:t>
            </w:r>
          </w:p>
        </w:tc>
        <w:tc>
          <w:tcPr>
            <w:tcW w:w="900" w:type="dxa"/>
          </w:tcPr>
          <w:p w14:paraId="7DC450B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46</w:t>
            </w:r>
          </w:p>
        </w:tc>
        <w:tc>
          <w:tcPr>
            <w:tcW w:w="1575" w:type="dxa"/>
          </w:tcPr>
          <w:p w14:paraId="6F5A843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0.726 (0.708-0.744)</w:t>
            </w:r>
          </w:p>
        </w:tc>
        <w:tc>
          <w:tcPr>
            <w:tcW w:w="890" w:type="dxa"/>
          </w:tcPr>
          <w:p w14:paraId="7E8EB06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0.7822</w:t>
            </w:r>
          </w:p>
        </w:tc>
        <w:tc>
          <w:tcPr>
            <w:tcW w:w="1155" w:type="dxa"/>
          </w:tcPr>
          <w:p w14:paraId="431266D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0.8308</w:t>
            </w:r>
          </w:p>
        </w:tc>
        <w:tc>
          <w:tcPr>
            <w:tcW w:w="1325" w:type="dxa"/>
          </w:tcPr>
          <w:p w14:paraId="33FF1C1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r>
      <w:tr w:rsidR="00CB375E" w:rsidRPr="000C20C7" w14:paraId="79B60E08" w14:textId="77777777" w:rsidTr="00630D3B">
        <w:trPr>
          <w:jc w:val="center"/>
        </w:trPr>
        <w:tc>
          <w:tcPr>
            <w:tcW w:w="848" w:type="dxa"/>
          </w:tcPr>
          <w:p w14:paraId="6F2ECF0F" w14:textId="77777777" w:rsidR="00000000" w:rsidRPr="000C20C7" w:rsidRDefault="00000000" w:rsidP="00672B5F">
            <w:pPr>
              <w:spacing w:after="0"/>
              <w:rPr>
                <w:rFonts w:asciiTheme="majorBidi" w:hAnsiTheme="majorBidi" w:cstheme="majorBidi"/>
              </w:rPr>
            </w:pPr>
            <w:r w:rsidRPr="00C442A6">
              <w:rPr>
                <w:rFonts w:asciiTheme="majorBidi" w:hAnsiTheme="majorBidi" w:cstheme="majorBidi"/>
                <w:sz w:val="16"/>
              </w:rPr>
              <w:t>AF/AFL</w:t>
            </w:r>
          </w:p>
        </w:tc>
        <w:tc>
          <w:tcPr>
            <w:tcW w:w="1185" w:type="dxa"/>
          </w:tcPr>
          <w:p w14:paraId="71CA6C2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7DA32D9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Composite Index Only (Components Removed)</w:t>
            </w:r>
          </w:p>
        </w:tc>
        <w:tc>
          <w:tcPr>
            <w:tcW w:w="900" w:type="dxa"/>
          </w:tcPr>
          <w:p w14:paraId="7818E09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44</w:t>
            </w:r>
          </w:p>
        </w:tc>
        <w:tc>
          <w:tcPr>
            <w:tcW w:w="1575" w:type="dxa"/>
          </w:tcPr>
          <w:p w14:paraId="6D6C8F2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0.727 (0.708-0.744)</w:t>
            </w:r>
          </w:p>
        </w:tc>
        <w:tc>
          <w:tcPr>
            <w:tcW w:w="890" w:type="dxa"/>
          </w:tcPr>
          <w:p w14:paraId="78BD32C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0.5209</w:t>
            </w:r>
          </w:p>
        </w:tc>
        <w:tc>
          <w:tcPr>
            <w:tcW w:w="1155" w:type="dxa"/>
          </w:tcPr>
          <w:p w14:paraId="0D519AC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325" w:type="dxa"/>
          </w:tcPr>
          <w:p w14:paraId="0EAC0E8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0.8308</w:t>
            </w:r>
          </w:p>
        </w:tc>
      </w:tr>
      <w:tr w:rsidR="00CB375E" w:rsidRPr="000C20C7" w14:paraId="6AC2CD2A" w14:textId="77777777" w:rsidTr="00630D3B">
        <w:trPr>
          <w:jc w:val="center"/>
        </w:trPr>
        <w:tc>
          <w:tcPr>
            <w:tcW w:w="848" w:type="dxa"/>
          </w:tcPr>
          <w:p w14:paraId="58454390" w14:textId="77777777" w:rsidR="00000000" w:rsidRPr="000C20C7" w:rsidRDefault="00000000" w:rsidP="00672B5F">
            <w:pPr>
              <w:spacing w:after="0"/>
              <w:rPr>
                <w:rFonts w:asciiTheme="majorBidi" w:hAnsiTheme="majorBidi" w:cstheme="majorBidi"/>
              </w:rPr>
            </w:pPr>
            <w:r w:rsidRPr="00C442A6">
              <w:rPr>
                <w:rFonts w:asciiTheme="majorBidi" w:hAnsiTheme="majorBidi" w:cstheme="majorBidi"/>
                <w:sz w:val="16"/>
              </w:rPr>
              <w:t>AF/AFL</w:t>
            </w:r>
          </w:p>
        </w:tc>
        <w:tc>
          <w:tcPr>
            <w:tcW w:w="1185" w:type="dxa"/>
          </w:tcPr>
          <w:p w14:paraId="743DD27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02C0E3D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Full Feature Set (LACE Index + Components)</w:t>
            </w:r>
          </w:p>
        </w:tc>
        <w:tc>
          <w:tcPr>
            <w:tcW w:w="900" w:type="dxa"/>
          </w:tcPr>
          <w:p w14:paraId="3CF0C40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47</w:t>
            </w:r>
          </w:p>
        </w:tc>
        <w:tc>
          <w:tcPr>
            <w:tcW w:w="1575" w:type="dxa"/>
          </w:tcPr>
          <w:p w14:paraId="7B9D517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0.726 (0.707-0.743)</w:t>
            </w:r>
          </w:p>
        </w:tc>
        <w:tc>
          <w:tcPr>
            <w:tcW w:w="890" w:type="dxa"/>
          </w:tcPr>
          <w:p w14:paraId="5D4ACB3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155" w:type="dxa"/>
          </w:tcPr>
          <w:p w14:paraId="19631BC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0.5209</w:t>
            </w:r>
          </w:p>
        </w:tc>
        <w:tc>
          <w:tcPr>
            <w:tcW w:w="1325" w:type="dxa"/>
          </w:tcPr>
          <w:p w14:paraId="0A2C90F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0.7822</w:t>
            </w:r>
          </w:p>
        </w:tc>
      </w:tr>
      <w:tr w:rsidR="000C20C7" w:rsidRPr="000C20C7" w14:paraId="203248D5" w14:textId="77777777" w:rsidTr="00630D3B">
        <w:trPr>
          <w:jc w:val="center"/>
        </w:trPr>
        <w:tc>
          <w:tcPr>
            <w:tcW w:w="848" w:type="dxa"/>
          </w:tcPr>
          <w:p w14:paraId="4E45B83F" w14:textId="77777777" w:rsidR="00000000" w:rsidRPr="000C20C7" w:rsidRDefault="00000000" w:rsidP="00672B5F">
            <w:pPr>
              <w:spacing w:after="0"/>
              <w:rPr>
                <w:rFonts w:asciiTheme="majorBidi" w:hAnsiTheme="majorBidi" w:cstheme="majorBidi"/>
              </w:rPr>
            </w:pPr>
            <w:r>
              <w:rPr>
                <w:rFonts w:asciiTheme="majorBidi" w:hAnsiTheme="majorBidi" w:cstheme="majorBidi"/>
                <w:sz w:val="16"/>
              </w:rPr>
              <w:t>HF</w:t>
            </w:r>
          </w:p>
        </w:tc>
        <w:tc>
          <w:tcPr>
            <w:tcW w:w="1185" w:type="dxa"/>
          </w:tcPr>
          <w:p w14:paraId="63BA299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77DB7F5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Components Only (Composite Removed)</w:t>
            </w:r>
          </w:p>
        </w:tc>
        <w:tc>
          <w:tcPr>
            <w:tcW w:w="900" w:type="dxa"/>
          </w:tcPr>
          <w:p w14:paraId="3AB130D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46</w:t>
            </w:r>
          </w:p>
        </w:tc>
        <w:tc>
          <w:tcPr>
            <w:tcW w:w="1575" w:type="dxa"/>
          </w:tcPr>
          <w:p w14:paraId="3AAC0BF7"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0.706 (0.699-0.714)</w:t>
            </w:r>
          </w:p>
        </w:tc>
        <w:tc>
          <w:tcPr>
            <w:tcW w:w="890" w:type="dxa"/>
          </w:tcPr>
          <w:p w14:paraId="7553C45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0.6441</w:t>
            </w:r>
          </w:p>
        </w:tc>
        <w:tc>
          <w:tcPr>
            <w:tcW w:w="1155" w:type="dxa"/>
          </w:tcPr>
          <w:p w14:paraId="29A1287C"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0.2122</w:t>
            </w:r>
          </w:p>
        </w:tc>
        <w:tc>
          <w:tcPr>
            <w:tcW w:w="1325" w:type="dxa"/>
          </w:tcPr>
          <w:p w14:paraId="269AEAE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r>
      <w:tr w:rsidR="00CB375E" w:rsidRPr="000C20C7" w14:paraId="337E14B3" w14:textId="77777777" w:rsidTr="00630D3B">
        <w:trPr>
          <w:jc w:val="center"/>
        </w:trPr>
        <w:tc>
          <w:tcPr>
            <w:tcW w:w="848" w:type="dxa"/>
          </w:tcPr>
          <w:p w14:paraId="4420CD99" w14:textId="77777777" w:rsidR="00000000" w:rsidRPr="000C20C7" w:rsidRDefault="00000000" w:rsidP="00672B5F">
            <w:pPr>
              <w:spacing w:after="0"/>
              <w:rPr>
                <w:rFonts w:asciiTheme="majorBidi" w:hAnsiTheme="majorBidi" w:cstheme="majorBidi"/>
              </w:rPr>
            </w:pPr>
            <w:r w:rsidRPr="007D1233">
              <w:rPr>
                <w:rFonts w:asciiTheme="majorBidi" w:hAnsiTheme="majorBidi" w:cstheme="majorBidi"/>
                <w:sz w:val="16"/>
              </w:rPr>
              <w:t>HF</w:t>
            </w:r>
          </w:p>
        </w:tc>
        <w:tc>
          <w:tcPr>
            <w:tcW w:w="1185" w:type="dxa"/>
          </w:tcPr>
          <w:p w14:paraId="397C459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6F8697F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Composite Index Only (Components Removed)</w:t>
            </w:r>
          </w:p>
        </w:tc>
        <w:tc>
          <w:tcPr>
            <w:tcW w:w="900" w:type="dxa"/>
          </w:tcPr>
          <w:p w14:paraId="19816821"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44</w:t>
            </w:r>
          </w:p>
        </w:tc>
        <w:tc>
          <w:tcPr>
            <w:tcW w:w="1575" w:type="dxa"/>
          </w:tcPr>
          <w:p w14:paraId="14847B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0.706 (0.698-0.713)</w:t>
            </w:r>
          </w:p>
        </w:tc>
        <w:tc>
          <w:tcPr>
            <w:tcW w:w="890" w:type="dxa"/>
          </w:tcPr>
          <w:p w14:paraId="39902713"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0.2953</w:t>
            </w:r>
          </w:p>
        </w:tc>
        <w:tc>
          <w:tcPr>
            <w:tcW w:w="1155" w:type="dxa"/>
          </w:tcPr>
          <w:p w14:paraId="6A37C55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325" w:type="dxa"/>
          </w:tcPr>
          <w:p w14:paraId="78997D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0.2122</w:t>
            </w:r>
          </w:p>
        </w:tc>
      </w:tr>
      <w:tr w:rsidR="00CB375E" w:rsidRPr="000C20C7" w14:paraId="3978F22E" w14:textId="77777777" w:rsidTr="00630D3B">
        <w:trPr>
          <w:jc w:val="center"/>
        </w:trPr>
        <w:tc>
          <w:tcPr>
            <w:tcW w:w="848" w:type="dxa"/>
          </w:tcPr>
          <w:p w14:paraId="06ECDE4A" w14:textId="77777777" w:rsidR="00000000" w:rsidRPr="000C20C7" w:rsidRDefault="00000000" w:rsidP="00672B5F">
            <w:pPr>
              <w:spacing w:after="0"/>
              <w:rPr>
                <w:rFonts w:asciiTheme="majorBidi" w:hAnsiTheme="majorBidi" w:cstheme="majorBidi"/>
              </w:rPr>
            </w:pPr>
            <w:r w:rsidRPr="007D1233">
              <w:rPr>
                <w:rFonts w:asciiTheme="majorBidi" w:hAnsiTheme="majorBidi" w:cstheme="majorBidi"/>
                <w:sz w:val="16"/>
              </w:rPr>
              <w:t>HF</w:t>
            </w:r>
          </w:p>
        </w:tc>
        <w:tc>
          <w:tcPr>
            <w:tcW w:w="1185" w:type="dxa"/>
          </w:tcPr>
          <w:p w14:paraId="4818666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6B1CFC4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Full Feature Set (LACE Index + Components)</w:t>
            </w:r>
          </w:p>
        </w:tc>
        <w:tc>
          <w:tcPr>
            <w:tcW w:w="900" w:type="dxa"/>
          </w:tcPr>
          <w:p w14:paraId="5207ADA6"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47</w:t>
            </w:r>
          </w:p>
        </w:tc>
        <w:tc>
          <w:tcPr>
            <w:tcW w:w="1575" w:type="dxa"/>
          </w:tcPr>
          <w:p w14:paraId="0B9DA26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0.706 (0.699-0.713)</w:t>
            </w:r>
          </w:p>
        </w:tc>
        <w:tc>
          <w:tcPr>
            <w:tcW w:w="890" w:type="dxa"/>
          </w:tcPr>
          <w:p w14:paraId="396D29B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155" w:type="dxa"/>
          </w:tcPr>
          <w:p w14:paraId="2BE6C79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0.2953</w:t>
            </w:r>
          </w:p>
        </w:tc>
        <w:tc>
          <w:tcPr>
            <w:tcW w:w="1325" w:type="dxa"/>
          </w:tcPr>
          <w:p w14:paraId="4F84ECB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0.6441</w:t>
            </w:r>
          </w:p>
        </w:tc>
      </w:tr>
      <w:tr w:rsidR="000C20C7" w:rsidRPr="000C20C7" w14:paraId="05C7E82F" w14:textId="77777777" w:rsidTr="00630D3B">
        <w:trPr>
          <w:jc w:val="center"/>
        </w:trPr>
        <w:tc>
          <w:tcPr>
            <w:tcW w:w="848" w:type="dxa"/>
          </w:tcPr>
          <w:p w14:paraId="6FEFAB2B" w14:textId="77777777" w:rsidR="00000000" w:rsidRPr="000C20C7" w:rsidRDefault="00000000" w:rsidP="00672B5F">
            <w:pPr>
              <w:spacing w:after="0"/>
              <w:rPr>
                <w:rFonts w:asciiTheme="majorBidi" w:hAnsiTheme="majorBidi" w:cstheme="majorBidi"/>
              </w:rPr>
            </w:pPr>
            <w:r>
              <w:rPr>
                <w:rFonts w:asciiTheme="majorBidi" w:hAnsiTheme="majorBidi" w:cstheme="majorBidi"/>
                <w:sz w:val="16"/>
              </w:rPr>
              <w:t>HHD</w:t>
            </w:r>
          </w:p>
        </w:tc>
        <w:tc>
          <w:tcPr>
            <w:tcW w:w="1185" w:type="dxa"/>
          </w:tcPr>
          <w:p w14:paraId="5886965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3E4376D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Components Only (Composite Removed)</w:t>
            </w:r>
          </w:p>
        </w:tc>
        <w:tc>
          <w:tcPr>
            <w:tcW w:w="900" w:type="dxa"/>
          </w:tcPr>
          <w:p w14:paraId="3D32855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46</w:t>
            </w:r>
          </w:p>
        </w:tc>
        <w:tc>
          <w:tcPr>
            <w:tcW w:w="1575" w:type="dxa"/>
          </w:tcPr>
          <w:p w14:paraId="5631809E"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0.747 (0.725-0.770)</w:t>
            </w:r>
          </w:p>
        </w:tc>
        <w:tc>
          <w:tcPr>
            <w:tcW w:w="890" w:type="dxa"/>
          </w:tcPr>
          <w:p w14:paraId="44200178"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0.9268</w:t>
            </w:r>
          </w:p>
        </w:tc>
        <w:tc>
          <w:tcPr>
            <w:tcW w:w="1155" w:type="dxa"/>
          </w:tcPr>
          <w:p w14:paraId="1AE52AC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0.0149</w:t>
            </w:r>
          </w:p>
        </w:tc>
        <w:tc>
          <w:tcPr>
            <w:tcW w:w="1325" w:type="dxa"/>
          </w:tcPr>
          <w:p w14:paraId="64A76B2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r>
      <w:tr w:rsidR="00CB375E" w:rsidRPr="000C20C7" w14:paraId="5D188408" w14:textId="77777777" w:rsidTr="00630D3B">
        <w:trPr>
          <w:jc w:val="center"/>
        </w:trPr>
        <w:tc>
          <w:tcPr>
            <w:tcW w:w="848" w:type="dxa"/>
          </w:tcPr>
          <w:p w14:paraId="6122FB16" w14:textId="77777777" w:rsidR="00000000" w:rsidRPr="000C20C7" w:rsidRDefault="00000000" w:rsidP="00672B5F">
            <w:pPr>
              <w:spacing w:after="0"/>
              <w:rPr>
                <w:rFonts w:asciiTheme="majorBidi" w:hAnsiTheme="majorBidi" w:cstheme="majorBidi"/>
              </w:rPr>
            </w:pPr>
            <w:r w:rsidRPr="005A3755">
              <w:rPr>
                <w:rFonts w:asciiTheme="majorBidi" w:hAnsiTheme="majorBidi" w:cstheme="majorBidi"/>
                <w:sz w:val="16"/>
              </w:rPr>
              <w:t>HHD</w:t>
            </w:r>
          </w:p>
        </w:tc>
        <w:tc>
          <w:tcPr>
            <w:tcW w:w="1185" w:type="dxa"/>
          </w:tcPr>
          <w:p w14:paraId="160754AF"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3248815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LACE Composite Index Only (Components Removed)</w:t>
            </w:r>
          </w:p>
        </w:tc>
        <w:tc>
          <w:tcPr>
            <w:tcW w:w="900" w:type="dxa"/>
          </w:tcPr>
          <w:p w14:paraId="2295955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44</w:t>
            </w:r>
          </w:p>
        </w:tc>
        <w:tc>
          <w:tcPr>
            <w:tcW w:w="1575" w:type="dxa"/>
          </w:tcPr>
          <w:p w14:paraId="5F8EAB5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0.755 (0.731-0.776)</w:t>
            </w:r>
          </w:p>
        </w:tc>
        <w:tc>
          <w:tcPr>
            <w:tcW w:w="890" w:type="dxa"/>
          </w:tcPr>
          <w:p w14:paraId="7F5094D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0.0534</w:t>
            </w:r>
          </w:p>
        </w:tc>
        <w:tc>
          <w:tcPr>
            <w:tcW w:w="1155" w:type="dxa"/>
          </w:tcPr>
          <w:p w14:paraId="516B6462"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325" w:type="dxa"/>
          </w:tcPr>
          <w:p w14:paraId="1FF6E0BD"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0.0149</w:t>
            </w:r>
          </w:p>
        </w:tc>
      </w:tr>
      <w:tr w:rsidR="00CB375E" w:rsidRPr="000C20C7" w14:paraId="4C01AD74" w14:textId="77777777" w:rsidTr="00630D3B">
        <w:trPr>
          <w:jc w:val="center"/>
        </w:trPr>
        <w:tc>
          <w:tcPr>
            <w:tcW w:w="848" w:type="dxa"/>
          </w:tcPr>
          <w:p w14:paraId="108E0ACA" w14:textId="77777777" w:rsidR="00000000" w:rsidRPr="000C20C7" w:rsidRDefault="00000000" w:rsidP="00672B5F">
            <w:pPr>
              <w:spacing w:after="0"/>
              <w:rPr>
                <w:rFonts w:asciiTheme="majorBidi" w:hAnsiTheme="majorBidi" w:cstheme="majorBidi"/>
              </w:rPr>
            </w:pPr>
            <w:r w:rsidRPr="005A3755">
              <w:rPr>
                <w:rFonts w:asciiTheme="majorBidi" w:hAnsiTheme="majorBidi" w:cstheme="majorBidi"/>
                <w:sz w:val="16"/>
              </w:rPr>
              <w:t>HHD</w:t>
            </w:r>
          </w:p>
        </w:tc>
        <w:tc>
          <w:tcPr>
            <w:tcW w:w="1185" w:type="dxa"/>
          </w:tcPr>
          <w:p w14:paraId="34409FBB"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Balanced</w:t>
            </w:r>
          </w:p>
        </w:tc>
        <w:tc>
          <w:tcPr>
            <w:tcW w:w="2912" w:type="dxa"/>
          </w:tcPr>
          <w:p w14:paraId="2E3C933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Full Feature Set (LACE Index + Components)</w:t>
            </w:r>
          </w:p>
        </w:tc>
        <w:tc>
          <w:tcPr>
            <w:tcW w:w="900" w:type="dxa"/>
          </w:tcPr>
          <w:p w14:paraId="64E77280"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47</w:t>
            </w:r>
          </w:p>
        </w:tc>
        <w:tc>
          <w:tcPr>
            <w:tcW w:w="1575" w:type="dxa"/>
          </w:tcPr>
          <w:p w14:paraId="1E207F14"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0.747 (0.725-0.768)</w:t>
            </w:r>
          </w:p>
        </w:tc>
        <w:tc>
          <w:tcPr>
            <w:tcW w:w="890" w:type="dxa"/>
          </w:tcPr>
          <w:p w14:paraId="5FB7EF4A"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w:t>
            </w:r>
          </w:p>
        </w:tc>
        <w:tc>
          <w:tcPr>
            <w:tcW w:w="1155" w:type="dxa"/>
          </w:tcPr>
          <w:p w14:paraId="2E63DF99"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0.0534</w:t>
            </w:r>
          </w:p>
        </w:tc>
        <w:tc>
          <w:tcPr>
            <w:tcW w:w="1325" w:type="dxa"/>
          </w:tcPr>
          <w:p w14:paraId="4885B1C5" w14:textId="77777777" w:rsidR="00000000" w:rsidRPr="000C20C7" w:rsidRDefault="00000000" w:rsidP="00672B5F">
            <w:pPr>
              <w:spacing w:after="0"/>
              <w:jc w:val="center"/>
              <w:rPr>
                <w:rFonts w:asciiTheme="majorBidi" w:hAnsiTheme="majorBidi" w:cstheme="majorBidi"/>
              </w:rPr>
            </w:pPr>
            <w:r w:rsidRPr="000C20C7">
              <w:rPr>
                <w:rFonts w:asciiTheme="majorBidi" w:hAnsiTheme="majorBidi" w:cstheme="majorBidi"/>
                <w:sz w:val="16"/>
              </w:rPr>
              <w:t>0.9268</w:t>
            </w:r>
          </w:p>
        </w:tc>
      </w:tr>
    </w:tbl>
    <w:p w14:paraId="776821A4" w14:textId="77777777" w:rsidR="00000000" w:rsidRPr="000C20C7" w:rsidRDefault="00000000" w:rsidP="00A51C6F">
      <w:pPr>
        <w:rPr>
          <w:rFonts w:asciiTheme="majorBidi" w:hAnsiTheme="majorBidi" w:cstheme="majorBidi"/>
          <w:b/>
        </w:rPr>
      </w:pPr>
      <w:proofErr w:type="spellStart"/>
      <w:r w:rsidRPr="000C20C7">
        <w:rPr>
          <w:rFonts w:asciiTheme="majorBidi" w:hAnsiTheme="majorBidi" w:cstheme="majorBidi"/>
          <w:sz w:val="24"/>
          <w:szCs w:val="24"/>
          <w:vertAlign w:val="superscript"/>
        </w:rPr>
        <w:t>XGBoost</w:t>
      </w:r>
      <w:proofErr w:type="spellEnd"/>
      <w:r w:rsidRPr="000C20C7">
        <w:rPr>
          <w:rFonts w:asciiTheme="majorBidi" w:hAnsiTheme="majorBidi" w:cstheme="majorBidi"/>
          <w:sz w:val="24"/>
          <w:szCs w:val="24"/>
          <w:vertAlign w:val="superscript"/>
        </w:rPr>
        <w:t xml:space="preserve"> models were trained using the same hyperparameters and patient-grouped train/test splits as the primary analysis. ‘Full’ includes both the LACE Index composite and its constituent components (L, A, C, E); ‘Composite Only’ includes the LACE Index but removes the individual components; ‘Components Only’ includes L, A, C, E but removes the composite LACE Index. DeLong tests compare AUC differences between configurations.</w:t>
      </w:r>
      <w:r>
        <w:rPr>
          <w:rFonts w:asciiTheme="majorBidi" w:hAnsiTheme="majorBidi" w:cstheme="majorBidi"/>
          <w:sz w:val="24"/>
          <w:szCs w:val="24"/>
          <w:vertAlign w:val="superscript"/>
        </w:rPr>
        <w:t xml:space="preserve"> </w:t>
      </w:r>
      <w:r w:rsidRPr="000C20C7">
        <w:rPr>
          <w:rFonts w:asciiTheme="majorBidi" w:hAnsiTheme="majorBidi" w:cstheme="majorBidi"/>
          <w:sz w:val="24"/>
          <w:szCs w:val="24"/>
          <w:vertAlign w:val="superscript"/>
        </w:rPr>
        <w:t>Abbreviations: AUC, area under the receiver operating characteristic curve; CI, confidenc</w:t>
      </w:r>
      <w:r w:rsidRPr="000C20C7">
        <w:rPr>
          <w:rFonts w:asciiTheme="majorBidi" w:hAnsiTheme="majorBidi" w:cstheme="majorBidi"/>
          <w:sz w:val="24"/>
          <w:szCs w:val="24"/>
          <w:vertAlign w:val="superscript"/>
        </w:rPr>
        <w:t>e interval; CVD, cardiovascular disease; HF, heart failure; AMI, acute myocardial infarction; AF/AFL, atrial fibrillation/atrial flutter; HHD, hypertensive heart disease; LACE, Length of stay, Acuity, Comorbidities, Emergency department visits. The full feature set includes 47 features (45 consensus features plus LACE-L and LACE-E scores not in the primary consensus set), compared with 45 features in the primary analysis. This minor difference accounts for small AUC variations relative to Table 2 (e.g., AMI</w:t>
      </w:r>
      <w:r w:rsidRPr="000C20C7">
        <w:rPr>
          <w:rFonts w:asciiTheme="majorBidi" w:hAnsiTheme="majorBidi" w:cstheme="majorBidi"/>
          <w:sz w:val="24"/>
          <w:szCs w:val="24"/>
          <w:vertAlign w:val="superscript"/>
        </w:rPr>
        <w:t xml:space="preserve"> 0.707 vs. 0.706).</w:t>
      </w:r>
    </w:p>
    <w:p w14:paraId="70DF7CFF" w14:textId="77777777" w:rsidR="00BD140D" w:rsidRDefault="00BD140D">
      <w:pPr>
        <w:sectPr w:rsidR="00BD140D">
          <w:pgSz w:w="15840" w:h="12240" w:orient="landscape"/>
          <w:pgMar w:top="720" w:right="720" w:bottom="720" w:left="720" w:header="720" w:footer="720" w:gutter="0"/>
          <w:cols w:space="720"/>
          <w:docGrid w:linePitch="360"/>
        </w:sectPr>
      </w:pPr>
    </w:p>
    <w:p w14:paraId="48CB3C8B" w14:textId="77777777" w:rsidR="00000000" w:rsidRPr="00197A50" w:rsidRDefault="00000000" w:rsidP="00197A50">
      <w:pPr>
        <w:spacing w:after="0" w:line="240" w:lineRule="auto"/>
        <w:rPr>
          <w:rFonts w:ascii="Times New Roman" w:eastAsia="Arial" w:hAnsi="Times New Roman" w:cs="Times New Roman"/>
          <w:sz w:val="20"/>
          <w:szCs w:val="20"/>
        </w:rPr>
      </w:pPr>
      <w:r w:rsidRPr="00197A50">
        <w:rPr>
          <w:rFonts w:ascii="Times New Roman" w:eastAsia="Arial" w:hAnsi="Times New Roman" w:cs="Times New Roman"/>
          <w:b/>
          <w:szCs w:val="20"/>
        </w:rPr>
        <w:lastRenderedPageBreak/>
        <w:t xml:space="preserve">Supplementary Figure S1. </w:t>
      </w:r>
      <w:r w:rsidRPr="00197A50">
        <w:rPr>
          <w:rFonts w:ascii="Times New Roman" w:eastAsia="Arial" w:hAnsi="Times New Roman" w:cs="Times New Roman"/>
          <w:szCs w:val="20"/>
        </w:rPr>
        <w:t>Four-Method Consensus Feature Selection Heatmap</w:t>
      </w:r>
    </w:p>
    <w:p w14:paraId="37DE8EB7" w14:textId="64A64BB2" w:rsidR="00000000" w:rsidRPr="00197A50" w:rsidRDefault="00C33C7E" w:rsidP="00197A50">
      <w:pPr>
        <w:spacing w:after="0" w:line="240" w:lineRule="auto"/>
        <w:jc w:val="center"/>
        <w:rPr>
          <w:rFonts w:ascii="Times New Roman" w:eastAsia="Arial" w:hAnsi="Times New Roman" w:cs="Times New Roman"/>
          <w:sz w:val="15"/>
          <w:szCs w:val="20"/>
        </w:rPr>
      </w:pPr>
      <w:r w:rsidRPr="00197A50">
        <w:rPr>
          <w:rFonts w:ascii="Times New Roman" w:eastAsia="Arial" w:hAnsi="Times New Roman" w:cs="Times New Roman"/>
          <w:noProof/>
          <w:sz w:val="15"/>
          <w:szCs w:val="20"/>
        </w:rPr>
        <w:drawing>
          <wp:inline distT="0" distB="0" distL="0" distR="0" wp14:anchorId="5AB2D05E" wp14:editId="18F084C9">
            <wp:extent cx="2549894" cy="6995440"/>
            <wp:effectExtent l="0" t="0" r="3175" b="0"/>
            <wp:docPr id="638887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7462" cy="7071071"/>
                    </a:xfrm>
                    <a:prstGeom prst="rect">
                      <a:avLst/>
                    </a:prstGeom>
                    <a:noFill/>
                    <a:ln>
                      <a:noFill/>
                    </a:ln>
                  </pic:spPr>
                </pic:pic>
              </a:graphicData>
            </a:graphic>
          </wp:inline>
        </w:drawing>
      </w:r>
    </w:p>
    <w:p w14:paraId="7015E3BC" w14:textId="77777777" w:rsidR="00000000" w:rsidRDefault="00000000" w:rsidP="00197A50">
      <w:pPr>
        <w:spacing w:after="0" w:line="240" w:lineRule="auto"/>
        <w:rPr>
          <w:rFonts w:ascii="Times New Roman" w:eastAsia="Arial" w:hAnsi="Times New Roman" w:cs="Times New Roman"/>
          <w:szCs w:val="36"/>
          <w:vertAlign w:val="superscript"/>
        </w:rPr>
      </w:pPr>
      <w:r w:rsidRPr="00197A50">
        <w:rPr>
          <w:rFonts w:ascii="Times New Roman" w:eastAsia="Arial" w:hAnsi="Times New Roman" w:cs="Times New Roman"/>
          <w:szCs w:val="36"/>
          <w:vertAlign w:val="superscript"/>
        </w:rPr>
        <w:t xml:space="preserve">Binary heatmap depicting endorsement of each candidate feature by four independent selection methods: Boruta all-relevant selection, SHAP-based importance from a reference </w:t>
      </w:r>
      <w:proofErr w:type="spellStart"/>
      <w:r w:rsidRPr="00197A50">
        <w:rPr>
          <w:rFonts w:ascii="Times New Roman" w:eastAsia="Arial" w:hAnsi="Times New Roman" w:cs="Times New Roman"/>
          <w:szCs w:val="36"/>
          <w:vertAlign w:val="superscript"/>
        </w:rPr>
        <w:t>XGBoost</w:t>
      </w:r>
      <w:proofErr w:type="spellEnd"/>
      <w:r w:rsidRPr="00197A50">
        <w:rPr>
          <w:rFonts w:ascii="Times New Roman" w:eastAsia="Arial" w:hAnsi="Times New Roman" w:cs="Times New Roman"/>
          <w:szCs w:val="36"/>
          <w:vertAlign w:val="superscript"/>
        </w:rPr>
        <w:t xml:space="preserve"> model, recursive feature elimination with patient-grouped cross-validation (RFE-CV), and minimum redundancy maximum relevance (</w:t>
      </w:r>
      <w:proofErr w:type="spellStart"/>
      <w:r w:rsidRPr="00197A50">
        <w:rPr>
          <w:rFonts w:ascii="Times New Roman" w:eastAsia="Arial" w:hAnsi="Times New Roman" w:cs="Times New Roman"/>
          <w:szCs w:val="36"/>
          <w:vertAlign w:val="superscript"/>
        </w:rPr>
        <w:t>mRMR</w:t>
      </w:r>
      <w:proofErr w:type="spellEnd"/>
      <w:r w:rsidRPr="00197A50">
        <w:rPr>
          <w:rFonts w:ascii="Times New Roman" w:eastAsia="Arial" w:hAnsi="Times New Roman" w:cs="Times New Roman"/>
          <w:szCs w:val="36"/>
          <w:vertAlign w:val="superscript"/>
        </w:rPr>
        <w:t xml:space="preserve">). Features endorsed by at least 2 of 4 methods were retained, yielding 45 consensus-selected features applied uniformly across all CVD categories and dataset configurations. Abbreviations: CVD, cardiovascular disease; </w:t>
      </w:r>
      <w:proofErr w:type="spellStart"/>
      <w:r w:rsidRPr="00197A50">
        <w:rPr>
          <w:rFonts w:ascii="Times New Roman" w:eastAsia="Arial" w:hAnsi="Times New Roman" w:cs="Times New Roman"/>
          <w:szCs w:val="36"/>
          <w:vertAlign w:val="superscript"/>
        </w:rPr>
        <w:t>mRMR</w:t>
      </w:r>
      <w:proofErr w:type="spellEnd"/>
      <w:r w:rsidRPr="00197A50">
        <w:rPr>
          <w:rFonts w:ascii="Times New Roman" w:eastAsia="Arial" w:hAnsi="Times New Roman" w:cs="Times New Roman"/>
          <w:szCs w:val="36"/>
          <w:vertAlign w:val="superscript"/>
        </w:rPr>
        <w:t xml:space="preserve">, minimum redundancy maximum relevance; RFE-CV, recursive feature elimination with cross-validation; SHAP, </w:t>
      </w:r>
      <w:proofErr w:type="spellStart"/>
      <w:r w:rsidRPr="00197A50">
        <w:rPr>
          <w:rFonts w:ascii="Times New Roman" w:eastAsia="Arial" w:hAnsi="Times New Roman" w:cs="Times New Roman"/>
          <w:szCs w:val="36"/>
          <w:vertAlign w:val="superscript"/>
        </w:rPr>
        <w:t>SHapley</w:t>
      </w:r>
      <w:proofErr w:type="spellEnd"/>
      <w:r w:rsidRPr="00197A50">
        <w:rPr>
          <w:rFonts w:ascii="Times New Roman" w:eastAsia="Arial" w:hAnsi="Times New Roman" w:cs="Times New Roman"/>
          <w:szCs w:val="36"/>
          <w:vertAlign w:val="superscript"/>
        </w:rPr>
        <w:t xml:space="preserve"> Additive </w:t>
      </w:r>
      <w:proofErr w:type="spellStart"/>
      <w:proofErr w:type="gramStart"/>
      <w:r w:rsidRPr="00197A50">
        <w:rPr>
          <w:rFonts w:ascii="Times New Roman" w:eastAsia="Arial" w:hAnsi="Times New Roman" w:cs="Times New Roman"/>
          <w:szCs w:val="36"/>
          <w:vertAlign w:val="superscript"/>
        </w:rPr>
        <w:t>exPlanations</w:t>
      </w:r>
      <w:proofErr w:type="spellEnd"/>
      <w:proofErr w:type="gramEnd"/>
      <w:r w:rsidRPr="00197A50">
        <w:rPr>
          <w:rFonts w:ascii="Times New Roman" w:eastAsia="Arial" w:hAnsi="Times New Roman" w:cs="Times New Roman"/>
          <w:szCs w:val="36"/>
          <w:vertAlign w:val="superscript"/>
        </w:rPr>
        <w:t>.</w:t>
      </w:r>
    </w:p>
    <w:p w14:paraId="12CE9AA9" w14:textId="77777777" w:rsidR="00000000" w:rsidRDefault="00000000">
      <w:pPr>
        <w:rPr>
          <w:rFonts w:ascii="Times New Roman" w:eastAsia="Arial" w:hAnsi="Times New Roman" w:cs="Times New Roman"/>
          <w:szCs w:val="36"/>
          <w:vertAlign w:val="superscript"/>
        </w:rPr>
      </w:pPr>
      <w:r>
        <w:rPr>
          <w:rFonts w:ascii="Times New Roman" w:eastAsia="Arial" w:hAnsi="Times New Roman" w:cs="Times New Roman"/>
          <w:szCs w:val="36"/>
          <w:vertAlign w:val="superscript"/>
        </w:rPr>
        <w:br w:type="page"/>
      </w:r>
    </w:p>
    <w:p w14:paraId="1B100683" w14:textId="77777777" w:rsidR="00000000" w:rsidRDefault="00000000" w:rsidP="00197A50">
      <w:pPr>
        <w:spacing w:after="0" w:line="240" w:lineRule="auto"/>
        <w:rPr>
          <w:rFonts w:ascii="Times New Roman" w:eastAsia="Arial" w:hAnsi="Times New Roman" w:cs="Times New Roman"/>
          <w:b/>
          <w:szCs w:val="20"/>
        </w:rPr>
        <w:sectPr w:rsidR="00197A50">
          <w:pgSz w:w="12240" w:h="15840"/>
          <w:pgMar w:top="1440" w:right="1440" w:bottom="1440" w:left="1440" w:header="720" w:footer="720" w:gutter="0"/>
          <w:cols w:space="720"/>
          <w:docGrid w:linePitch="360"/>
        </w:sectPr>
      </w:pPr>
    </w:p>
    <w:p w14:paraId="50D67D25" w14:textId="77777777" w:rsidR="00000000" w:rsidRPr="00197A50" w:rsidRDefault="00000000" w:rsidP="00197A50">
      <w:pPr>
        <w:spacing w:after="0" w:line="240" w:lineRule="auto"/>
        <w:rPr>
          <w:rFonts w:ascii="Times New Roman" w:eastAsia="Arial" w:hAnsi="Times New Roman" w:cs="Times New Roman"/>
          <w:szCs w:val="20"/>
        </w:rPr>
      </w:pPr>
      <w:r w:rsidRPr="00197A50">
        <w:rPr>
          <w:rFonts w:ascii="Times New Roman" w:eastAsia="Arial" w:hAnsi="Times New Roman" w:cs="Times New Roman"/>
          <w:b/>
          <w:szCs w:val="20"/>
        </w:rPr>
        <w:lastRenderedPageBreak/>
        <w:t xml:space="preserve">Supplementary Figure S2. </w:t>
      </w:r>
      <w:r w:rsidRPr="00197A50">
        <w:rPr>
          <w:rFonts w:ascii="Times New Roman" w:eastAsia="Arial" w:hAnsi="Times New Roman" w:cs="Times New Roman"/>
          <w:szCs w:val="20"/>
        </w:rPr>
        <w:t>Super Learner Ensemble Meta-Learner Weights by CVD Category</w:t>
      </w:r>
    </w:p>
    <w:p w14:paraId="4F8BDF10" w14:textId="77777777" w:rsidR="00000000" w:rsidRPr="00197A50" w:rsidRDefault="00000000" w:rsidP="00197A50">
      <w:pPr>
        <w:spacing w:after="0" w:line="240" w:lineRule="auto"/>
        <w:jc w:val="center"/>
        <w:rPr>
          <w:rFonts w:ascii="Times New Roman" w:eastAsia="Arial" w:hAnsi="Times New Roman" w:cs="Times New Roman"/>
          <w:sz w:val="15"/>
          <w:szCs w:val="20"/>
        </w:rPr>
      </w:pPr>
      <w:r w:rsidRPr="00197A50">
        <w:rPr>
          <w:rFonts w:ascii="Times New Roman" w:eastAsia="Arial" w:hAnsi="Times New Roman" w:cs="Times New Roman"/>
          <w:noProof/>
          <w:sz w:val="15"/>
          <w:szCs w:val="20"/>
        </w:rPr>
        <w:drawing>
          <wp:inline distT="0" distB="0" distL="0" distR="0" wp14:anchorId="2CED47A6" wp14:editId="25E28153">
            <wp:extent cx="6852920" cy="4190365"/>
            <wp:effectExtent l="0" t="0" r="5080" b="635"/>
            <wp:docPr id="15861434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2920" cy="4190365"/>
                    </a:xfrm>
                    <a:prstGeom prst="rect">
                      <a:avLst/>
                    </a:prstGeom>
                    <a:noFill/>
                    <a:ln>
                      <a:noFill/>
                    </a:ln>
                  </pic:spPr>
                </pic:pic>
              </a:graphicData>
            </a:graphic>
          </wp:inline>
        </w:drawing>
      </w:r>
    </w:p>
    <w:p w14:paraId="43F954DC" w14:textId="77777777" w:rsidR="00000000" w:rsidRPr="00197A50" w:rsidRDefault="00000000" w:rsidP="00197A50">
      <w:pPr>
        <w:spacing w:after="0" w:line="480" w:lineRule="auto"/>
        <w:rPr>
          <w:rFonts w:ascii="Times New Roman" w:eastAsia="Arial" w:hAnsi="Times New Roman" w:cs="Times New Roman"/>
          <w:sz w:val="20"/>
          <w:szCs w:val="20"/>
        </w:rPr>
      </w:pPr>
      <w:r w:rsidRPr="00197A50">
        <w:rPr>
          <w:rFonts w:ascii="Times New Roman" w:eastAsia="Arial" w:hAnsi="Times New Roman" w:cs="Times New Roman"/>
          <w:sz w:val="15"/>
          <w:szCs w:val="20"/>
        </w:rPr>
        <w:t>Bar charts showing the optimized convex combination weights assigned to each base learner (</w:t>
      </w:r>
      <w:proofErr w:type="spellStart"/>
      <w:r w:rsidRPr="00197A50">
        <w:rPr>
          <w:rFonts w:ascii="Times New Roman" w:eastAsia="Arial" w:hAnsi="Times New Roman" w:cs="Times New Roman"/>
          <w:sz w:val="15"/>
          <w:szCs w:val="20"/>
        </w:rPr>
        <w:t>XGBoost</w:t>
      </w:r>
      <w:proofErr w:type="spellEnd"/>
      <w:r w:rsidRPr="00197A50">
        <w:rPr>
          <w:rFonts w:ascii="Times New Roman" w:eastAsia="Arial" w:hAnsi="Times New Roman" w:cs="Times New Roman"/>
          <w:sz w:val="15"/>
          <w:szCs w:val="20"/>
        </w:rPr>
        <w:t xml:space="preserve">, </w:t>
      </w:r>
      <w:proofErr w:type="spellStart"/>
      <w:r w:rsidRPr="00197A50">
        <w:rPr>
          <w:rFonts w:ascii="Times New Roman" w:eastAsia="Arial" w:hAnsi="Times New Roman" w:cs="Times New Roman"/>
          <w:sz w:val="15"/>
          <w:szCs w:val="20"/>
        </w:rPr>
        <w:t>LightGBM</w:t>
      </w:r>
      <w:proofErr w:type="spellEnd"/>
      <w:r w:rsidRPr="00197A50">
        <w:rPr>
          <w:rFonts w:ascii="Times New Roman" w:eastAsia="Arial" w:hAnsi="Times New Roman" w:cs="Times New Roman"/>
          <w:sz w:val="15"/>
          <w:szCs w:val="20"/>
        </w:rPr>
        <w:t>, Random Forest, Elastic Net) within the Super Learner stacked ensemble, stratified by CVD category and dataset configuration (</w:t>
      </w:r>
      <w:proofErr w:type="gramStart"/>
      <w:r w:rsidRPr="00197A50">
        <w:rPr>
          <w:rFonts w:ascii="Times New Roman" w:eastAsia="Arial" w:hAnsi="Times New Roman" w:cs="Times New Roman"/>
          <w:sz w:val="15"/>
          <w:szCs w:val="20"/>
        </w:rPr>
        <w:t>SMOTE-balanced</w:t>
      </w:r>
      <w:proofErr w:type="gramEnd"/>
      <w:r w:rsidRPr="00197A50">
        <w:rPr>
          <w:rFonts w:ascii="Times New Roman" w:eastAsia="Arial" w:hAnsi="Times New Roman" w:cs="Times New Roman"/>
          <w:sz w:val="15"/>
          <w:szCs w:val="20"/>
        </w:rPr>
        <w:t xml:space="preserve"> vs. unbalanced). Weights reflect each algorithm’s relative contribution to the ensemble’s final predictions, with larger weights indicating greater influence on the combined model output.</w:t>
      </w:r>
      <w:r>
        <w:rPr>
          <w:rFonts w:ascii="Times New Roman" w:eastAsia="Arial" w:hAnsi="Times New Roman" w:cs="Times New Roman"/>
          <w:sz w:val="15"/>
          <w:szCs w:val="20"/>
        </w:rPr>
        <w:t xml:space="preserve"> </w:t>
      </w:r>
      <w:r w:rsidRPr="00197A50">
        <w:rPr>
          <w:rFonts w:ascii="Times New Roman" w:eastAsia="Arial" w:hAnsi="Times New Roman" w:cs="Times New Roman"/>
          <w:sz w:val="15"/>
          <w:szCs w:val="20"/>
        </w:rPr>
        <w:t>Abbreviations: AF/AFL, atrial fibrillation/flutter; AMI, acute myocardial infarction; CVD, cardiovascular disease; HF, heart failure; HHD, hypertensive heart disease; SMOTE, Synthetic Minority Oversampling Technique.</w:t>
      </w:r>
    </w:p>
    <w:p w14:paraId="4F3952EA" w14:textId="77777777" w:rsidR="00000000" w:rsidRDefault="00000000" w:rsidP="00197A50">
      <w:pPr>
        <w:spacing w:after="0" w:line="240" w:lineRule="auto"/>
        <w:rPr>
          <w:rFonts w:ascii="Times New Roman" w:eastAsia="Arial" w:hAnsi="Times New Roman" w:cs="Times New Roman"/>
          <w:sz w:val="20"/>
          <w:szCs w:val="20"/>
        </w:rPr>
        <w:sectPr w:rsidR="00197A50" w:rsidSect="00197A50">
          <w:pgSz w:w="15840" w:h="12240" w:orient="landscape"/>
          <w:pgMar w:top="1440" w:right="1440" w:bottom="1440" w:left="1440" w:header="720" w:footer="720" w:gutter="0"/>
          <w:cols w:space="720"/>
          <w:docGrid w:linePitch="360"/>
        </w:sectPr>
      </w:pPr>
    </w:p>
    <w:p w14:paraId="652EB06D" w14:textId="77777777" w:rsidR="00000000" w:rsidRPr="00197A50" w:rsidRDefault="00000000" w:rsidP="00197A50">
      <w:pPr>
        <w:spacing w:after="0" w:line="240" w:lineRule="auto"/>
        <w:jc w:val="center"/>
        <w:rPr>
          <w:rFonts w:ascii="Times New Roman" w:eastAsia="Arial" w:hAnsi="Times New Roman" w:cs="Times New Roman"/>
          <w:sz w:val="15"/>
          <w:szCs w:val="20"/>
        </w:rPr>
      </w:pPr>
      <w:r w:rsidRPr="00197A50">
        <w:rPr>
          <w:rFonts w:ascii="Times New Roman" w:eastAsia="Arial" w:hAnsi="Times New Roman" w:cs="Times New Roman"/>
          <w:b/>
          <w:szCs w:val="20"/>
        </w:rPr>
        <w:lastRenderedPageBreak/>
        <w:t xml:space="preserve">Supplementary Figure S3. </w:t>
      </w:r>
      <w:r w:rsidRPr="00197A50">
        <w:rPr>
          <w:rFonts w:ascii="Times New Roman" w:eastAsia="Arial" w:hAnsi="Times New Roman" w:cs="Times New Roman"/>
          <w:szCs w:val="20"/>
        </w:rPr>
        <w:t>SHAP Dependence Plots for Top Predictors by CVD Category</w:t>
      </w:r>
      <w:r w:rsidRPr="00197A50">
        <w:rPr>
          <w:rFonts w:ascii="Times New Roman" w:eastAsia="Arial" w:hAnsi="Times New Roman" w:cs="Times New Roman"/>
          <w:noProof/>
          <w:sz w:val="15"/>
          <w:szCs w:val="20"/>
        </w:rPr>
        <w:drawing>
          <wp:inline distT="0" distB="0" distL="0" distR="0" wp14:anchorId="7D8814B5" wp14:editId="688F4F80">
            <wp:extent cx="5974454" cy="5119616"/>
            <wp:effectExtent l="0" t="0" r="7620" b="5080"/>
            <wp:docPr id="14190294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6580" cy="5130007"/>
                    </a:xfrm>
                    <a:prstGeom prst="rect">
                      <a:avLst/>
                    </a:prstGeom>
                    <a:noFill/>
                    <a:ln>
                      <a:noFill/>
                    </a:ln>
                  </pic:spPr>
                </pic:pic>
              </a:graphicData>
            </a:graphic>
          </wp:inline>
        </w:drawing>
      </w:r>
    </w:p>
    <w:p w14:paraId="4B332222" w14:textId="77777777" w:rsidR="00000000" w:rsidRPr="00197A50" w:rsidRDefault="00000000" w:rsidP="00197A50">
      <w:pPr>
        <w:spacing w:after="0" w:line="240" w:lineRule="auto"/>
        <w:rPr>
          <w:rFonts w:ascii="Times New Roman" w:eastAsia="Arial" w:hAnsi="Times New Roman" w:cs="Times New Roman"/>
          <w:sz w:val="20"/>
          <w:szCs w:val="20"/>
        </w:rPr>
      </w:pPr>
      <w:r w:rsidRPr="00197A50">
        <w:rPr>
          <w:rFonts w:ascii="Times New Roman" w:eastAsia="Arial" w:hAnsi="Times New Roman" w:cs="Times New Roman"/>
          <w:sz w:val="15"/>
          <w:szCs w:val="20"/>
        </w:rPr>
        <w:t>SHAP dependence plots for the top continuous predictors from each CVD category’s best-performing model, illustrating non-linear relationships between feature values (x-axis) and their SHAP contributions to the predicted log-odds of 30-day readmission (y-axis). Color indicates interaction effects with the most correlated feature. These plots reveal threshold effects (e.g., LACE Index), diminishing marginal returns, and differential effects of insurance type across predicted risk levels. SHAP values were comp</w:t>
      </w:r>
      <w:r w:rsidRPr="00197A50">
        <w:rPr>
          <w:rFonts w:ascii="Times New Roman" w:eastAsia="Arial" w:hAnsi="Times New Roman" w:cs="Times New Roman"/>
          <w:sz w:val="15"/>
          <w:szCs w:val="20"/>
        </w:rPr>
        <w:t>uted on a random subsample of 500 test observations per condition (</w:t>
      </w:r>
      <w:proofErr w:type="spellStart"/>
      <w:proofErr w:type="gramStart"/>
      <w:r w:rsidRPr="00197A50">
        <w:rPr>
          <w:rFonts w:ascii="Times New Roman" w:eastAsia="Arial" w:hAnsi="Times New Roman" w:cs="Times New Roman"/>
          <w:sz w:val="15"/>
          <w:szCs w:val="20"/>
        </w:rPr>
        <w:t>set.seed</w:t>
      </w:r>
      <w:proofErr w:type="spellEnd"/>
      <w:proofErr w:type="gramEnd"/>
      <w:r w:rsidRPr="00197A50">
        <w:rPr>
          <w:rFonts w:ascii="Times New Roman" w:eastAsia="Arial" w:hAnsi="Times New Roman" w:cs="Times New Roman"/>
          <w:sz w:val="15"/>
          <w:szCs w:val="20"/>
        </w:rPr>
        <w:t>(42)).</w:t>
      </w:r>
    </w:p>
    <w:p w14:paraId="03B158B5" w14:textId="77777777" w:rsidR="00000000" w:rsidRPr="00197A50" w:rsidRDefault="00000000" w:rsidP="00197A50">
      <w:pPr>
        <w:spacing w:after="0" w:line="240" w:lineRule="auto"/>
        <w:rPr>
          <w:rFonts w:ascii="Times New Roman" w:eastAsia="Arial" w:hAnsi="Times New Roman" w:cs="Times New Roman"/>
          <w:sz w:val="20"/>
          <w:szCs w:val="20"/>
        </w:rPr>
      </w:pPr>
      <w:r w:rsidRPr="00197A50">
        <w:rPr>
          <w:rFonts w:ascii="Times New Roman" w:eastAsia="Arial" w:hAnsi="Times New Roman" w:cs="Times New Roman"/>
          <w:sz w:val="15"/>
          <w:szCs w:val="20"/>
        </w:rPr>
        <w:t xml:space="preserve">Abbreviations: AF/AFL, atrial fibrillation/flutter; AMI, acute myocardial infarction; CVD, cardiovascular disease; HF, heart failure; HHD, hypertensive heart disease; LACE, Length of stay/Acuity/Comorbidity/Emergency visits; SHAP, </w:t>
      </w:r>
      <w:proofErr w:type="spellStart"/>
      <w:r w:rsidRPr="00197A50">
        <w:rPr>
          <w:rFonts w:ascii="Times New Roman" w:eastAsia="Arial" w:hAnsi="Times New Roman" w:cs="Times New Roman"/>
          <w:sz w:val="15"/>
          <w:szCs w:val="20"/>
        </w:rPr>
        <w:t>SHapley</w:t>
      </w:r>
      <w:proofErr w:type="spellEnd"/>
      <w:r w:rsidRPr="00197A50">
        <w:rPr>
          <w:rFonts w:ascii="Times New Roman" w:eastAsia="Arial" w:hAnsi="Times New Roman" w:cs="Times New Roman"/>
          <w:sz w:val="15"/>
          <w:szCs w:val="20"/>
        </w:rPr>
        <w:t xml:space="preserve"> Additive </w:t>
      </w:r>
      <w:proofErr w:type="spellStart"/>
      <w:r w:rsidRPr="00197A50">
        <w:rPr>
          <w:rFonts w:ascii="Times New Roman" w:eastAsia="Arial" w:hAnsi="Times New Roman" w:cs="Times New Roman"/>
          <w:sz w:val="15"/>
          <w:szCs w:val="20"/>
        </w:rPr>
        <w:t>exPlanations</w:t>
      </w:r>
      <w:proofErr w:type="spellEnd"/>
      <w:r w:rsidRPr="00197A50">
        <w:rPr>
          <w:rFonts w:ascii="Times New Roman" w:eastAsia="Arial" w:hAnsi="Times New Roman" w:cs="Times New Roman"/>
          <w:sz w:val="15"/>
          <w:szCs w:val="20"/>
        </w:rPr>
        <w:t>.</w:t>
      </w:r>
    </w:p>
    <w:p w14:paraId="45A4CFE0" w14:textId="77777777" w:rsidR="00000000" w:rsidRDefault="00000000" w:rsidP="00197A50">
      <w:pPr>
        <w:spacing w:after="0" w:line="240" w:lineRule="auto"/>
        <w:rPr>
          <w:rFonts w:ascii="Times New Roman" w:eastAsia="Arial" w:hAnsi="Times New Roman" w:cs="Times New Roman"/>
          <w:b/>
          <w:szCs w:val="20"/>
        </w:rPr>
        <w:sectPr w:rsidR="00197A50" w:rsidSect="00197A50">
          <w:pgSz w:w="15840" w:h="12240" w:orient="landscape"/>
          <w:pgMar w:top="1440" w:right="1440" w:bottom="1440" w:left="1440" w:header="720" w:footer="720" w:gutter="0"/>
          <w:cols w:space="720"/>
          <w:docGrid w:linePitch="360"/>
        </w:sectPr>
      </w:pPr>
    </w:p>
    <w:p w14:paraId="5EC7A016" w14:textId="77777777" w:rsidR="00000000" w:rsidRPr="00197A50" w:rsidRDefault="00000000" w:rsidP="00C33C7E">
      <w:pPr>
        <w:spacing w:after="0" w:line="240" w:lineRule="auto"/>
        <w:jc w:val="center"/>
        <w:rPr>
          <w:rFonts w:ascii="Times New Roman" w:eastAsia="Arial" w:hAnsi="Times New Roman" w:cs="Times New Roman"/>
          <w:sz w:val="15"/>
          <w:szCs w:val="20"/>
        </w:rPr>
      </w:pPr>
      <w:r w:rsidRPr="00197A50">
        <w:rPr>
          <w:rFonts w:ascii="Times New Roman" w:eastAsia="Arial" w:hAnsi="Times New Roman" w:cs="Times New Roman"/>
          <w:b/>
          <w:szCs w:val="20"/>
        </w:rPr>
        <w:lastRenderedPageBreak/>
        <w:t xml:space="preserve">Supplementary Figure S4. </w:t>
      </w:r>
      <w:r w:rsidRPr="00197A50">
        <w:rPr>
          <w:rFonts w:ascii="Times New Roman" w:eastAsia="Arial" w:hAnsi="Times New Roman" w:cs="Times New Roman"/>
          <w:szCs w:val="20"/>
        </w:rPr>
        <w:t xml:space="preserve">SHAP Waterfall </w:t>
      </w:r>
      <w:proofErr w:type="gramStart"/>
      <w:r w:rsidRPr="00197A50">
        <w:rPr>
          <w:rFonts w:ascii="Times New Roman" w:eastAsia="Arial" w:hAnsi="Times New Roman" w:cs="Times New Roman"/>
          <w:szCs w:val="20"/>
        </w:rPr>
        <w:t>Plots :</w:t>
      </w:r>
      <w:proofErr w:type="gramEnd"/>
      <w:r w:rsidRPr="00197A50">
        <w:rPr>
          <w:rFonts w:ascii="Times New Roman" w:eastAsia="Arial" w:hAnsi="Times New Roman" w:cs="Times New Roman"/>
          <w:szCs w:val="20"/>
        </w:rPr>
        <w:t xml:space="preserve"> Individual Prediction Explanations</w:t>
      </w:r>
      <w:r w:rsidRPr="00197A50">
        <w:rPr>
          <w:rFonts w:ascii="Times New Roman" w:eastAsia="Arial" w:hAnsi="Times New Roman" w:cs="Times New Roman"/>
          <w:noProof/>
          <w:sz w:val="15"/>
          <w:szCs w:val="20"/>
        </w:rPr>
        <w:drawing>
          <wp:inline distT="0" distB="0" distL="0" distR="0" wp14:anchorId="5CE9C321" wp14:editId="63FD55BC">
            <wp:extent cx="4319032" cy="6909684"/>
            <wp:effectExtent l="0" t="0" r="5715" b="5715"/>
            <wp:docPr id="14410939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449" cy="6932749"/>
                    </a:xfrm>
                    <a:prstGeom prst="rect">
                      <a:avLst/>
                    </a:prstGeom>
                    <a:noFill/>
                    <a:ln>
                      <a:noFill/>
                    </a:ln>
                  </pic:spPr>
                </pic:pic>
              </a:graphicData>
            </a:graphic>
          </wp:inline>
        </w:drawing>
      </w:r>
    </w:p>
    <w:p w14:paraId="2B55526C" w14:textId="77777777" w:rsidR="00000000" w:rsidRPr="00197A50" w:rsidRDefault="00000000" w:rsidP="00197A50">
      <w:pPr>
        <w:spacing w:after="0" w:line="240" w:lineRule="auto"/>
        <w:rPr>
          <w:rFonts w:ascii="Times New Roman" w:eastAsia="Arial" w:hAnsi="Times New Roman" w:cs="Times New Roman"/>
          <w:sz w:val="20"/>
          <w:szCs w:val="20"/>
        </w:rPr>
      </w:pPr>
      <w:r w:rsidRPr="00197A50">
        <w:rPr>
          <w:rFonts w:ascii="Times New Roman" w:eastAsia="Arial" w:hAnsi="Times New Roman" w:cs="Times New Roman"/>
          <w:sz w:val="15"/>
          <w:szCs w:val="20"/>
        </w:rPr>
        <w:t>SHAP waterfall plots for representative true positive and true negative cases from each CVD category’s best-performing model. Each panel decomposes a single patient’s predicted probability of 30-day readmission into additive feature contributions, starting from the base rate (E[f(x)]) and showing how each feature pushes the prediction higher (red) or lower (blue). True positive cases are selected as the highest-confidence correct readmission predictions; true negative cases as the lowest-probability correct</w:t>
      </w:r>
      <w:r w:rsidRPr="00197A50">
        <w:rPr>
          <w:rFonts w:ascii="Times New Roman" w:eastAsia="Arial" w:hAnsi="Times New Roman" w:cs="Times New Roman"/>
          <w:sz w:val="15"/>
          <w:szCs w:val="20"/>
        </w:rPr>
        <w:t xml:space="preserve"> non-readmission predictions. Feature values for the selected patient are displayed alongside each bar.</w:t>
      </w:r>
    </w:p>
    <w:p w14:paraId="0347B854" w14:textId="77777777" w:rsidR="00000000" w:rsidRPr="00197A50" w:rsidRDefault="00000000" w:rsidP="00197A50">
      <w:pPr>
        <w:spacing w:after="0" w:line="240" w:lineRule="auto"/>
        <w:rPr>
          <w:rFonts w:ascii="Times New Roman" w:eastAsia="Arial" w:hAnsi="Times New Roman" w:cs="Times New Roman"/>
          <w:sz w:val="15"/>
          <w:szCs w:val="20"/>
        </w:rPr>
      </w:pPr>
      <w:r w:rsidRPr="00197A50">
        <w:rPr>
          <w:rFonts w:ascii="Times New Roman" w:eastAsia="Arial" w:hAnsi="Times New Roman" w:cs="Times New Roman"/>
          <w:sz w:val="15"/>
          <w:szCs w:val="20"/>
        </w:rPr>
        <w:t xml:space="preserve">Abbreviations: AF/AFL, atrial fibrillation/flutter; AMI, acute myocardial infarction; CVD, cardiovascular disease; E[f(x)], expected model output (base rate); HF, heart failure; HHD, hypertensive heart disease; SHAP, </w:t>
      </w:r>
      <w:proofErr w:type="spellStart"/>
      <w:r w:rsidRPr="00197A50">
        <w:rPr>
          <w:rFonts w:ascii="Times New Roman" w:eastAsia="Arial" w:hAnsi="Times New Roman" w:cs="Times New Roman"/>
          <w:sz w:val="15"/>
          <w:szCs w:val="20"/>
        </w:rPr>
        <w:t>SHapley</w:t>
      </w:r>
      <w:proofErr w:type="spellEnd"/>
      <w:r w:rsidRPr="00197A50">
        <w:rPr>
          <w:rFonts w:ascii="Times New Roman" w:eastAsia="Arial" w:hAnsi="Times New Roman" w:cs="Times New Roman"/>
          <w:sz w:val="15"/>
          <w:szCs w:val="20"/>
        </w:rPr>
        <w:t xml:space="preserve"> Additive </w:t>
      </w:r>
      <w:proofErr w:type="spellStart"/>
      <w:r w:rsidRPr="00197A50">
        <w:rPr>
          <w:rFonts w:ascii="Times New Roman" w:eastAsia="Arial" w:hAnsi="Times New Roman" w:cs="Times New Roman"/>
          <w:sz w:val="15"/>
          <w:szCs w:val="20"/>
        </w:rPr>
        <w:t>exPlanations</w:t>
      </w:r>
      <w:proofErr w:type="spellEnd"/>
      <w:r w:rsidRPr="00197A50">
        <w:rPr>
          <w:rFonts w:ascii="Times New Roman" w:eastAsia="Arial" w:hAnsi="Times New Roman" w:cs="Times New Roman"/>
          <w:sz w:val="15"/>
          <w:szCs w:val="20"/>
        </w:rPr>
        <w:t>; TN, true negative; TP, true positive.</w:t>
      </w:r>
      <w:r>
        <w:rPr>
          <w:rFonts w:ascii="Times New Roman" w:eastAsia="Arial" w:hAnsi="Times New Roman" w:cs="Times New Roman"/>
          <w:sz w:val="15"/>
          <w:szCs w:val="20"/>
        </w:rPr>
        <w:t xml:space="preserve"> </w:t>
      </w:r>
      <w:r>
        <w:rPr>
          <w:rFonts w:ascii="Times New Roman" w:eastAsia="Arial" w:hAnsi="Times New Roman" w:cs="Times New Roman"/>
          <w:sz w:val="15"/>
          <w:szCs w:val="20"/>
        </w:rPr>
        <w:br/>
      </w:r>
      <w:r w:rsidRPr="00197A50">
        <w:rPr>
          <w:rFonts w:ascii="Times New Roman" w:eastAsia="Arial" w:hAnsi="Times New Roman" w:cs="Times New Roman"/>
          <w:sz w:val="15"/>
          <w:szCs w:val="20"/>
        </w:rPr>
        <w:t>Note: Because the 30-day readmission rate exceeds 10% in all CVD categories (18.9% overall, 22.5% for Heart Failure, 15.3% for AF/AFL, 13.0% for AMI, 12.4% for HHD), odds ratios from logistic regression do not approximate relative risks at these prevalence levels. ORs presented here should be interpreted as measures of association on the odds scale, not as indicating “X% higher risk” of readmission.</w:t>
      </w:r>
    </w:p>
    <w:p w14:paraId="71771FBE" w14:textId="77777777" w:rsidR="00000000" w:rsidRDefault="00000000" w:rsidP="00197A50"/>
    <w:sectPr w:rsidR="0033311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896343">
    <w:abstractNumId w:val="8"/>
  </w:num>
  <w:num w:numId="2" w16cid:durableId="274214991">
    <w:abstractNumId w:val="6"/>
  </w:num>
  <w:num w:numId="3" w16cid:durableId="989403719">
    <w:abstractNumId w:val="5"/>
  </w:num>
  <w:num w:numId="4" w16cid:durableId="1729914106">
    <w:abstractNumId w:val="4"/>
  </w:num>
  <w:num w:numId="5" w16cid:durableId="2010864666">
    <w:abstractNumId w:val="7"/>
  </w:num>
  <w:num w:numId="6" w16cid:durableId="129636304">
    <w:abstractNumId w:val="3"/>
  </w:num>
  <w:num w:numId="7" w16cid:durableId="2034573002">
    <w:abstractNumId w:val="2"/>
  </w:num>
  <w:num w:numId="8" w16cid:durableId="2031489517">
    <w:abstractNumId w:val="1"/>
  </w:num>
  <w:num w:numId="9" w16cid:durableId="121373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72B5F"/>
    <w:rsid w:val="00AA1D8D"/>
    <w:rsid w:val="00B47730"/>
    <w:rsid w:val="00BD140D"/>
    <w:rsid w:val="00C33C7E"/>
    <w:rsid w:val="00CB0664"/>
    <w:rsid w:val="00D615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F76D1"/>
  <w14:defaultImageDpi w14:val="300"/>
  <w15:docId w15:val="{0F9E343C-8059-420D-A6CF-4C32E076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4168</Words>
  <Characters>28637</Characters>
  <Application>Microsoft Office Word</Application>
  <DocSecurity>0</DocSecurity>
  <Lines>301</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 Moudden, Ismail</cp:lastModifiedBy>
  <cp:revision>3</cp:revision>
  <dcterms:created xsi:type="dcterms:W3CDTF">2013-12-23T23:15:00Z</dcterms:created>
  <dcterms:modified xsi:type="dcterms:W3CDTF">2026-03-11T18:35:00Z</dcterms:modified>
  <cp:category/>
</cp:coreProperties>
</file>