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B3F" w14:textId="463612B0" w:rsidR="000E269A" w:rsidRPr="00006FF9" w:rsidRDefault="000E269A" w:rsidP="000E269A">
      <w:pPr>
        <w:rPr>
          <w:rFonts w:ascii="Times New Roman" w:hAnsi="Times New Roman" w:cs="Times New Roman"/>
        </w:rPr>
      </w:pPr>
      <w:r w:rsidRPr="305655A4">
        <w:rPr>
          <w:rFonts w:ascii="Times New Roman" w:hAnsi="Times New Roman" w:cs="Times New Roman"/>
          <w:b/>
          <w:bCs/>
        </w:rPr>
        <w:t>Appendix Table 1. </w:t>
      </w:r>
      <w:r w:rsidRPr="305655A4">
        <w:rPr>
          <w:rFonts w:ascii="Times New Roman" w:hAnsi="Times New Roman" w:cs="Times New Roman"/>
        </w:rPr>
        <w:t xml:space="preserve"> </w:t>
      </w:r>
      <w:r w:rsidR="00E14B01" w:rsidRPr="305655A4">
        <w:rPr>
          <w:rFonts w:ascii="Times New Roman" w:hAnsi="Times New Roman" w:cs="Times New Roman"/>
        </w:rPr>
        <w:t>Plant and invertebrate s</w:t>
      </w:r>
      <w:r w:rsidRPr="305655A4">
        <w:rPr>
          <w:rFonts w:ascii="Times New Roman" w:hAnsi="Times New Roman" w:cs="Times New Roman"/>
        </w:rPr>
        <w:t xml:space="preserve">ites </w:t>
      </w:r>
      <w:r w:rsidR="00E14B01" w:rsidRPr="305655A4">
        <w:rPr>
          <w:rFonts w:ascii="Times New Roman" w:hAnsi="Times New Roman" w:cs="Times New Roman"/>
        </w:rPr>
        <w:t>with</w:t>
      </w:r>
      <w:r w:rsidRPr="305655A4">
        <w:rPr>
          <w:rFonts w:ascii="Times New Roman" w:hAnsi="Times New Roman" w:cs="Times New Roman"/>
        </w:rPr>
        <w:t xml:space="preserve"> associated data.  </w:t>
      </w:r>
      <w:r w:rsidR="00C91269">
        <w:rPr>
          <w:rFonts w:ascii="Times New Roman" w:hAnsi="Times New Roman" w:cs="Times New Roman"/>
        </w:rPr>
        <w:t xml:space="preserve">This includes </w:t>
      </w:r>
      <w:r w:rsidR="00EE5DCE">
        <w:rPr>
          <w:rFonts w:ascii="Times New Roman" w:hAnsi="Times New Roman" w:cs="Times New Roman"/>
        </w:rPr>
        <w:t>the California county, site code, latitude, number of pools sampled</w:t>
      </w:r>
      <w:r w:rsidR="00EF66A2">
        <w:rPr>
          <w:rFonts w:ascii="Times New Roman" w:hAnsi="Times New Roman" w:cs="Times New Roman"/>
        </w:rPr>
        <w:t>, percent development and agriculture, and average temperature and presipitation.</w:t>
      </w:r>
    </w:p>
    <w:tbl>
      <w:tblPr>
        <w:tblW w:w="1053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350"/>
        <w:gridCol w:w="810"/>
        <w:gridCol w:w="942"/>
        <w:gridCol w:w="48"/>
        <w:gridCol w:w="990"/>
        <w:gridCol w:w="1080"/>
        <w:gridCol w:w="1260"/>
        <w:gridCol w:w="1350"/>
        <w:gridCol w:w="1350"/>
      </w:tblGrid>
      <w:tr w:rsidR="000E269A" w:rsidRPr="00006FF9" w14:paraId="682511DD" w14:textId="77777777" w:rsidTr="00A800D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5F8890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Dataset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406CCA3" w14:textId="683D27D5" w:rsidR="000E269A" w:rsidRPr="00006FF9" w:rsidRDefault="00367A89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 </w:t>
            </w:r>
            <w:r w:rsidR="0097442A">
              <w:rPr>
                <w:rFonts w:ascii="Times New Roman" w:hAnsi="Times New Roman" w:cs="Times New Roman"/>
                <w:b/>
                <w:bCs/>
              </w:rPr>
              <w:t>c</w:t>
            </w:r>
            <w:r w:rsidR="000E269A" w:rsidRPr="00006FF9">
              <w:rPr>
                <w:rFonts w:ascii="Times New Roman" w:hAnsi="Times New Roman" w:cs="Times New Roman"/>
                <w:b/>
                <w:bCs/>
              </w:rPr>
              <w:t>ounty</w:t>
            </w:r>
            <w:r w:rsidR="000E269A"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3E5584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Site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077F46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Latitude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4E7189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Number of pools sampled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0A7FDB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Percent developed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7BE89D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Percent agriculture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3BBB85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Average temperature (Celsius)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9B4EA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  <w:b/>
                <w:bCs/>
              </w:rPr>
              <w:t>Average precipitation(mm)</w:t>
            </w:r>
            <w:r w:rsidRPr="00006FF9">
              <w:rPr>
                <w:rFonts w:ascii="Times New Roman" w:hAnsi="Times New Roman" w:cs="Times New Roman"/>
              </w:rPr>
              <w:t> </w:t>
            </w:r>
          </w:p>
        </w:tc>
      </w:tr>
      <w:tr w:rsidR="000E269A" w:rsidRPr="00006FF9" w14:paraId="50BF083A" w14:textId="77777777" w:rsidTr="00A800D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2B4A23" w14:textId="77777777" w:rsidR="000E269A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C80E69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DDA8FD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A8B965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DD161B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A5EF69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DE74AD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EC90A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E38DAD" w14:textId="77777777" w:rsidR="000E269A" w:rsidRPr="00006FF9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269A" w:rsidRPr="00006FF9" w14:paraId="5D0BDCB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AB85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B659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Alameda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5712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SPR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2C57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37.72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DB64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6920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6.43 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D781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4671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15.55 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2BBC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38.17 </w:t>
            </w:r>
          </w:p>
        </w:tc>
      </w:tr>
      <w:tr w:rsidR="000E269A" w:rsidRPr="00006FF9" w14:paraId="593EFCC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1F8E0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8A72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Alameda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1E36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WAR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EBF7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37.48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3FD2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4124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E9F8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3.36 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A3D6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15.85 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1957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38.58 </w:t>
            </w:r>
          </w:p>
        </w:tc>
      </w:tr>
      <w:tr w:rsidR="000E269A" w:rsidRPr="00006FF9" w14:paraId="69C685CE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7400E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3C15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Butte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CE02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BOO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FFED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39.61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FC99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5264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5.87 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B5B9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20.88 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6C21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16.38 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0082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52.42 </w:t>
            </w:r>
          </w:p>
        </w:tc>
      </w:tr>
      <w:tr w:rsidR="000E269A" w:rsidRPr="00006FF9" w14:paraId="14071E1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08196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3A85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Fresno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EBBB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KER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56C3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36.73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4A3E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0209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2.35 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2F7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8.97 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A529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16.36 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FE4B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17.00 </w:t>
            </w:r>
          </w:p>
        </w:tc>
      </w:tr>
      <w:tr w:rsidR="000E269A" w:rsidRPr="00006FF9" w14:paraId="2F236A0B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1A6D1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7E28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Fresno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B2D5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BIG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72E9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37.04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2EB0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EA6A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D642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94C6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16.49 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4992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50.58 </w:t>
            </w:r>
          </w:p>
        </w:tc>
      </w:tr>
      <w:tr w:rsidR="000E269A" w:rsidRPr="00006FF9" w14:paraId="2D3BD8E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A806C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8F7E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Fresno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A48A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KEN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3222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37.09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26EC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0100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3803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A5CC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16.49 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60A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50.58 </w:t>
            </w:r>
          </w:p>
        </w:tc>
      </w:tr>
      <w:tr w:rsidR="000E269A" w:rsidRPr="00006FF9" w14:paraId="5167C9BD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FD62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BB03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Fresno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5320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TAB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D525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37.04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BDF7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8C39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1.92 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4CFF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6.30 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A716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16.49 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E156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50.58 </w:t>
            </w:r>
          </w:p>
        </w:tc>
      </w:tr>
      <w:tr w:rsidR="000E269A" w:rsidRPr="00006FF9" w14:paraId="33C2213E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B32FC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CB02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Glenn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E66E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DFE7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39.44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6DEB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AC5A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3.06 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D9A3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0.11 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133A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16.06 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8409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38.25 </w:t>
            </w:r>
          </w:p>
        </w:tc>
      </w:tr>
      <w:tr w:rsidR="000E269A" w:rsidRPr="00006FF9" w14:paraId="6BA0C74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82193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D6C8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Kern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A51C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SEM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1645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35.64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2436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0A74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0.95 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F097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9.92 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BFC6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17.69 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F5FF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15.33 </w:t>
            </w:r>
          </w:p>
        </w:tc>
      </w:tr>
      <w:tr w:rsidR="000E269A" w:rsidRPr="00006FF9" w14:paraId="18CD222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095B5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0DD3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32F9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SUN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59EE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37.25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ED99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5A7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21EB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119E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16.20 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AF74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22.58 </w:t>
            </w:r>
          </w:p>
        </w:tc>
      </w:tr>
      <w:tr w:rsidR="000E269A" w:rsidRPr="00006FF9" w14:paraId="263739B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A4175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F86E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5E9F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ARE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C564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37.25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60A0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C7A0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2283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15.97 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CF53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16.20 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7D37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22.58 </w:t>
            </w:r>
          </w:p>
        </w:tc>
      </w:tr>
      <w:tr w:rsidR="000E269A" w:rsidRPr="00006FF9" w14:paraId="5DF13BFC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AE0D0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5ABF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2087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GSP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B240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37.25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305B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F85D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2.41 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E57B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1.06 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782F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16.17 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8DB4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21.83 </w:t>
            </w:r>
          </w:p>
        </w:tc>
      </w:tr>
      <w:tr w:rsidR="000E269A" w:rsidRPr="00006FF9" w14:paraId="5A981166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9722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15CD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374C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KES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4CE5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37.27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DA33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B889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3DC3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5638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16.17 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841F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21.83 </w:t>
            </w:r>
          </w:p>
        </w:tc>
      </w:tr>
      <w:tr w:rsidR="000E269A" w:rsidRPr="00006FF9" w14:paraId="3833BF5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E0606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E396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D589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CHA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D9FA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37.47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3C0D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9977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5E77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D6B2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16.80 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5073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32.25 </w:t>
            </w:r>
          </w:p>
        </w:tc>
      </w:tr>
      <w:tr w:rsidR="000E269A" w:rsidRPr="00006FF9" w14:paraId="54347381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3FAFE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C1CE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D26D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FLY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852B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37.17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AD27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8BC6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2.73 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FA1F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12.97 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55A9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16.51 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064B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28.67 </w:t>
            </w:r>
          </w:p>
        </w:tc>
      </w:tr>
      <w:tr w:rsidR="000E269A" w:rsidRPr="00006FF9" w14:paraId="0C8C003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40107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3FDE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0063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ICO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C606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37.34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A134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23A7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0.06 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9155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21.41 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449A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16.80 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9609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32.25 </w:t>
            </w:r>
          </w:p>
        </w:tc>
      </w:tr>
      <w:tr w:rsidR="000E269A" w:rsidRPr="00006FF9" w14:paraId="33E3753F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F0F2A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9E51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Merced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0F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KEL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95E2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37.35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CF81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7AFD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0EDF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6.65 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6256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59FE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37.17 </w:t>
            </w:r>
          </w:p>
        </w:tc>
      </w:tr>
      <w:tr w:rsidR="000E269A" w:rsidRPr="00006FF9" w14:paraId="357D0E3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15CB0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B916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Placer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61AE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OR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2B46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38.83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FE53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9CE0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22.21 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24C0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B355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16.61 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AC03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53.42 </w:t>
            </w:r>
          </w:p>
        </w:tc>
      </w:tr>
      <w:tr w:rsidR="000E269A" w:rsidRPr="00006FF9" w14:paraId="0468D36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97471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E57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Placer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AF5E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ORC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8C50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38.84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BB89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48BC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0.40 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27FB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0.06 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9B0E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16.61 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1EB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53.42 </w:t>
            </w:r>
          </w:p>
        </w:tc>
      </w:tr>
      <w:tr w:rsidR="000E269A" w:rsidRPr="00006FF9" w14:paraId="7568B92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83371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44B6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Plumas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ECD5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SQU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98C8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39.99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0064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DD4B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1.38 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570A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50.99 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F952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7.21 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9D4E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53.33 </w:t>
            </w:r>
          </w:p>
        </w:tc>
      </w:tr>
      <w:tr w:rsidR="000E269A" w:rsidRPr="00006FF9" w14:paraId="3E537C7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94830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2BC3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Riverside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B77A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AFEB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33.5</w:t>
            </w:r>
            <w:r>
              <w:rPr>
                <w:rFonts w:ascii="Times New Roman" w:hAnsi="Times New Roman" w:cs="Times New Roman"/>
              </w:rPr>
              <w:t>0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993C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7447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2.32 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3C0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34.29 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FB88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17.27 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5BA9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29.92 </w:t>
            </w:r>
          </w:p>
        </w:tc>
      </w:tr>
      <w:tr w:rsidR="000E269A" w:rsidRPr="00006FF9" w14:paraId="260396E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DA734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5AF1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B74C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HOW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AD0B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38.35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552E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9FC4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0D90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2F7A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16.50 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2884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45.92 </w:t>
            </w:r>
          </w:p>
        </w:tc>
      </w:tr>
      <w:tr w:rsidR="000E269A" w:rsidRPr="00006FF9" w14:paraId="6FFD9A1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C1578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81C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5879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MAT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F50F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38.53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12A6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3BC9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23.88 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7596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0.03 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DAF1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16.58 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3DE8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43.08 </w:t>
            </w:r>
          </w:p>
        </w:tc>
      </w:tr>
      <w:tr w:rsidR="000E269A" w:rsidRPr="00006FF9" w14:paraId="064CCA9D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0D608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C5AA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F9D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PHO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D494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38.65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11C8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165C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4.55 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A563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95.45 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B3EE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16.58 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9B8A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43.08 </w:t>
            </w:r>
          </w:p>
        </w:tc>
      </w:tr>
      <w:tr w:rsidR="000E269A" w:rsidRPr="00006FF9" w14:paraId="06027BA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059F8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51A1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6B25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RAN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52A4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38.33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3716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2828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6C73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5761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16.24 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FA2B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43.17 </w:t>
            </w:r>
          </w:p>
        </w:tc>
      </w:tr>
      <w:tr w:rsidR="000E269A" w:rsidRPr="00006FF9" w14:paraId="4B75F51C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4EBDD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4AFF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FD4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VAL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3368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38.34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F8FB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A366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3.57 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6DB9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35AE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16.10 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3B72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41.25 </w:t>
            </w:r>
          </w:p>
        </w:tc>
      </w:tr>
      <w:tr w:rsidR="000E269A" w:rsidRPr="00006FF9" w14:paraId="6863481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4917E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5CB0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Sacramento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9F5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FRI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7420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38.6</w:t>
            </w:r>
            <w:r>
              <w:rPr>
                <w:rFonts w:ascii="Times New Roman" w:hAnsi="Times New Roman" w:cs="Times New Roman"/>
              </w:rPr>
              <w:t>0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E1FA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11A3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99.37 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793F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0.46 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31D8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16.66 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FA3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39.83 </w:t>
            </w:r>
          </w:p>
        </w:tc>
      </w:tr>
      <w:tr w:rsidR="000E269A" w:rsidRPr="00006FF9" w14:paraId="4A3F31ED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D0E3F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60CC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Diego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5729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CAR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A7A4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32.89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0D03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0246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52.26 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117C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0.29 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AD68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17.72 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50F0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28.42 </w:t>
            </w:r>
          </w:p>
        </w:tc>
      </w:tr>
      <w:tr w:rsidR="000E269A" w:rsidRPr="00006FF9" w14:paraId="73F872C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6B208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B7CD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Diego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0F49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DEL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3E5F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32.94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A663C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0F16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30.96 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9BB9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E21A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17.72 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F3F9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28.42 </w:t>
            </w:r>
          </w:p>
        </w:tc>
      </w:tr>
      <w:tr w:rsidR="000E269A" w:rsidRPr="00006FF9" w14:paraId="63135CCF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58292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0074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Diego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F7A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MIR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437A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32.84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80E7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F83F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0.77 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6259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2.46 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D1F0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17.72 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BE4C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28.42 </w:t>
            </w:r>
          </w:p>
        </w:tc>
      </w:tr>
      <w:tr w:rsidR="000E269A" w:rsidRPr="00006FF9" w14:paraId="336BEAD6" w14:textId="77777777" w:rsidTr="00A800DF">
        <w:trPr>
          <w:trHeight w:val="3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DC60D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C21A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Diego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4B03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OTA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8AA3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32.55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7967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5195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11.59 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257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E6B4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17.72 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5FC4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22.17 </w:t>
            </w:r>
          </w:p>
        </w:tc>
      </w:tr>
      <w:tr w:rsidR="000E269A" w:rsidRPr="00006FF9" w14:paraId="061E88A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1CF2A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6B60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Diego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1386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OTM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E954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32.59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26D6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D199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77.41 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B564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0.03 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A947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17.78 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ED14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26.08 </w:t>
            </w:r>
          </w:p>
        </w:tc>
      </w:tr>
      <w:tr w:rsidR="000E269A" w:rsidRPr="00006FF9" w14:paraId="6F81611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6D209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759D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 Joaquin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DFD3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LAN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83A1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38.22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8672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A403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4.32 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EC19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6AE5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16.24 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B98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43.17 </w:t>
            </w:r>
          </w:p>
        </w:tc>
      </w:tr>
      <w:tr w:rsidR="000E269A" w:rsidRPr="00006FF9" w14:paraId="79A0C74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76440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CEC3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Santa Barbara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E660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ELL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DCE6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34.41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4ECE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275A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24.36 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83F9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2.21 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B647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15.65 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AB57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38.50 </w:t>
            </w:r>
          </w:p>
        </w:tc>
      </w:tr>
      <w:tr w:rsidR="000E269A" w:rsidRPr="00006FF9" w14:paraId="2FFB0B5F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0A1DA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14DB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Santa Barbara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027F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ISL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A4CE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34.41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524C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04DC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70.59 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52F6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4.48 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74C6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15.65 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B76D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38.50 </w:t>
            </w:r>
          </w:p>
        </w:tc>
      </w:tr>
      <w:tr w:rsidR="000E269A" w:rsidRPr="00006FF9" w14:paraId="3D6BAB5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EFF94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9FF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Shasta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9A58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SOL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07A5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41.07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177C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DCF6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35.71 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AC41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0.03 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265A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9.85 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183D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58.25 </w:t>
            </w:r>
          </w:p>
        </w:tc>
      </w:tr>
      <w:tr w:rsidR="000E269A" w:rsidRPr="00006FF9" w14:paraId="73446C4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99197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2196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Solano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49ED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JEP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D861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38.28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D720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D2CD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2.81 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D54C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5.53 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AEE2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15.61 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F120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37.17 </w:t>
            </w:r>
          </w:p>
        </w:tc>
      </w:tr>
      <w:tr w:rsidR="000E269A" w:rsidRPr="00006FF9" w14:paraId="7BB901F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FB3E8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BA82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Solano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F90F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WIL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99D5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38.26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6CAC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D43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52.55 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E9DF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F736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15.71 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C4D9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43.00 </w:t>
            </w:r>
          </w:p>
        </w:tc>
      </w:tr>
      <w:tr w:rsidR="000E269A" w:rsidRPr="00006FF9" w14:paraId="21BECD6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8CC9A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0E79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Sonoma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1FA4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TOD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B4EE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38.38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E0CD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E8A2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3.90 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737B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2164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14.60 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D08F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72.42 </w:t>
            </w:r>
          </w:p>
        </w:tc>
      </w:tr>
      <w:tr w:rsidR="000E269A" w:rsidRPr="00006FF9" w14:paraId="1A34823D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DA5C5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5DF8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D416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THO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2832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39.99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D4EC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2D35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7.22 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2CEA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82.32 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DD37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6B2C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47.17 </w:t>
            </w:r>
          </w:p>
        </w:tc>
      </w:tr>
      <w:tr w:rsidR="000E269A" w:rsidRPr="00006FF9" w14:paraId="6F4A545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7515C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084C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27CE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DAL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F06C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40.33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4F8F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FACF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4.04 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510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0567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182F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63.75 </w:t>
            </w:r>
          </w:p>
        </w:tc>
      </w:tr>
      <w:tr w:rsidR="000E269A" w:rsidRPr="00006FF9" w14:paraId="7B1E697F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9244D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74DE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4B5C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FOR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DFD0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39.94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1447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D8A2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93DE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9856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0F97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58.17 </w:t>
            </w:r>
          </w:p>
        </w:tc>
      </w:tr>
      <w:tr w:rsidR="000E269A" w:rsidRPr="00006FF9" w14:paraId="6AE672ED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C21A3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5354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8E71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HOG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5329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40.28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2CCA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12D6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1.89 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7BE5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E7F2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0C9B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63.75 </w:t>
            </w:r>
          </w:p>
        </w:tc>
      </w:tr>
      <w:tr w:rsidR="000E269A" w:rsidRPr="00006FF9" w14:paraId="6271611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D3CFF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DA60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6FA9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INK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928F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40.34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61E1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E452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0DF4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2CAB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16.66 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8841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74.75 </w:t>
            </w:r>
          </w:p>
        </w:tc>
      </w:tr>
      <w:tr w:rsidR="000E269A" w:rsidRPr="00006FF9" w14:paraId="0BEA727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A62D3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1A39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EE24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LAS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B9DA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39.91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AE92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04C5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4.41 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CDD7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861B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87FC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58.17 </w:t>
            </w:r>
          </w:p>
        </w:tc>
      </w:tr>
      <w:tr w:rsidR="000E269A" w:rsidRPr="00006FF9" w14:paraId="0B8F98C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355D0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D9DD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C4C7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ROW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D6C0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39.89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5643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2639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2F74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0.56 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49EA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16.46 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75A4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49.00 </w:t>
            </w:r>
          </w:p>
        </w:tc>
      </w:tr>
      <w:tr w:rsidR="000E269A" w:rsidRPr="00006FF9" w14:paraId="2F5A491C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E4161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FE1A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1463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TUS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0B2A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40.27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2B3B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567D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DA6A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55.06 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0508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F004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63.75 </w:t>
            </w:r>
          </w:p>
        </w:tc>
      </w:tr>
      <w:tr w:rsidR="000E269A" w:rsidRPr="00006FF9" w14:paraId="3C96DEF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B37C2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FD5B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Tehama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6A1A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VIN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3504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39.91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C069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4C0C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0.77 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4F69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9.00 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5370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16.76 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CF38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58.17 </w:t>
            </w:r>
          </w:p>
        </w:tc>
      </w:tr>
      <w:tr w:rsidR="000E269A" w:rsidRPr="00006FF9" w14:paraId="2BFF1F60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F4F65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C039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Tulare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2550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PIX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3EB1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35.98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E6C8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5EAF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2.89 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46FA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0.86 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C5D0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17.24 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94C4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17.67 </w:t>
            </w:r>
          </w:p>
        </w:tc>
      </w:tr>
      <w:tr w:rsidR="000E269A" w:rsidRPr="00006FF9" w14:paraId="69D5177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635D7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5BC4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Tulare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3E69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HER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2656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36.18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8342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55D9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1.49 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41DC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60.11 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756C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17.18 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8D0F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22.00 </w:t>
            </w:r>
          </w:p>
        </w:tc>
      </w:tr>
      <w:tr w:rsidR="000E269A" w:rsidRPr="00006FF9" w14:paraId="692F63BF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F2974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3646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Tulare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0825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STO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4134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36.44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53B7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699B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50E9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78.91 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DF81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17.34 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39B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25.58 </w:t>
            </w:r>
          </w:p>
        </w:tc>
      </w:tr>
      <w:tr w:rsidR="000E269A" w:rsidRPr="00006FF9" w14:paraId="6CBC6166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276E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68073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Yuba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EA4CA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BEA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C9EC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39.13</w:t>
            </w:r>
            <w:r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B423E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1B55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2.38 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27EBB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32.20 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8B464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16.97 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1376A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51.25 </w:t>
            </w:r>
          </w:p>
        </w:tc>
      </w:tr>
      <w:tr w:rsidR="000E269A" w:rsidRPr="00006FF9" w14:paraId="1CB7AF83" w14:textId="77777777" w:rsidTr="00A800D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179BF" w14:textId="77777777" w:rsidR="000E269A" w:rsidRPr="003C374A" w:rsidRDefault="000E269A" w:rsidP="00A800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Invertebrate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8593E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49CF4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61906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AF9F6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412B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F6AE6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4C0AA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FFBB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</w:tr>
      <w:tr w:rsidR="000E269A" w:rsidRPr="00006FF9" w14:paraId="40D25F41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D4F1E1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5034E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Alameda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0A7EE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Dublin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2B3167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37.71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2D0E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C5857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9ED62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89F2B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31A6A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38.17</w:t>
            </w:r>
          </w:p>
        </w:tc>
      </w:tr>
      <w:tr w:rsidR="000E269A" w:rsidRPr="00006FF9" w14:paraId="66CB152B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9D289D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2BED5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Alameda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3E234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Newman Ridge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7DC963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38.35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A942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9207B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3EBAC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8FCF6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13EF2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56.33</w:t>
            </w:r>
          </w:p>
        </w:tc>
      </w:tr>
      <w:tr w:rsidR="000E269A" w:rsidRPr="00006FF9" w14:paraId="470DAE7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F7F694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BB4B1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C2AC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Meridian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941554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39.86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167D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A9CE9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68549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832DB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7D395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58.17</w:t>
            </w:r>
          </w:p>
        </w:tc>
      </w:tr>
      <w:tr w:rsidR="000E269A" w:rsidRPr="00006FF9" w14:paraId="3AA2EC53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EB3910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F9043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24618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Sycamore Glen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EBDD82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39.78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90EE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5E88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BA4B8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EFFF9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2D084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64.83</w:t>
            </w:r>
          </w:p>
        </w:tc>
      </w:tr>
      <w:tr w:rsidR="000E269A" w:rsidRPr="00006FF9" w14:paraId="3F94DB5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50FAE8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B6461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 Costa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AB8F7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Vasco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7AC6B8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37.79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E27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4A5B0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91E73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5F14A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A6FF1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29.83</w:t>
            </w:r>
          </w:p>
        </w:tc>
      </w:tr>
      <w:tr w:rsidR="000E269A" w:rsidRPr="00006FF9" w14:paraId="6D45C02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AF651B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C6A81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Madera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2BF1D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Tesoro Viejo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7E9C3C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37.25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9BBF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7C9C1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7D026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D1563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E6974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58.75</w:t>
            </w:r>
          </w:p>
        </w:tc>
      </w:tr>
      <w:tr w:rsidR="000E269A" w:rsidRPr="00006FF9" w14:paraId="5DFFC99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E977B4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A1FEA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B2DA0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Lazy K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7623EF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37.12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709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8CAD1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DA191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013BE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630D3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23.75</w:t>
            </w:r>
          </w:p>
        </w:tc>
      </w:tr>
      <w:tr w:rsidR="000E269A" w:rsidRPr="00006FF9" w14:paraId="7DA5402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E52C9A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ECD0C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1180E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Highway 59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C8A593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37.38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D30E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98ED6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D91F3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8FC99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347CD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32.25</w:t>
            </w:r>
          </w:p>
        </w:tc>
      </w:tr>
      <w:tr w:rsidR="000E269A" w:rsidRPr="00006FF9" w14:paraId="609369D2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9B1D64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C35D8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E7892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Burns Haystack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84EB0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37.39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9CB0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2FAB8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D54DC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15104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1D3B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37.25</w:t>
            </w:r>
          </w:p>
        </w:tc>
      </w:tr>
      <w:tr w:rsidR="000E269A" w:rsidRPr="00006FF9" w14:paraId="18CF7891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4F825F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492B4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0D7E6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Roseville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1B655A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38.75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08FC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C2AE9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B0F19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30BE6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05C7D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108.58</w:t>
            </w:r>
          </w:p>
        </w:tc>
      </w:tr>
      <w:tr w:rsidR="000E269A" w:rsidRPr="00006FF9" w14:paraId="47F3B59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510BC5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3D6E2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B7324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Farms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411519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38.81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31E36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5AE51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139DB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9640B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3D47A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41.58</w:t>
            </w:r>
          </w:p>
        </w:tc>
      </w:tr>
      <w:tr w:rsidR="000E269A" w:rsidRPr="00006FF9" w14:paraId="3C67A5F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89C0A9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B101B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9AA52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 Ravine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2BF092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38.94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452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53ECC6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34FF0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27DD4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608F5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44.83</w:t>
            </w:r>
          </w:p>
        </w:tc>
      </w:tr>
      <w:tr w:rsidR="000E269A" w:rsidRPr="00006FF9" w14:paraId="6DC742C6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56D8C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C6771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D4C8A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Yankee Slough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21F01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38.96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4FBF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425F5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5039B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C2E24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7035A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44.83</w:t>
            </w:r>
          </w:p>
        </w:tc>
      </w:tr>
      <w:tr w:rsidR="000E269A" w:rsidRPr="00006FF9" w14:paraId="0766C80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59907B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087D6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Riverside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F8D2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Riverside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E977FA9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33.75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97CE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09127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163EB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6FCF8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78ABE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27.42</w:t>
            </w:r>
          </w:p>
        </w:tc>
      </w:tr>
      <w:tr w:rsidR="000E269A" w:rsidRPr="00006FF9" w14:paraId="6C1DA67C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14A6F6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55ECD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6C5DF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SMUD Preserve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35D561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38.32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CCB9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DBE0E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5112A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467F9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99B0B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43.17</w:t>
            </w:r>
          </w:p>
        </w:tc>
      </w:tr>
      <w:tr w:rsidR="000E269A" w:rsidRPr="00006FF9" w14:paraId="217EC87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88D7D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CDF3A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093A9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Gill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1A76E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38.47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1061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6274D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2964E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11A57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06EB5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45.92</w:t>
            </w:r>
          </w:p>
        </w:tc>
      </w:tr>
      <w:tr w:rsidR="000E269A" w:rsidRPr="00006FF9" w14:paraId="0D0DD29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DD33A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127C6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3A8DB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D5BCF0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38.52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B4D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8129E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321FF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005F4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53206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43.08</w:t>
            </w:r>
          </w:p>
        </w:tc>
      </w:tr>
      <w:tr w:rsidR="000E269A" w:rsidRPr="00006FF9" w14:paraId="1B55BEA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551B9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111C5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7837C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Laguna Stonelake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8018E48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38.40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C660D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A3F15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6E70B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E8169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B6A7F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38.75</w:t>
            </w:r>
          </w:p>
        </w:tc>
      </w:tr>
      <w:tr w:rsidR="000E269A" w:rsidRPr="00006FF9" w14:paraId="7DE5E52A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7F573F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42D22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85A3F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Simmerhorn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6F1487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38.26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5434F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A41E3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29039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7CAF1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561EB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39.92</w:t>
            </w:r>
          </w:p>
        </w:tc>
      </w:tr>
      <w:tr w:rsidR="000E269A" w:rsidRPr="00006FF9" w14:paraId="1EA39B58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957869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395399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Diego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48ED5E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Ramona Spray Fields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C738B7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33.05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7B133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B5E0DF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80A1B4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C8564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A38EA1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32.42</w:t>
            </w:r>
          </w:p>
        </w:tc>
      </w:tr>
      <w:tr w:rsidR="000E269A" w:rsidRPr="00006FF9" w14:paraId="62F79B79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8B452E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E9B0C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Joaquin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22EBB0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Borden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5CA9A84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38.30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6AE05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9ECE2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57B44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AC59F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0445D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43.17</w:t>
            </w:r>
          </w:p>
        </w:tc>
      </w:tr>
      <w:tr w:rsidR="000E269A" w:rsidRPr="00006FF9" w14:paraId="0B1D5ED7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14597B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B9AC6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Shasta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18F59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Country Church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D937953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2579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063D9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276145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F612F6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422F4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80.42</w:t>
            </w:r>
          </w:p>
        </w:tc>
      </w:tr>
      <w:tr w:rsidR="000E269A" w:rsidRPr="00006FF9" w14:paraId="2D6B73DE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CC049F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DA092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Shasta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9ECCC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Clover Creek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722D3F0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40.54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4DA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94EF59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AF0C3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755102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B1934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72.67</w:t>
            </w:r>
          </w:p>
        </w:tc>
      </w:tr>
      <w:tr w:rsidR="000E269A" w:rsidRPr="00006FF9" w14:paraId="013B950B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48CF2A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4024A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C9C19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MWVPP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15029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38.08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40CB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4C539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30536C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FD489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D6104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36.42</w:t>
            </w:r>
          </w:p>
        </w:tc>
      </w:tr>
      <w:tr w:rsidR="000E269A" w:rsidRPr="00006FF9" w14:paraId="595B985E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D17646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B34CE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98EC78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1B468D2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38.31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6271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B67F4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3DFCD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1AB95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44757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43.00</w:t>
            </w:r>
          </w:p>
        </w:tc>
      </w:tr>
      <w:tr w:rsidR="000E269A" w:rsidRPr="00006FF9" w14:paraId="24DB610C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14031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385CD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4D5634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Midway Meridian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F0DD0A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38.32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C7B6E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F8310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7CF1E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59963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E3BD2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43.00</w:t>
            </w:r>
          </w:p>
        </w:tc>
      </w:tr>
      <w:tr w:rsidR="000E269A" w:rsidRPr="00006FF9" w14:paraId="6B5374A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26DCE8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F57810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Tehama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0BD81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VPP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56E3291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39.94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6A557" w14:textId="77777777" w:rsidR="000E269A" w:rsidRPr="00006FF9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51CB1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E89B4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98D00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72487A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58.17</w:t>
            </w:r>
          </w:p>
        </w:tc>
      </w:tr>
      <w:tr w:rsidR="000E269A" w:rsidRPr="00006FF9" w14:paraId="18FD943B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AEAF3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859425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Tulare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913950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Yokohl</w:t>
            </w:r>
            <w:proofErr w:type="spellEnd"/>
            <w:r>
              <w:rPr>
                <w:rFonts w:ascii="Times New Roman" w:hAnsi="Times New Roman" w:cs="Times New Roman"/>
              </w:rPr>
              <w:t xml:space="preserve"> Ranch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050A53B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36.13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F82E2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ACBF4B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3353A7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1CDD83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6AB06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</w:tc>
      </w:tr>
      <w:tr w:rsidR="000E269A" w:rsidRPr="00006FF9" w14:paraId="64BD8A94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2C5773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23C39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12AE59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1B78545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39.14 N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61FC" w14:textId="77777777" w:rsidR="000E269A" w:rsidRDefault="000E269A" w:rsidP="00A8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3BEA0C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8EB589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D72742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09C453" w14:textId="77777777" w:rsidR="000E269A" w:rsidRDefault="000E269A" w:rsidP="00A8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51.25</w:t>
            </w:r>
          </w:p>
        </w:tc>
      </w:tr>
      <w:tr w:rsidR="000E269A" w:rsidRPr="00006FF9" w14:paraId="4B525E85" w14:textId="77777777" w:rsidTr="00A800D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A354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5B5CCF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42D85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530343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B0E0CD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AD12E7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B207B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D9CC21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78BF5E" w14:textId="77777777" w:rsidR="000E269A" w:rsidRPr="00006FF9" w:rsidRDefault="000E269A" w:rsidP="00A800DF">
            <w:pPr>
              <w:rPr>
                <w:rFonts w:ascii="Times New Roman" w:hAnsi="Times New Roman" w:cs="Times New Roman"/>
              </w:rPr>
            </w:pPr>
            <w:r w:rsidRPr="00006FF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20103BC" w14:textId="77777777" w:rsidR="000E269A" w:rsidRPr="006059F7" w:rsidRDefault="000E269A" w:rsidP="000E269A"/>
    <w:p w14:paraId="341F4A85" w14:textId="04A4CA93" w:rsidR="009F5389" w:rsidRDefault="009F5389" w:rsidP="303D60E2">
      <w:pPr>
        <w:spacing w:line="240" w:lineRule="auto"/>
      </w:pPr>
    </w:p>
    <w:p w14:paraId="5D78F5F3" w14:textId="32685054" w:rsidR="005D2A48" w:rsidRDefault="005D2A48" w:rsidP="303D60E2"/>
    <w:p w14:paraId="7E1A14AA" w14:textId="6675DEC1" w:rsidR="0043013D" w:rsidRPr="00A41EEC" w:rsidRDefault="005165FA" w:rsidP="004301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05655A4">
        <w:rPr>
          <w:rFonts w:ascii="Times New Roman" w:hAnsi="Times New Roman" w:cs="Times New Roman"/>
          <w:b/>
          <w:bCs/>
          <w:sz w:val="24"/>
          <w:szCs w:val="24"/>
        </w:rPr>
        <w:t>Appendix Table 2</w:t>
      </w:r>
      <w:r w:rsidR="00CF34B5" w:rsidRPr="305655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013D" w:rsidRPr="30565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13D" w:rsidRPr="305655A4">
        <w:rPr>
          <w:rFonts w:ascii="Times New Roman" w:hAnsi="Times New Roman" w:cs="Times New Roman"/>
          <w:sz w:val="24"/>
          <w:szCs w:val="24"/>
        </w:rPr>
        <w:t xml:space="preserve">Pool variables reported in the plant dataset and the </w:t>
      </w:r>
      <w:r w:rsidR="79A99CFB" w:rsidRPr="305655A4">
        <w:rPr>
          <w:rFonts w:ascii="Times New Roman" w:hAnsi="Times New Roman" w:cs="Times New Roman"/>
          <w:sz w:val="24"/>
          <w:szCs w:val="24"/>
        </w:rPr>
        <w:t>aquatic invertebrate</w:t>
      </w:r>
      <w:r w:rsidR="0043013D" w:rsidRPr="305655A4">
        <w:rPr>
          <w:rFonts w:ascii="Times New Roman" w:hAnsi="Times New Roman" w:cs="Times New Roman"/>
          <w:sz w:val="24"/>
          <w:szCs w:val="24"/>
        </w:rPr>
        <w:t xml:space="preserve"> dataset</w:t>
      </w:r>
      <w:r w:rsidR="00C178DF" w:rsidRPr="305655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71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292"/>
      </w:tblGrid>
      <w:tr w:rsidR="0043013D" w:rsidRPr="00A41EEC" w14:paraId="6E9B65B0" w14:textId="77777777" w:rsidTr="305655A4"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97C42E" w14:textId="77777777" w:rsidR="0043013D" w:rsidRPr="00A41EEC" w:rsidRDefault="0043013D" w:rsidP="00A80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set</w:t>
            </w:r>
          </w:p>
        </w:tc>
        <w:tc>
          <w:tcPr>
            <w:tcW w:w="82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4DED74" w14:textId="77777777" w:rsidR="0043013D" w:rsidRPr="00A41EEC" w:rsidRDefault="0043013D" w:rsidP="00A80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Pool </w:t>
            </w:r>
            <w:r w:rsidRPr="00A41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 recorded</w:t>
            </w:r>
          </w:p>
        </w:tc>
      </w:tr>
      <w:tr w:rsidR="0043013D" w:rsidRPr="00A41EEC" w14:paraId="07F7B998" w14:textId="77777777" w:rsidTr="305655A4">
        <w:tc>
          <w:tcPr>
            <w:tcW w:w="1423" w:type="dxa"/>
            <w:tcBorders>
              <w:top w:val="single" w:sz="4" w:space="0" w:color="auto"/>
              <w:bottom w:val="nil"/>
              <w:right w:val="nil"/>
            </w:tcBorders>
          </w:tcPr>
          <w:p w14:paraId="5A98F604" w14:textId="77777777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EC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8292" w:type="dxa"/>
            <w:tcBorders>
              <w:top w:val="single" w:sz="4" w:space="0" w:color="auto"/>
              <w:left w:val="nil"/>
              <w:bottom w:val="nil"/>
            </w:tcBorders>
          </w:tcPr>
          <w:p w14:paraId="3922D2A4" w14:textId="54AF494E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55A4">
              <w:rPr>
                <w:rFonts w:ascii="Times New Roman" w:hAnsi="Times New Roman" w:cs="Times New Roman"/>
                <w:sz w:val="24"/>
                <w:szCs w:val="24"/>
              </w:rPr>
              <w:t xml:space="preserve">Latitude and longitude, pool surface area, pool volume, maximum </w:t>
            </w:r>
            <w:r w:rsidR="57529333" w:rsidRPr="305655A4">
              <w:rPr>
                <w:rFonts w:ascii="Times New Roman" w:hAnsi="Times New Roman" w:cs="Times New Roman"/>
                <w:sz w:val="24"/>
                <w:szCs w:val="24"/>
              </w:rPr>
              <w:t xml:space="preserve">pool </w:t>
            </w:r>
            <w:r w:rsidRPr="305655A4">
              <w:rPr>
                <w:rFonts w:ascii="Times New Roman" w:hAnsi="Times New Roman" w:cs="Times New Roman"/>
                <w:sz w:val="24"/>
                <w:szCs w:val="24"/>
              </w:rPr>
              <w:t>depth, pool width</w:t>
            </w:r>
          </w:p>
        </w:tc>
      </w:tr>
      <w:tr w:rsidR="0043013D" w:rsidRPr="00A41EEC" w14:paraId="31B2EB5A" w14:textId="77777777" w:rsidTr="305655A4">
        <w:tc>
          <w:tcPr>
            <w:tcW w:w="1423" w:type="dxa"/>
            <w:tcBorders>
              <w:top w:val="nil"/>
              <w:bottom w:val="single" w:sz="4" w:space="0" w:color="auto"/>
              <w:right w:val="nil"/>
            </w:tcBorders>
          </w:tcPr>
          <w:p w14:paraId="4597B1CB" w14:textId="77777777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8DB6" w14:textId="77777777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</w:tcBorders>
          </w:tcPr>
          <w:p w14:paraId="16257E93" w14:textId="77777777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57FC1" w14:textId="0AC80F67" w:rsidR="0043013D" w:rsidRPr="00A41EEC" w:rsidRDefault="0043013D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55A4">
              <w:rPr>
                <w:rFonts w:ascii="Times New Roman" w:hAnsi="Times New Roman" w:cs="Times New Roman"/>
                <w:sz w:val="24"/>
                <w:szCs w:val="24"/>
              </w:rPr>
              <w:t>Latitude, depth, surface area</w:t>
            </w:r>
            <w:r w:rsidR="41334A97" w:rsidRPr="305655A4">
              <w:rPr>
                <w:rFonts w:ascii="Times New Roman" w:hAnsi="Times New Roman" w:cs="Times New Roman"/>
                <w:sz w:val="24"/>
                <w:szCs w:val="24"/>
              </w:rPr>
              <w:t xml:space="preserve"> (for some pools)</w:t>
            </w:r>
            <w:r w:rsidRPr="30565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3BFA0516" w:rsidRPr="305655A4"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  <w:r w:rsidRPr="305655A4">
              <w:rPr>
                <w:rFonts w:ascii="Times New Roman" w:hAnsi="Times New Roman" w:cs="Times New Roman"/>
                <w:sz w:val="24"/>
                <w:szCs w:val="24"/>
              </w:rPr>
              <w:t>temperature (for most pools), pH (for some pools)</w:t>
            </w:r>
          </w:p>
        </w:tc>
      </w:tr>
    </w:tbl>
    <w:p w14:paraId="37FBA62D" w14:textId="77777777" w:rsidR="0043013D" w:rsidRDefault="0043013D" w:rsidP="0043013D"/>
    <w:p w14:paraId="47DFC1F5" w14:textId="77777777" w:rsidR="005D2A48" w:rsidRDefault="005D2A48"/>
    <w:p w14:paraId="78831493" w14:textId="77777777" w:rsidR="005D2A48" w:rsidRDefault="005D2A48"/>
    <w:p w14:paraId="2223317A" w14:textId="77777777" w:rsidR="005D2A48" w:rsidRDefault="005D2A48" w:rsidP="005D2A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DCE31" w14:textId="198080AD" w:rsidR="005D2A48" w:rsidRPr="00BC013B" w:rsidRDefault="00CF34B5" w:rsidP="005D2A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05655A4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="005165FA" w:rsidRPr="305655A4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="005D2A48" w:rsidRPr="305655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2A48" w:rsidRPr="305655A4">
        <w:rPr>
          <w:rFonts w:ascii="Times New Roman" w:hAnsi="Times New Roman" w:cs="Times New Roman"/>
          <w:sz w:val="24"/>
          <w:szCs w:val="24"/>
        </w:rPr>
        <w:t>Classification system of the land cover data. This table is adapted from the Multi-resolution Land Characteristics Consortium National Land Cover Database</w:t>
      </w:r>
      <w:r w:rsidR="34144440" w:rsidRPr="305655A4">
        <w:rPr>
          <w:rFonts w:ascii="Times New Roman" w:hAnsi="Times New Roman" w:cs="Times New Roman"/>
          <w:sz w:val="24"/>
          <w:szCs w:val="24"/>
        </w:rPr>
        <w:t xml:space="preserve"> </w:t>
      </w:r>
      <w:r w:rsidR="34144440" w:rsidRPr="30565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(Dewitz 2019, Homer </w:t>
      </w:r>
      <w:r w:rsidR="34144440" w:rsidRPr="305655A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et al. </w:t>
      </w:r>
      <w:r w:rsidR="34144440" w:rsidRPr="30565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2020)</w:t>
      </w:r>
      <w:r w:rsidR="005D2A48" w:rsidRPr="305655A4">
        <w:rPr>
          <w:rFonts w:ascii="Times New Roman" w:hAnsi="Times New Roman" w:cs="Times New Roman"/>
          <w:sz w:val="24"/>
          <w:szCs w:val="24"/>
        </w:rPr>
        <w:t>. Asterisk (*) indicate</w:t>
      </w:r>
      <w:r w:rsidR="007F5C8D" w:rsidRPr="305655A4">
        <w:rPr>
          <w:rFonts w:ascii="Times New Roman" w:hAnsi="Times New Roman" w:cs="Times New Roman"/>
          <w:sz w:val="24"/>
          <w:szCs w:val="24"/>
        </w:rPr>
        <w:t>s</w:t>
      </w:r>
      <w:r w:rsidR="005D2A48" w:rsidRPr="305655A4">
        <w:rPr>
          <w:rFonts w:ascii="Times New Roman" w:hAnsi="Times New Roman" w:cs="Times New Roman"/>
          <w:sz w:val="24"/>
          <w:szCs w:val="24"/>
        </w:rPr>
        <w:t xml:space="preserve"> land cover classifications found within the</w:t>
      </w:r>
      <w:r w:rsidR="00173999" w:rsidRPr="305655A4">
        <w:rPr>
          <w:rFonts w:ascii="Times New Roman" w:hAnsi="Times New Roman" w:cs="Times New Roman"/>
          <w:sz w:val="24"/>
          <w:szCs w:val="24"/>
        </w:rPr>
        <w:t xml:space="preserve"> geographic</w:t>
      </w:r>
      <w:r w:rsidR="005D2A48" w:rsidRPr="305655A4">
        <w:rPr>
          <w:rFonts w:ascii="Times New Roman" w:hAnsi="Times New Roman" w:cs="Times New Roman"/>
          <w:sz w:val="24"/>
          <w:szCs w:val="24"/>
        </w:rPr>
        <w:t xml:space="preserve"> scope of this study</w:t>
      </w:r>
      <w:r w:rsidR="6FDEF491" w:rsidRPr="305655A4">
        <w:rPr>
          <w:rFonts w:ascii="Times New Roman" w:hAnsi="Times New Roman" w:cs="Times New Roman"/>
          <w:sz w:val="24"/>
          <w:szCs w:val="24"/>
        </w:rPr>
        <w:t>. However, only the Developed and Planted/cultivated classifications were used in the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2A48" w14:paraId="408C162F" w14:textId="77777777" w:rsidTr="00A800DF">
        <w:tc>
          <w:tcPr>
            <w:tcW w:w="4675" w:type="dxa"/>
            <w:tcBorders>
              <w:bottom w:val="single" w:sz="4" w:space="0" w:color="auto"/>
            </w:tcBorders>
          </w:tcPr>
          <w:p w14:paraId="674C027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Class/Value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A07992C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Description</w:t>
            </w:r>
          </w:p>
        </w:tc>
      </w:tr>
      <w:tr w:rsidR="005D2A48" w14:paraId="26436F4A" w14:textId="77777777" w:rsidTr="00A800DF">
        <w:trPr>
          <w:trHeight w:val="143"/>
        </w:trPr>
        <w:tc>
          <w:tcPr>
            <w:tcW w:w="4675" w:type="dxa"/>
            <w:tcBorders>
              <w:bottom w:val="nil"/>
            </w:tcBorders>
          </w:tcPr>
          <w:p w14:paraId="593BE3D0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4675" w:type="dxa"/>
            <w:tcBorders>
              <w:top w:val="single" w:sz="4" w:space="0" w:color="auto"/>
              <w:bottom w:val="nil"/>
            </w:tcBorders>
          </w:tcPr>
          <w:p w14:paraId="699F7B20" w14:textId="77777777" w:rsidR="005D2A48" w:rsidRPr="00BA7F40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7E480283" w14:textId="77777777" w:rsidTr="00A800DF">
        <w:trPr>
          <w:trHeight w:val="315"/>
        </w:trPr>
        <w:tc>
          <w:tcPr>
            <w:tcW w:w="4675" w:type="dxa"/>
            <w:tcBorders>
              <w:top w:val="nil"/>
              <w:bottom w:val="nil"/>
            </w:tcBorders>
          </w:tcPr>
          <w:p w14:paraId="04113C9C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244ECE2B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Open water*-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of open water, generally with less than 25% cover of vegetation or soil</w:t>
            </w:r>
          </w:p>
        </w:tc>
      </w:tr>
      <w:tr w:rsidR="005D2A48" w14:paraId="71E18F08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2B9552F4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A9C1BC2" w14:textId="77777777" w:rsidR="005D2A48" w:rsidRPr="00F3705D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Perennial Ice/Snow-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characterized by a perennial cover of ice and/or snow, generally greater than 25% of total cover.</w:t>
            </w:r>
          </w:p>
        </w:tc>
      </w:tr>
      <w:tr w:rsidR="005D2A48" w14:paraId="7C85E44A" w14:textId="77777777" w:rsidTr="00A800DF">
        <w:tc>
          <w:tcPr>
            <w:tcW w:w="4675" w:type="dxa"/>
            <w:tcBorders>
              <w:bottom w:val="nil"/>
            </w:tcBorders>
          </w:tcPr>
          <w:p w14:paraId="75391087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</w:p>
        </w:tc>
        <w:tc>
          <w:tcPr>
            <w:tcW w:w="4675" w:type="dxa"/>
            <w:tcBorders>
              <w:bottom w:val="nil"/>
            </w:tcBorders>
          </w:tcPr>
          <w:p w14:paraId="293BF72B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75306F2F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3793E983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40721F88" w14:textId="77777777" w:rsidR="005D2A48" w:rsidRPr="00F3705D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Developed, Open Space*-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with a mixture of some constructed materials, but mostly vegetation in the form of lawn grasses. Impervious surfaces account for less than 20% of total cover. These areas most commonly include large-lot single-family housing units, parks, golf courses, and vegetation planted in developed settings foe recreation, erosion control, or aesthetic purposes.</w:t>
            </w:r>
          </w:p>
        </w:tc>
      </w:tr>
      <w:tr w:rsidR="005D2A48" w14:paraId="6DC5D1F1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5E26428D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CD40B63" w14:textId="77777777" w:rsidR="005D2A48" w:rsidRPr="00F3705D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Developed, low intensity*-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with a mixture of constructed materials and vegetation. Impervious surfaces account for 20%-49% total cover. These areas most commonly include single-family housing units.</w:t>
            </w:r>
          </w:p>
        </w:tc>
      </w:tr>
      <w:tr w:rsidR="005D2A48" w14:paraId="32366498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591409DA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CAE169" w14:textId="77777777" w:rsidR="005D2A48" w:rsidRPr="00F3705D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Developed, medium intensity*-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with a mixture of constructed materials and vegetation. Impervious surfaces account for 50% to 79% of the total cover. These areas most commonly include single-family housing units.</w:t>
            </w:r>
          </w:p>
        </w:tc>
      </w:tr>
      <w:tr w:rsidR="005D2A48" w14:paraId="5B602E1A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6BBDE0FA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E6CB4C7" w14:textId="77777777" w:rsidR="005D2A48" w:rsidRPr="00072204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Developed, high intensity*-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highly developed areas where people reside or work in high numbers. Examples include apartment complexes, row houses, and commercial/industrial. Impervious surfaces account for 80% to 100% total cover.</w:t>
            </w:r>
          </w:p>
        </w:tc>
      </w:tr>
      <w:tr w:rsidR="005D2A48" w14:paraId="2531D743" w14:textId="77777777" w:rsidTr="00A800DF">
        <w:tc>
          <w:tcPr>
            <w:tcW w:w="4675" w:type="dxa"/>
            <w:tcBorders>
              <w:bottom w:val="nil"/>
            </w:tcBorders>
          </w:tcPr>
          <w:p w14:paraId="13D5865F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Barren</w:t>
            </w:r>
          </w:p>
        </w:tc>
        <w:tc>
          <w:tcPr>
            <w:tcW w:w="4675" w:type="dxa"/>
            <w:tcBorders>
              <w:bottom w:val="nil"/>
            </w:tcBorders>
          </w:tcPr>
          <w:p w14:paraId="0190A5B6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3985F868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041BFC43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40A949EE" w14:textId="77777777" w:rsidR="005D2A48" w:rsidRPr="00072204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Barren Land (Rock/Sand/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Clay)*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areas of bedrock, desert pavement, scarps, talus,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slides, volcanic material, glacial debris, sand dunes, strip mines, gravel pits, and other accumulations of earthen material. Generally, vegetation accounts for less than 15% of total cover.</w:t>
            </w:r>
          </w:p>
        </w:tc>
      </w:tr>
      <w:tr w:rsidR="005D2A48" w14:paraId="14AAB770" w14:textId="77777777" w:rsidTr="00A800DF">
        <w:tc>
          <w:tcPr>
            <w:tcW w:w="4675" w:type="dxa"/>
            <w:tcBorders>
              <w:bottom w:val="nil"/>
            </w:tcBorders>
          </w:tcPr>
          <w:p w14:paraId="63976DC5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Forest</w:t>
            </w:r>
          </w:p>
        </w:tc>
        <w:tc>
          <w:tcPr>
            <w:tcW w:w="4675" w:type="dxa"/>
            <w:tcBorders>
              <w:bottom w:val="nil"/>
            </w:tcBorders>
          </w:tcPr>
          <w:p w14:paraId="435AFD0D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537F1CA1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744C03C0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2338C234" w14:textId="77777777" w:rsidR="005D2A48" w:rsidRPr="00072204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Deciduous Forest*-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dominated by trees generally greater than 5 meters tall, and greater than 20% of total vegetation cover. More than 75% of the tree species shed foliage simultaneously in response to seasonal change.</w:t>
            </w:r>
          </w:p>
        </w:tc>
      </w:tr>
      <w:tr w:rsidR="005D2A48" w14:paraId="03732794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4E7A413A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32527C2" w14:textId="77777777" w:rsidR="005D2A48" w:rsidRPr="00072204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Evergreen Forest*-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dominated by trees generally greater than 5 meters tall, and greater than 20% of total vegetation cover. More than 75% of the tree species maintain their leaves all year. Canopy is never without green foliage.</w:t>
            </w:r>
          </w:p>
        </w:tc>
      </w:tr>
      <w:tr w:rsidR="005D2A48" w14:paraId="2116F456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73C2140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7876ABE" w14:textId="77777777" w:rsidR="005D2A48" w:rsidRPr="00E8591F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Mixed Forest*-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dominated by trees generally greater than 5 meters tall, and greater than 20% of total vegetation cover. Neither deciduous nor evergreen species are greater than 75% of total tree cover.</w:t>
            </w:r>
          </w:p>
        </w:tc>
      </w:tr>
      <w:tr w:rsidR="005D2A48" w14:paraId="778D0AF7" w14:textId="77777777" w:rsidTr="00A800DF">
        <w:tc>
          <w:tcPr>
            <w:tcW w:w="4675" w:type="dxa"/>
            <w:tcBorders>
              <w:bottom w:val="nil"/>
            </w:tcBorders>
          </w:tcPr>
          <w:p w14:paraId="08A83DB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Shrubland</w:t>
            </w:r>
          </w:p>
        </w:tc>
        <w:tc>
          <w:tcPr>
            <w:tcW w:w="4675" w:type="dxa"/>
            <w:tcBorders>
              <w:bottom w:val="nil"/>
            </w:tcBorders>
          </w:tcPr>
          <w:p w14:paraId="3954715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5D43E5AE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78EAA94D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D6DEDAD" w14:textId="77777777" w:rsidR="005D2A48" w:rsidRPr="00E8591F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Dwarf Scrub-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Alaska only areas dominated by shrubs less than 20 centimeters tall with shrub canopy typically greater than 20% of total vegetation. </w:t>
            </w:r>
          </w:p>
        </w:tc>
      </w:tr>
      <w:tr w:rsidR="005D2A48" w14:paraId="552B2A42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10CF2A44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6953550" w14:textId="77777777" w:rsidR="005D2A48" w:rsidRPr="00E8591F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Shrub/Scrub*-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dominated by shrubs; less than 5 meters tall with shrub canopy typically greater than 20% of total vegetation. This class includes true shrubs, young trees in an early successional stage or trees stunted from environmental conditions.</w:t>
            </w:r>
          </w:p>
        </w:tc>
      </w:tr>
      <w:tr w:rsidR="005D2A48" w14:paraId="5A1EECF0" w14:textId="77777777" w:rsidTr="00A800DF">
        <w:tc>
          <w:tcPr>
            <w:tcW w:w="4675" w:type="dxa"/>
            <w:tcBorders>
              <w:bottom w:val="nil"/>
            </w:tcBorders>
          </w:tcPr>
          <w:p w14:paraId="74010AE7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Herbaceous</w:t>
            </w:r>
          </w:p>
        </w:tc>
        <w:tc>
          <w:tcPr>
            <w:tcW w:w="4675" w:type="dxa"/>
            <w:tcBorders>
              <w:bottom w:val="nil"/>
            </w:tcBorders>
          </w:tcPr>
          <w:p w14:paraId="670C3375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50EB9420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6F74A06E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83B95B8" w14:textId="77777777" w:rsidR="005D2A48" w:rsidRPr="00E8591F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Grassland/Herbaceous*-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areas dominated by graminoid or herbaceous vegetation, generally greater than 80% of total vegetation. These areas are not subject to intensive management such 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tilling, but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be utilized for grazing.</w:t>
            </w:r>
          </w:p>
        </w:tc>
      </w:tr>
      <w:tr w:rsidR="005D2A48" w14:paraId="0857A989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789E791F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9990DF" w14:textId="77777777" w:rsidR="005D2A48" w:rsidRPr="00236E21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Sedge/Herbaceous-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Alaska only areas dominated by sedges and forbs, generally greater than 80% of total vegetation.</w:t>
            </w:r>
          </w:p>
        </w:tc>
      </w:tr>
      <w:tr w:rsidR="005D2A48" w14:paraId="506855B6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260F9D40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01067BB" w14:textId="77777777" w:rsidR="005D2A48" w:rsidRPr="00236E21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Lichens-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Alaska only areas dominated by fruticose or foliose lichens generally greater than 80% of total vegetation.</w:t>
            </w:r>
          </w:p>
        </w:tc>
      </w:tr>
      <w:tr w:rsidR="005D2A48" w14:paraId="2D591F13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4DAD0CB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2CDD460" w14:textId="77777777" w:rsidR="005D2A48" w:rsidRPr="00236E21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Moss-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Alaska only areas dominated by mosses, generally greater than 80% of total vegetation.</w:t>
            </w:r>
          </w:p>
        </w:tc>
      </w:tr>
      <w:tr w:rsidR="005D2A48" w14:paraId="18E9446F" w14:textId="77777777" w:rsidTr="00A800DF">
        <w:tc>
          <w:tcPr>
            <w:tcW w:w="4675" w:type="dxa"/>
            <w:tcBorders>
              <w:bottom w:val="nil"/>
            </w:tcBorders>
          </w:tcPr>
          <w:p w14:paraId="4F09D839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Planted/cultivated</w:t>
            </w:r>
          </w:p>
        </w:tc>
        <w:tc>
          <w:tcPr>
            <w:tcW w:w="4675" w:type="dxa"/>
            <w:tcBorders>
              <w:bottom w:val="nil"/>
            </w:tcBorders>
          </w:tcPr>
          <w:p w14:paraId="47B8D5A7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24AF4B0D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47F304DB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10E17AE" w14:textId="77777777" w:rsidR="005D2A48" w:rsidRPr="00236E21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Pasture/Hay*-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of grasses, legumes, or grass-legume mixtures planted for livestock grazing or the production of seed of hay crops, typically on a perennial cycle. Pasture/hay vegetation accounts for greater than 20% of total vegetation.</w:t>
            </w:r>
          </w:p>
        </w:tc>
      </w:tr>
      <w:tr w:rsidR="005D2A48" w14:paraId="0087540B" w14:textId="77777777" w:rsidTr="00A800DF"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73DEE738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95943B5" w14:textId="77777777" w:rsidR="005D2A48" w:rsidRPr="00236E21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Cultivated Crops*-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areas used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 the production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crops, such as corn, soybeans, vegetables, tobacco, and cotton,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perennial woody crops such as orchards and vineyards. Crop vegetation accounts for greater than 20% of total vegetation. This class also includes all land being actively tilled. </w:t>
            </w:r>
          </w:p>
        </w:tc>
      </w:tr>
      <w:tr w:rsidR="005D2A48" w14:paraId="34C7035C" w14:textId="77777777" w:rsidTr="00A800DF">
        <w:tc>
          <w:tcPr>
            <w:tcW w:w="4675" w:type="dxa"/>
            <w:tcBorders>
              <w:bottom w:val="nil"/>
            </w:tcBorders>
          </w:tcPr>
          <w:p w14:paraId="62AFE2F1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Wetlands</w:t>
            </w:r>
          </w:p>
        </w:tc>
        <w:tc>
          <w:tcPr>
            <w:tcW w:w="4675" w:type="dxa"/>
            <w:tcBorders>
              <w:bottom w:val="nil"/>
            </w:tcBorders>
          </w:tcPr>
          <w:p w14:paraId="10A21331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A48" w14:paraId="3FD3DD38" w14:textId="77777777" w:rsidTr="00A800DF">
        <w:tc>
          <w:tcPr>
            <w:tcW w:w="4675" w:type="dxa"/>
            <w:tcBorders>
              <w:top w:val="nil"/>
              <w:bottom w:val="nil"/>
            </w:tcBorders>
          </w:tcPr>
          <w:p w14:paraId="51D8C1FA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039680B2" w14:textId="77777777" w:rsidR="005D2A48" w:rsidRPr="00BC013B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Woody Wetlands*-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where forest or shrubland vegetation accounts for greater than 20% of vegetative cover and the soil or substrate is periodically saturated with or covered with water.</w:t>
            </w:r>
          </w:p>
        </w:tc>
      </w:tr>
      <w:tr w:rsidR="005D2A48" w14:paraId="09788466" w14:textId="77777777" w:rsidTr="00A800DF">
        <w:tc>
          <w:tcPr>
            <w:tcW w:w="4675" w:type="dxa"/>
            <w:tcBorders>
              <w:top w:val="nil"/>
            </w:tcBorders>
          </w:tcPr>
          <w:p w14:paraId="3DDA7BCB" w14:textId="77777777" w:rsidR="005D2A48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CBFB68" w14:textId="77777777" w:rsidR="005D2A48" w:rsidRPr="00BC013B" w:rsidRDefault="005D2A48" w:rsidP="00A8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Emergent Herbaceous Wetlands*-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areas where perennial herbaceous vegetation accounts for greater than 80% of vegetative cover and the soil or substrate is periodically saturated with or covered with water.</w:t>
            </w:r>
          </w:p>
        </w:tc>
      </w:tr>
    </w:tbl>
    <w:p w14:paraId="6F7BF8B3" w14:textId="77777777" w:rsidR="005D2A48" w:rsidRDefault="005D2A48" w:rsidP="005D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11148" w14:textId="77777777" w:rsidR="001D74A7" w:rsidRDefault="001D74A7" w:rsidP="005D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FD347" w14:textId="77777777" w:rsidR="001D74A7" w:rsidRDefault="001D74A7" w:rsidP="005D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6AC31" w14:textId="77777777" w:rsidR="001D74A7" w:rsidRDefault="001D74A7" w:rsidP="005D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7AAEA" w14:textId="7F29B5A3" w:rsidR="001D74A7" w:rsidRDefault="7043DF60" w:rsidP="001D74A7">
      <w:pPr>
        <w:spacing w:after="0" w:line="480" w:lineRule="auto"/>
      </w:pPr>
      <w:r>
        <w:rPr>
          <w:noProof/>
        </w:rPr>
        <w:lastRenderedPageBreak/>
        <w:drawing>
          <wp:inline distT="0" distB="0" distL="0" distR="0" wp14:anchorId="75F4672A" wp14:editId="60895E4C">
            <wp:extent cx="4962525" cy="5943600"/>
            <wp:effectExtent l="0" t="0" r="0" b="0"/>
            <wp:docPr id="7241742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421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D5C1" w14:textId="5D1B4648" w:rsidR="001D74A7" w:rsidRDefault="001D74A7" w:rsidP="001D74A7">
      <w:pPr>
        <w:rPr>
          <w:rFonts w:ascii="Times New Roman" w:hAnsi="Times New Roman" w:cs="Times New Roman"/>
          <w:sz w:val="24"/>
          <w:szCs w:val="24"/>
        </w:rPr>
      </w:pPr>
      <w:r w:rsidRPr="305655A4">
        <w:rPr>
          <w:rFonts w:ascii="Times New Roman" w:hAnsi="Times New Roman" w:cs="Times New Roman"/>
          <w:b/>
          <w:bCs/>
          <w:sz w:val="24"/>
          <w:szCs w:val="24"/>
        </w:rPr>
        <w:t xml:space="preserve">Appendix Figure 1. </w:t>
      </w:r>
      <w:r w:rsidRPr="305655A4">
        <w:rPr>
          <w:rFonts w:ascii="Times New Roman" w:hAnsi="Times New Roman" w:cs="Times New Roman"/>
          <w:sz w:val="24"/>
          <w:szCs w:val="24"/>
        </w:rPr>
        <w:t xml:space="preserve">A map of the state of California showing the location of all vernal pool sites </w:t>
      </w:r>
      <w:r w:rsidR="46D4CC8B" w:rsidRPr="305655A4">
        <w:rPr>
          <w:rFonts w:ascii="Times New Roman" w:hAnsi="Times New Roman" w:cs="Times New Roman"/>
          <w:sz w:val="24"/>
          <w:szCs w:val="24"/>
        </w:rPr>
        <w:t>included in the analysis</w:t>
      </w:r>
      <w:r w:rsidRPr="305655A4">
        <w:rPr>
          <w:rFonts w:ascii="Times New Roman" w:hAnsi="Times New Roman" w:cs="Times New Roman"/>
          <w:sz w:val="24"/>
          <w:szCs w:val="24"/>
        </w:rPr>
        <w:t>.</w:t>
      </w:r>
      <w:r w:rsidR="42203321" w:rsidRPr="305655A4">
        <w:rPr>
          <w:rFonts w:ascii="Times New Roman" w:hAnsi="Times New Roman" w:cs="Times New Roman"/>
          <w:sz w:val="24"/>
          <w:szCs w:val="24"/>
        </w:rPr>
        <w:t xml:space="preserve"> </w:t>
      </w:r>
      <w:r w:rsidR="30794277" w:rsidRPr="305655A4">
        <w:rPr>
          <w:rFonts w:ascii="Times New Roman" w:hAnsi="Times New Roman" w:cs="Times New Roman"/>
          <w:sz w:val="24"/>
          <w:szCs w:val="24"/>
        </w:rPr>
        <w:t xml:space="preserve">Blue dots represent plant sites and red dots represent invertebrate sites. </w:t>
      </w:r>
    </w:p>
    <w:p w14:paraId="49894BF7" w14:textId="77777777" w:rsidR="001D74A7" w:rsidRDefault="001D74A7" w:rsidP="001D7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343080" w14:textId="77777777" w:rsidR="001D74A7" w:rsidRDefault="001D74A7" w:rsidP="001D7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357C4F" w14:textId="77777777" w:rsidR="001D74A7" w:rsidRDefault="001D74A7" w:rsidP="001D7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2EECC6C" w14:textId="77777777" w:rsidR="001D74A7" w:rsidRDefault="001D74A7" w:rsidP="001D7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253076" w14:textId="46AEE33C" w:rsidR="001D74A7" w:rsidRDefault="001D74A7" w:rsidP="001D74A7">
      <w:pPr>
        <w:spacing w:after="0" w:line="480" w:lineRule="auto"/>
      </w:pPr>
    </w:p>
    <w:p w14:paraId="2ED9F1A2" w14:textId="77777777" w:rsidR="001D74A7" w:rsidRDefault="001D74A7" w:rsidP="005D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21100" w14:textId="77777777" w:rsidR="005D2A48" w:rsidRDefault="005D2A48"/>
    <w:sectPr w:rsidR="005D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A"/>
    <w:rsid w:val="00085DDB"/>
    <w:rsid w:val="00097CD8"/>
    <w:rsid w:val="000E269A"/>
    <w:rsid w:val="00173999"/>
    <w:rsid w:val="001D74A7"/>
    <w:rsid w:val="00262364"/>
    <w:rsid w:val="00270831"/>
    <w:rsid w:val="00340575"/>
    <w:rsid w:val="00367A89"/>
    <w:rsid w:val="0043013D"/>
    <w:rsid w:val="005165FA"/>
    <w:rsid w:val="005D2A48"/>
    <w:rsid w:val="005D6297"/>
    <w:rsid w:val="007A4B69"/>
    <w:rsid w:val="007B684D"/>
    <w:rsid w:val="007B757B"/>
    <w:rsid w:val="007F5C8D"/>
    <w:rsid w:val="00813827"/>
    <w:rsid w:val="00847FBE"/>
    <w:rsid w:val="00855E16"/>
    <w:rsid w:val="008E369B"/>
    <w:rsid w:val="0097442A"/>
    <w:rsid w:val="009D1D62"/>
    <w:rsid w:val="009F5389"/>
    <w:rsid w:val="00A800DF"/>
    <w:rsid w:val="00B833FC"/>
    <w:rsid w:val="00BE6D65"/>
    <w:rsid w:val="00BF394A"/>
    <w:rsid w:val="00C178DF"/>
    <w:rsid w:val="00C91269"/>
    <w:rsid w:val="00CA51EC"/>
    <w:rsid w:val="00CF34B5"/>
    <w:rsid w:val="00D723DF"/>
    <w:rsid w:val="00E14B01"/>
    <w:rsid w:val="00E20474"/>
    <w:rsid w:val="00E8135B"/>
    <w:rsid w:val="00EE5DCE"/>
    <w:rsid w:val="00EF66A2"/>
    <w:rsid w:val="00F535B0"/>
    <w:rsid w:val="01112860"/>
    <w:rsid w:val="013D7E6F"/>
    <w:rsid w:val="0210D504"/>
    <w:rsid w:val="0257605B"/>
    <w:rsid w:val="029FB49E"/>
    <w:rsid w:val="02F3AB45"/>
    <w:rsid w:val="03219083"/>
    <w:rsid w:val="03A007A7"/>
    <w:rsid w:val="03E00CE3"/>
    <w:rsid w:val="03E47AF5"/>
    <w:rsid w:val="0429143F"/>
    <w:rsid w:val="04E9411B"/>
    <w:rsid w:val="054B6731"/>
    <w:rsid w:val="05C01077"/>
    <w:rsid w:val="060D419D"/>
    <w:rsid w:val="069D2D00"/>
    <w:rsid w:val="06C32222"/>
    <w:rsid w:val="06D31129"/>
    <w:rsid w:val="06DBC2AD"/>
    <w:rsid w:val="06DE21E5"/>
    <w:rsid w:val="071096D1"/>
    <w:rsid w:val="076759B1"/>
    <w:rsid w:val="07CB6D87"/>
    <w:rsid w:val="08492E94"/>
    <w:rsid w:val="086C7379"/>
    <w:rsid w:val="08782D89"/>
    <w:rsid w:val="08CFE1E9"/>
    <w:rsid w:val="0945424B"/>
    <w:rsid w:val="0950E330"/>
    <w:rsid w:val="09F5CCFD"/>
    <w:rsid w:val="0AA16535"/>
    <w:rsid w:val="0AD37828"/>
    <w:rsid w:val="0B004A37"/>
    <w:rsid w:val="0C444B89"/>
    <w:rsid w:val="0C871B8F"/>
    <w:rsid w:val="0C977FE6"/>
    <w:rsid w:val="0CA9AFE9"/>
    <w:rsid w:val="0CCE59C0"/>
    <w:rsid w:val="0F6C3BD9"/>
    <w:rsid w:val="0F9B3793"/>
    <w:rsid w:val="0FE28AE2"/>
    <w:rsid w:val="10376332"/>
    <w:rsid w:val="106F1347"/>
    <w:rsid w:val="10AD4136"/>
    <w:rsid w:val="10EB01E1"/>
    <w:rsid w:val="11070ABF"/>
    <w:rsid w:val="1118F0C8"/>
    <w:rsid w:val="118FC9AC"/>
    <w:rsid w:val="119996DF"/>
    <w:rsid w:val="12DEDA5D"/>
    <w:rsid w:val="132E990D"/>
    <w:rsid w:val="143C5989"/>
    <w:rsid w:val="144172BA"/>
    <w:rsid w:val="14BE3472"/>
    <w:rsid w:val="1509A53D"/>
    <w:rsid w:val="15F036DE"/>
    <w:rsid w:val="1760129C"/>
    <w:rsid w:val="1818A2BE"/>
    <w:rsid w:val="182D0451"/>
    <w:rsid w:val="18EC9AA7"/>
    <w:rsid w:val="193DA9A1"/>
    <w:rsid w:val="196853DA"/>
    <w:rsid w:val="1A3A347B"/>
    <w:rsid w:val="1A95CA95"/>
    <w:rsid w:val="1BB1ADF0"/>
    <w:rsid w:val="1C258219"/>
    <w:rsid w:val="1CAD051B"/>
    <w:rsid w:val="1D145BD0"/>
    <w:rsid w:val="1D4B6B67"/>
    <w:rsid w:val="1E269653"/>
    <w:rsid w:val="1E793009"/>
    <w:rsid w:val="1EE8FEDE"/>
    <w:rsid w:val="1F48C232"/>
    <w:rsid w:val="1F96DCCF"/>
    <w:rsid w:val="1FD7EA97"/>
    <w:rsid w:val="204BBC99"/>
    <w:rsid w:val="20D7BC80"/>
    <w:rsid w:val="20D9CC51"/>
    <w:rsid w:val="20E46C3D"/>
    <w:rsid w:val="20F7262A"/>
    <w:rsid w:val="213E36B5"/>
    <w:rsid w:val="2171E06F"/>
    <w:rsid w:val="223E01B7"/>
    <w:rsid w:val="224145E1"/>
    <w:rsid w:val="22E284E7"/>
    <w:rsid w:val="22E4ECF3"/>
    <w:rsid w:val="233747D8"/>
    <w:rsid w:val="240062C2"/>
    <w:rsid w:val="253BEBDA"/>
    <w:rsid w:val="25861D26"/>
    <w:rsid w:val="25D620AA"/>
    <w:rsid w:val="25F0C181"/>
    <w:rsid w:val="26844F59"/>
    <w:rsid w:val="26D0AAC1"/>
    <w:rsid w:val="26E43773"/>
    <w:rsid w:val="26E9EFD6"/>
    <w:rsid w:val="2790A944"/>
    <w:rsid w:val="27BB70A7"/>
    <w:rsid w:val="27F3DDB4"/>
    <w:rsid w:val="285007BB"/>
    <w:rsid w:val="289F795B"/>
    <w:rsid w:val="28BB069F"/>
    <w:rsid w:val="28D0ADB1"/>
    <w:rsid w:val="29951F0E"/>
    <w:rsid w:val="2A07880A"/>
    <w:rsid w:val="2A84DB30"/>
    <w:rsid w:val="2A9FC1BB"/>
    <w:rsid w:val="2B649E45"/>
    <w:rsid w:val="2C46E043"/>
    <w:rsid w:val="2C655744"/>
    <w:rsid w:val="2CFAC6ED"/>
    <w:rsid w:val="2D543787"/>
    <w:rsid w:val="2E13757B"/>
    <w:rsid w:val="2E500BED"/>
    <w:rsid w:val="2F50EEB2"/>
    <w:rsid w:val="2F518187"/>
    <w:rsid w:val="2F62D720"/>
    <w:rsid w:val="2F8FE20B"/>
    <w:rsid w:val="303D60E2"/>
    <w:rsid w:val="305655A4"/>
    <w:rsid w:val="30578B9D"/>
    <w:rsid w:val="3067187A"/>
    <w:rsid w:val="30794277"/>
    <w:rsid w:val="3123C460"/>
    <w:rsid w:val="3293CE91"/>
    <w:rsid w:val="32F5E519"/>
    <w:rsid w:val="33E18EDA"/>
    <w:rsid w:val="34144440"/>
    <w:rsid w:val="34EAF6A9"/>
    <w:rsid w:val="34F5FE7E"/>
    <w:rsid w:val="3513CFD8"/>
    <w:rsid w:val="360C47F1"/>
    <w:rsid w:val="360DC557"/>
    <w:rsid w:val="362F5AD5"/>
    <w:rsid w:val="36867638"/>
    <w:rsid w:val="368B4F1C"/>
    <w:rsid w:val="375B712F"/>
    <w:rsid w:val="377C6D6C"/>
    <w:rsid w:val="37F05DEF"/>
    <w:rsid w:val="3833A0C5"/>
    <w:rsid w:val="387AC025"/>
    <w:rsid w:val="38ADC871"/>
    <w:rsid w:val="392FDF88"/>
    <w:rsid w:val="39410B89"/>
    <w:rsid w:val="39D42860"/>
    <w:rsid w:val="39DDEAF1"/>
    <w:rsid w:val="39EEE559"/>
    <w:rsid w:val="3A50D214"/>
    <w:rsid w:val="3A678F8C"/>
    <w:rsid w:val="3A6CDF81"/>
    <w:rsid w:val="3B2448E5"/>
    <w:rsid w:val="3BE4F402"/>
    <w:rsid w:val="3BF21FE5"/>
    <w:rsid w:val="3BFA0516"/>
    <w:rsid w:val="3C449B12"/>
    <w:rsid w:val="3CA93E65"/>
    <w:rsid w:val="3CAA661F"/>
    <w:rsid w:val="3D6B70FF"/>
    <w:rsid w:val="3DECB1E8"/>
    <w:rsid w:val="3E8A31BB"/>
    <w:rsid w:val="3E9FC2AA"/>
    <w:rsid w:val="3F43DBCC"/>
    <w:rsid w:val="400DC1C2"/>
    <w:rsid w:val="40536F3C"/>
    <w:rsid w:val="406E7FC0"/>
    <w:rsid w:val="40B59F16"/>
    <w:rsid w:val="41334A97"/>
    <w:rsid w:val="41405124"/>
    <w:rsid w:val="41F34C6B"/>
    <w:rsid w:val="41FDF76D"/>
    <w:rsid w:val="420E5BC4"/>
    <w:rsid w:val="4218FCE7"/>
    <w:rsid w:val="42203321"/>
    <w:rsid w:val="4259596D"/>
    <w:rsid w:val="4259C58B"/>
    <w:rsid w:val="43F6934C"/>
    <w:rsid w:val="4538BC06"/>
    <w:rsid w:val="454192A4"/>
    <w:rsid w:val="456AE2DB"/>
    <w:rsid w:val="45D38F7F"/>
    <w:rsid w:val="45DF894D"/>
    <w:rsid w:val="4689F38E"/>
    <w:rsid w:val="468EDDCA"/>
    <w:rsid w:val="46D4CC8B"/>
    <w:rsid w:val="4715DB1B"/>
    <w:rsid w:val="47A73458"/>
    <w:rsid w:val="47C26A6B"/>
    <w:rsid w:val="47E1E634"/>
    <w:rsid w:val="481E1830"/>
    <w:rsid w:val="4861845B"/>
    <w:rsid w:val="49279B38"/>
    <w:rsid w:val="4A7A8687"/>
    <w:rsid w:val="4B2B5C5B"/>
    <w:rsid w:val="4B435740"/>
    <w:rsid w:val="4C23B446"/>
    <w:rsid w:val="4C7ACF97"/>
    <w:rsid w:val="4CA89B79"/>
    <w:rsid w:val="4CAF5EF2"/>
    <w:rsid w:val="4D142F31"/>
    <w:rsid w:val="4D731DB9"/>
    <w:rsid w:val="4E09D30B"/>
    <w:rsid w:val="4E769C43"/>
    <w:rsid w:val="4E9C38A3"/>
    <w:rsid w:val="4EEA0B1A"/>
    <w:rsid w:val="4F154348"/>
    <w:rsid w:val="4FD99A7A"/>
    <w:rsid w:val="501FD7DA"/>
    <w:rsid w:val="5093AEC2"/>
    <w:rsid w:val="5102DA73"/>
    <w:rsid w:val="5252709B"/>
    <w:rsid w:val="52D647F3"/>
    <w:rsid w:val="52DB539F"/>
    <w:rsid w:val="52DF4BCA"/>
    <w:rsid w:val="539B3500"/>
    <w:rsid w:val="53B1A80D"/>
    <w:rsid w:val="53C8767A"/>
    <w:rsid w:val="54985F20"/>
    <w:rsid w:val="5578B57B"/>
    <w:rsid w:val="559E9412"/>
    <w:rsid w:val="55B27648"/>
    <w:rsid w:val="55C49CAD"/>
    <w:rsid w:val="56291C66"/>
    <w:rsid w:val="57529333"/>
    <w:rsid w:val="57BB34B8"/>
    <w:rsid w:val="581671FF"/>
    <w:rsid w:val="582837DF"/>
    <w:rsid w:val="587D9D84"/>
    <w:rsid w:val="58BF6552"/>
    <w:rsid w:val="598324A3"/>
    <w:rsid w:val="599E89FD"/>
    <w:rsid w:val="5A21A77A"/>
    <w:rsid w:val="5B4404DC"/>
    <w:rsid w:val="5BFD187E"/>
    <w:rsid w:val="5C3F7F62"/>
    <w:rsid w:val="5C709DC0"/>
    <w:rsid w:val="5C89BC21"/>
    <w:rsid w:val="5CB8BBCE"/>
    <w:rsid w:val="5CD63D5C"/>
    <w:rsid w:val="5E226288"/>
    <w:rsid w:val="5E59C2B8"/>
    <w:rsid w:val="5EB3140B"/>
    <w:rsid w:val="5EEA3B98"/>
    <w:rsid w:val="5F99F7F4"/>
    <w:rsid w:val="5FB1DC50"/>
    <w:rsid w:val="5FED3F62"/>
    <w:rsid w:val="60A76416"/>
    <w:rsid w:val="60F4F8C3"/>
    <w:rsid w:val="610D4C74"/>
    <w:rsid w:val="612831CE"/>
    <w:rsid w:val="613A6963"/>
    <w:rsid w:val="615CB7BB"/>
    <w:rsid w:val="6163A7DE"/>
    <w:rsid w:val="62471DD7"/>
    <w:rsid w:val="6333251A"/>
    <w:rsid w:val="63AA856B"/>
    <w:rsid w:val="63ECE8F5"/>
    <w:rsid w:val="65345E84"/>
    <w:rsid w:val="65B12F69"/>
    <w:rsid w:val="66A92961"/>
    <w:rsid w:val="6793EAAB"/>
    <w:rsid w:val="679512AF"/>
    <w:rsid w:val="680A2D7F"/>
    <w:rsid w:val="681048D7"/>
    <w:rsid w:val="68931A15"/>
    <w:rsid w:val="68B738A1"/>
    <w:rsid w:val="68D45809"/>
    <w:rsid w:val="69638BBD"/>
    <w:rsid w:val="69AD6F5C"/>
    <w:rsid w:val="6AD1414C"/>
    <w:rsid w:val="6B666CEE"/>
    <w:rsid w:val="6BD0EF65"/>
    <w:rsid w:val="6C08C4FE"/>
    <w:rsid w:val="6C55E88F"/>
    <w:rsid w:val="6CE880E7"/>
    <w:rsid w:val="6D701C7D"/>
    <w:rsid w:val="6DBDD769"/>
    <w:rsid w:val="6E8C3D18"/>
    <w:rsid w:val="6ECE1777"/>
    <w:rsid w:val="6ECF4CBE"/>
    <w:rsid w:val="6F495CEF"/>
    <w:rsid w:val="6FDEF491"/>
    <w:rsid w:val="6FFF6A6D"/>
    <w:rsid w:val="7043DF60"/>
    <w:rsid w:val="70AAD058"/>
    <w:rsid w:val="70EFDA3E"/>
    <w:rsid w:val="70F33B3B"/>
    <w:rsid w:val="712186FB"/>
    <w:rsid w:val="712D43C3"/>
    <w:rsid w:val="7156DBE5"/>
    <w:rsid w:val="715CDAF1"/>
    <w:rsid w:val="71B671D2"/>
    <w:rsid w:val="71CCE824"/>
    <w:rsid w:val="721B1DE6"/>
    <w:rsid w:val="73AD9208"/>
    <w:rsid w:val="73D7EC37"/>
    <w:rsid w:val="740D4E68"/>
    <w:rsid w:val="748ED39E"/>
    <w:rsid w:val="74AEDA05"/>
    <w:rsid w:val="74B01058"/>
    <w:rsid w:val="750FD313"/>
    <w:rsid w:val="75471365"/>
    <w:rsid w:val="75F83E5D"/>
    <w:rsid w:val="76BC9C26"/>
    <w:rsid w:val="76D87F8C"/>
    <w:rsid w:val="77305227"/>
    <w:rsid w:val="7750810D"/>
    <w:rsid w:val="7756F8A5"/>
    <w:rsid w:val="78FD7F75"/>
    <w:rsid w:val="78FFB508"/>
    <w:rsid w:val="7936BD37"/>
    <w:rsid w:val="7937130F"/>
    <w:rsid w:val="796AE356"/>
    <w:rsid w:val="79A99CFB"/>
    <w:rsid w:val="79CEB93C"/>
    <w:rsid w:val="79EE55C4"/>
    <w:rsid w:val="7A0049A5"/>
    <w:rsid w:val="7B797CB5"/>
    <w:rsid w:val="7BC03E51"/>
    <w:rsid w:val="7C9089EF"/>
    <w:rsid w:val="7CAE5347"/>
    <w:rsid w:val="7CB64702"/>
    <w:rsid w:val="7D17472F"/>
    <w:rsid w:val="7D433A52"/>
    <w:rsid w:val="7DD8C961"/>
    <w:rsid w:val="7E1B737F"/>
    <w:rsid w:val="7E8FDE1A"/>
    <w:rsid w:val="7F377D0D"/>
    <w:rsid w:val="7F4CB2DC"/>
    <w:rsid w:val="7FE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9B47"/>
  <w15:chartTrackingRefBased/>
  <w15:docId w15:val="{432A3ED8-BBAF-4FA1-A278-B039DB7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89"/>
  </w:style>
  <w:style w:type="paragraph" w:styleId="Heading1">
    <w:name w:val="heading 1"/>
    <w:basedOn w:val="Normal"/>
    <w:next w:val="Normal"/>
    <w:link w:val="Heading1Char"/>
    <w:uiPriority w:val="9"/>
    <w:qFormat/>
    <w:rsid w:val="000E26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6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6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6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6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6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269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9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9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9A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9A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9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9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9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9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E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6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6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69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E26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69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E26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9A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E269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0E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E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E269A"/>
  </w:style>
  <w:style w:type="character" w:customStyle="1" w:styleId="normaltextrun">
    <w:name w:val="normaltextrun"/>
    <w:basedOn w:val="DefaultParagraphFont"/>
    <w:rsid w:val="000E269A"/>
  </w:style>
  <w:style w:type="character" w:customStyle="1" w:styleId="eop">
    <w:name w:val="eop"/>
    <w:basedOn w:val="DefaultParagraphFont"/>
    <w:rsid w:val="000E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Hannah</dc:creator>
  <cp:keywords/>
  <dc:description/>
  <cp:lastModifiedBy>Kneitel, Jamie M</cp:lastModifiedBy>
  <cp:revision>34</cp:revision>
  <dcterms:created xsi:type="dcterms:W3CDTF">2024-01-20T22:02:00Z</dcterms:created>
  <dcterms:modified xsi:type="dcterms:W3CDTF">2025-09-06T22:50:00Z</dcterms:modified>
</cp:coreProperties>
</file>