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722D4" w14:textId="6C1BA903" w:rsidR="00E44B47" w:rsidRPr="007D3C46" w:rsidRDefault="00E44B47" w:rsidP="00E44B47">
      <w:pPr>
        <w:rPr>
          <w:rFonts w:ascii="Aptos" w:hAnsi="Aptos"/>
          <w:sz w:val="36"/>
          <w:szCs w:val="36"/>
        </w:rPr>
      </w:pPr>
      <w:r w:rsidRPr="007D3C46">
        <w:rPr>
          <w:rFonts w:ascii="Aptos" w:hAnsi="Aptos"/>
          <w:sz w:val="36"/>
          <w:szCs w:val="36"/>
        </w:rPr>
        <w:t>Supplementary Materials</w:t>
      </w:r>
    </w:p>
    <w:p w14:paraId="519FEE5D" w14:textId="77777777" w:rsidR="00E44B47" w:rsidRPr="007D3C46" w:rsidRDefault="00E44B47" w:rsidP="00E44B47">
      <w:pPr>
        <w:rPr>
          <w:rFonts w:ascii="Aptos" w:hAnsi="Aptos"/>
        </w:rPr>
      </w:pPr>
    </w:p>
    <w:p w14:paraId="280D70A3" w14:textId="1BBB5027" w:rsidR="007D3C46" w:rsidRPr="007D3C46" w:rsidRDefault="007D3C46" w:rsidP="007D3C46">
      <w:pPr>
        <w:rPr>
          <w:rFonts w:ascii="Aptos" w:hAnsi="Aptos"/>
          <w:b/>
          <w:bCs/>
          <w:sz w:val="30"/>
          <w:szCs w:val="30"/>
        </w:rPr>
      </w:pPr>
      <w:r w:rsidRPr="007D3C46">
        <w:rPr>
          <w:rFonts w:ascii="Aptos" w:hAnsi="Aptos"/>
          <w:b/>
          <w:bCs/>
          <w:sz w:val="30"/>
          <w:szCs w:val="30"/>
        </w:rPr>
        <w:t xml:space="preserve">Uncovering the spatiotemporal patterns of </w:t>
      </w:r>
      <w:r w:rsidRPr="007D3C46" w:rsidDel="000845BB">
        <w:rPr>
          <w:rFonts w:ascii="Aptos" w:hAnsi="Aptos"/>
          <w:b/>
          <w:bCs/>
          <w:sz w:val="30"/>
          <w:szCs w:val="30"/>
        </w:rPr>
        <w:t>the largest</w:t>
      </w:r>
      <w:r w:rsidRPr="007D3C46">
        <w:rPr>
          <w:rFonts w:ascii="Aptos" w:hAnsi="Aptos"/>
          <w:b/>
          <w:bCs/>
          <w:sz w:val="30"/>
          <w:szCs w:val="30"/>
        </w:rPr>
        <w:t xml:space="preserve"> vaccine-derived poliovirus serotype 2 outbreak in the Democratic Republic of the Congo</w:t>
      </w:r>
    </w:p>
    <w:p w14:paraId="75B94BAA" w14:textId="77777777" w:rsidR="007D3C46" w:rsidRPr="007D3C46" w:rsidRDefault="007D3C46" w:rsidP="007D3C46">
      <w:pPr>
        <w:rPr>
          <w:rFonts w:ascii="Aptos" w:hAnsi="Aptos"/>
          <w:b/>
          <w:bCs/>
        </w:rPr>
      </w:pPr>
    </w:p>
    <w:p w14:paraId="09D6D4AD" w14:textId="77777777" w:rsidR="00605B58" w:rsidRPr="00605B58" w:rsidRDefault="00605B58" w:rsidP="00605B58">
      <w:pPr>
        <w:rPr>
          <w:rFonts w:ascii="Aptos" w:hAnsi="Aptos"/>
          <w:vertAlign w:val="superscript"/>
        </w:rPr>
      </w:pPr>
      <w:r w:rsidRPr="00605B58">
        <w:rPr>
          <w:rFonts w:ascii="Aptos" w:hAnsi="Aptos"/>
        </w:rPr>
        <w:t>Kieran Chopra</w:t>
      </w:r>
      <w:r w:rsidRPr="00605B58">
        <w:rPr>
          <w:rFonts w:ascii="Aptos" w:hAnsi="Aptos"/>
          <w:vertAlign w:val="superscript"/>
        </w:rPr>
        <w:t>1</w:t>
      </w:r>
      <w:r w:rsidRPr="00605B58">
        <w:rPr>
          <w:rFonts w:ascii="Aptos" w:hAnsi="Aptos"/>
        </w:rPr>
        <w:t>*, Tresor Kabeya Mampuela</w:t>
      </w:r>
      <w:r w:rsidRPr="00605B58">
        <w:rPr>
          <w:rFonts w:ascii="Aptos" w:hAnsi="Aptos"/>
          <w:vertAlign w:val="superscript"/>
        </w:rPr>
        <w:t>2,3</w:t>
      </w:r>
      <w:r w:rsidRPr="00605B58">
        <w:rPr>
          <w:rFonts w:ascii="Aptos" w:hAnsi="Aptos"/>
        </w:rPr>
        <w:t>*, Alexander Shaw</w:t>
      </w:r>
      <w:r w:rsidRPr="00605B58">
        <w:rPr>
          <w:rFonts w:ascii="Aptos" w:hAnsi="Aptos"/>
          <w:vertAlign w:val="superscript"/>
        </w:rPr>
        <w:t>1</w:t>
      </w:r>
      <w:r w:rsidRPr="00605B58">
        <w:rPr>
          <w:rFonts w:ascii="Aptos" w:hAnsi="Aptos"/>
        </w:rPr>
        <w:t>, David Jorgensen</w:t>
      </w:r>
      <w:r w:rsidRPr="00605B58">
        <w:rPr>
          <w:rFonts w:ascii="Aptos" w:hAnsi="Aptos"/>
          <w:vertAlign w:val="superscript"/>
        </w:rPr>
        <w:t>1</w:t>
      </w:r>
      <w:r w:rsidRPr="00605B58">
        <w:rPr>
          <w:rFonts w:ascii="Aptos" w:hAnsi="Aptos"/>
        </w:rPr>
        <w:t>, Javier Martin</w:t>
      </w:r>
      <w:r w:rsidRPr="00605B58">
        <w:rPr>
          <w:rFonts w:ascii="Aptos" w:hAnsi="Aptos"/>
          <w:vertAlign w:val="superscript"/>
        </w:rPr>
        <w:t>4</w:t>
      </w:r>
      <w:r w:rsidRPr="00605B58">
        <w:rPr>
          <w:rFonts w:ascii="Aptos" w:hAnsi="Aptos"/>
        </w:rPr>
        <w:t>, Catherine Pratt</w:t>
      </w:r>
      <w:r w:rsidRPr="00605B58">
        <w:rPr>
          <w:rFonts w:ascii="Aptos" w:hAnsi="Aptos"/>
          <w:vertAlign w:val="superscript"/>
        </w:rPr>
        <w:t>5</w:t>
      </w:r>
      <w:r w:rsidRPr="00605B58">
        <w:rPr>
          <w:rFonts w:ascii="Aptos" w:hAnsi="Aptos"/>
        </w:rPr>
        <w:t>, Emmanuel Lokilo Lofiko</w:t>
      </w:r>
      <w:r w:rsidRPr="00605B58">
        <w:rPr>
          <w:rFonts w:ascii="Aptos" w:hAnsi="Aptos"/>
          <w:vertAlign w:val="superscript"/>
        </w:rPr>
        <w:t>3</w:t>
      </w:r>
      <w:r w:rsidRPr="00605B58">
        <w:rPr>
          <w:rFonts w:ascii="Aptos" w:hAnsi="Aptos"/>
        </w:rPr>
        <w:t>, Philippe Lemey</w:t>
      </w:r>
      <w:r w:rsidRPr="00605B58">
        <w:rPr>
          <w:rFonts w:ascii="Aptos" w:hAnsi="Aptos"/>
          <w:vertAlign w:val="superscript"/>
        </w:rPr>
        <w:t>6</w:t>
      </w:r>
      <w:r w:rsidRPr="00605B58">
        <w:rPr>
          <w:rFonts w:ascii="Aptos" w:hAnsi="Aptos"/>
        </w:rPr>
        <w:t>, Yogolelo Riziki</w:t>
      </w:r>
      <w:r w:rsidRPr="00605B58">
        <w:rPr>
          <w:rFonts w:ascii="Aptos" w:hAnsi="Aptos"/>
          <w:vertAlign w:val="superscript"/>
        </w:rPr>
        <w:t>3</w:t>
      </w:r>
      <w:r w:rsidRPr="00605B58">
        <w:rPr>
          <w:rFonts w:ascii="Aptos" w:hAnsi="Aptos"/>
        </w:rPr>
        <w:t>, Nicholas C. Grassly</w:t>
      </w:r>
      <w:r w:rsidRPr="00605B58">
        <w:rPr>
          <w:rFonts w:ascii="Aptos" w:hAnsi="Aptos"/>
          <w:vertAlign w:val="superscript"/>
        </w:rPr>
        <w:t>1</w:t>
      </w:r>
      <w:r w:rsidRPr="00605B58">
        <w:rPr>
          <w:rFonts w:ascii="Aptos" w:hAnsi="Aptos"/>
        </w:rPr>
        <w:t>, Placide Mbala</w:t>
      </w:r>
      <w:r w:rsidRPr="00605B58">
        <w:rPr>
          <w:rFonts w:ascii="Aptos" w:hAnsi="Aptos"/>
          <w:vertAlign w:val="superscript"/>
        </w:rPr>
        <w:t>2,3,7,8</w:t>
      </w:r>
      <w:r w:rsidRPr="00605B58">
        <w:rPr>
          <w:rFonts w:ascii="Aptos" w:hAnsi="Aptos"/>
        </w:rPr>
        <w:t>, Isobel Blake</w:t>
      </w:r>
      <w:r w:rsidRPr="00605B58">
        <w:rPr>
          <w:rFonts w:ascii="Aptos" w:hAnsi="Aptos"/>
          <w:vertAlign w:val="superscript"/>
        </w:rPr>
        <w:t>1</w:t>
      </w:r>
      <w:r w:rsidRPr="00605B58">
        <w:rPr>
          <w:rFonts w:ascii="Aptos" w:hAnsi="Aptos"/>
        </w:rPr>
        <w:t>, Darlan da Silva Candido</w:t>
      </w:r>
      <w:r w:rsidRPr="00605B58">
        <w:rPr>
          <w:rFonts w:ascii="Aptos" w:hAnsi="Aptos"/>
          <w:vertAlign w:val="superscript"/>
        </w:rPr>
        <w:t>1</w:t>
      </w:r>
    </w:p>
    <w:p w14:paraId="31136DE3" w14:textId="77777777" w:rsidR="00605B58" w:rsidRPr="00605B58" w:rsidRDefault="00605B58" w:rsidP="00605B58">
      <w:pPr>
        <w:rPr>
          <w:rFonts w:ascii="Aptos" w:hAnsi="Aptos"/>
        </w:rPr>
      </w:pPr>
    </w:p>
    <w:p w14:paraId="11A9B5DC" w14:textId="77777777" w:rsidR="00605B58" w:rsidRPr="00605B58" w:rsidRDefault="00605B58" w:rsidP="00605B58">
      <w:pPr>
        <w:rPr>
          <w:rFonts w:ascii="Aptos" w:hAnsi="Aptos"/>
        </w:rPr>
      </w:pPr>
      <w:r w:rsidRPr="00605B58">
        <w:rPr>
          <w:rFonts w:ascii="Aptos" w:hAnsi="Aptos"/>
        </w:rPr>
        <w:t>Authors marked with an * contributed equally</w:t>
      </w:r>
    </w:p>
    <w:p w14:paraId="40CBBF39" w14:textId="77777777" w:rsidR="00605B58" w:rsidRPr="00605B58" w:rsidRDefault="00605B58" w:rsidP="00605B58">
      <w:pPr>
        <w:rPr>
          <w:rFonts w:ascii="Aptos" w:hAnsi="Aptos"/>
        </w:rPr>
      </w:pPr>
    </w:p>
    <w:p w14:paraId="36B27790" w14:textId="77777777" w:rsidR="00605B58" w:rsidRPr="00605B58" w:rsidRDefault="00605B58" w:rsidP="00605B58">
      <w:pPr>
        <w:rPr>
          <w:rFonts w:ascii="Aptos" w:hAnsi="Aptos"/>
          <w:b/>
          <w:bCs/>
        </w:rPr>
      </w:pPr>
      <w:r w:rsidRPr="00605B58">
        <w:rPr>
          <w:rFonts w:ascii="Aptos" w:hAnsi="Aptos"/>
          <w:b/>
          <w:bCs/>
        </w:rPr>
        <w:t>Affiliations:</w:t>
      </w:r>
    </w:p>
    <w:p w14:paraId="77A1A374" w14:textId="77777777" w:rsidR="00605B58" w:rsidRPr="00605B58" w:rsidRDefault="00605B58" w:rsidP="00605B58">
      <w:pPr>
        <w:rPr>
          <w:rFonts w:ascii="Aptos" w:hAnsi="Aptos"/>
        </w:rPr>
      </w:pPr>
      <w:r w:rsidRPr="00605B58">
        <w:rPr>
          <w:rFonts w:ascii="Aptos" w:hAnsi="Aptos"/>
          <w:vertAlign w:val="superscript"/>
        </w:rPr>
        <w:t>1</w:t>
      </w:r>
      <w:r w:rsidRPr="00605B58">
        <w:rPr>
          <w:rFonts w:ascii="Aptos" w:hAnsi="Aptos"/>
        </w:rPr>
        <w:t>MRC Centre for Global Infectious Disease Analysis, School of Public Health, Imperial College, London, United Kingdom</w:t>
      </w:r>
    </w:p>
    <w:p w14:paraId="0F0898AC" w14:textId="77777777" w:rsidR="00605B58" w:rsidRPr="00605B58" w:rsidRDefault="00605B58" w:rsidP="00605B58">
      <w:pPr>
        <w:rPr>
          <w:rFonts w:ascii="Aptos" w:hAnsi="Aptos"/>
        </w:rPr>
      </w:pPr>
      <w:r w:rsidRPr="00605B58">
        <w:rPr>
          <w:rFonts w:ascii="Aptos" w:hAnsi="Aptos"/>
          <w:vertAlign w:val="superscript"/>
        </w:rPr>
        <w:t>2</w:t>
      </w:r>
      <w:r w:rsidRPr="00605B58">
        <w:rPr>
          <w:rFonts w:ascii="Aptos" w:hAnsi="Aptos"/>
        </w:rPr>
        <w:t>Service de Microbiologie, Departement de Biologie Médicale, Cliniques Universitaires de Kinshasa (CUK), Université de Kinshasa (UNIKIN), Kinshasa, Democratic Republic of the Congo</w:t>
      </w:r>
    </w:p>
    <w:p w14:paraId="57D5B7CE" w14:textId="77777777" w:rsidR="00605B58" w:rsidRPr="00605B58" w:rsidRDefault="00605B58" w:rsidP="00605B58">
      <w:pPr>
        <w:rPr>
          <w:rFonts w:ascii="Aptos" w:hAnsi="Aptos"/>
        </w:rPr>
      </w:pPr>
      <w:r w:rsidRPr="00605B58">
        <w:rPr>
          <w:rFonts w:ascii="Aptos" w:hAnsi="Aptos"/>
          <w:vertAlign w:val="superscript"/>
        </w:rPr>
        <w:t>3</w:t>
      </w:r>
      <w:r w:rsidRPr="00605B58">
        <w:rPr>
          <w:rFonts w:ascii="Aptos" w:hAnsi="Aptos"/>
        </w:rPr>
        <w:t>Institut National de Recherche Biomédicale, Kinshasa, Democratic Republic of the Congo</w:t>
      </w:r>
    </w:p>
    <w:p w14:paraId="3CF931F4" w14:textId="77777777" w:rsidR="00605B58" w:rsidRPr="00605B58" w:rsidRDefault="00605B58" w:rsidP="00605B58">
      <w:pPr>
        <w:rPr>
          <w:rFonts w:ascii="Aptos" w:hAnsi="Aptos"/>
        </w:rPr>
      </w:pPr>
      <w:r w:rsidRPr="00605B58">
        <w:rPr>
          <w:rFonts w:ascii="Aptos" w:hAnsi="Aptos"/>
          <w:vertAlign w:val="superscript"/>
        </w:rPr>
        <w:t>4</w:t>
      </w:r>
      <w:r w:rsidRPr="00605B58">
        <w:rPr>
          <w:rFonts w:ascii="Aptos" w:hAnsi="Aptos"/>
        </w:rPr>
        <w:t>Division of Vaccines, National Institute for Biological Standards and Control, Medicines and Healthcare products Regulatory Agency, Potters Bar, UK.</w:t>
      </w:r>
    </w:p>
    <w:p w14:paraId="3EFE287F" w14:textId="77777777" w:rsidR="00605B58" w:rsidRPr="00605B58" w:rsidRDefault="00605B58" w:rsidP="00605B58">
      <w:pPr>
        <w:rPr>
          <w:rFonts w:ascii="Aptos" w:hAnsi="Aptos"/>
        </w:rPr>
      </w:pPr>
      <w:r w:rsidRPr="00605B58">
        <w:rPr>
          <w:rFonts w:ascii="Aptos" w:hAnsi="Aptos"/>
          <w:vertAlign w:val="superscript"/>
        </w:rPr>
        <w:t>5</w:t>
      </w:r>
      <w:r w:rsidRPr="00605B58">
        <w:rPr>
          <w:rFonts w:ascii="Aptos" w:hAnsi="Aptos"/>
        </w:rPr>
        <w:t>Biosurv International, Salisbury, UK.</w:t>
      </w:r>
    </w:p>
    <w:p w14:paraId="37645539" w14:textId="77777777" w:rsidR="00605B58" w:rsidRPr="00605B58" w:rsidRDefault="00605B58" w:rsidP="00605B58">
      <w:pPr>
        <w:rPr>
          <w:rFonts w:ascii="Aptos" w:hAnsi="Aptos"/>
        </w:rPr>
      </w:pPr>
      <w:r w:rsidRPr="00605B58">
        <w:rPr>
          <w:rFonts w:ascii="Aptos" w:hAnsi="Aptos"/>
          <w:vertAlign w:val="superscript"/>
        </w:rPr>
        <w:t>6</w:t>
      </w:r>
      <w:r w:rsidRPr="00605B58">
        <w:rPr>
          <w:rFonts w:ascii="Aptos" w:hAnsi="Aptos"/>
        </w:rPr>
        <w:t>Department of Microbiology, Immunology and Transplantation, Rega Institute, KU Leuven, Leuven, Belgium</w:t>
      </w:r>
    </w:p>
    <w:p w14:paraId="1F263151" w14:textId="77777777" w:rsidR="00605B58" w:rsidRPr="00605B58" w:rsidRDefault="00605B58" w:rsidP="00605B58">
      <w:pPr>
        <w:rPr>
          <w:rFonts w:ascii="Aptos" w:hAnsi="Aptos"/>
        </w:rPr>
      </w:pPr>
      <w:r w:rsidRPr="00605B58">
        <w:rPr>
          <w:rFonts w:ascii="Aptos" w:hAnsi="Aptos"/>
          <w:vertAlign w:val="superscript"/>
        </w:rPr>
        <w:t>7</w:t>
      </w:r>
      <w:r w:rsidRPr="00605B58">
        <w:rPr>
          <w:rFonts w:ascii="Aptos" w:hAnsi="Aptos"/>
        </w:rPr>
        <w:t>South African National Bioinformatics Institute, University of the Western Cape, South Africa</w:t>
      </w:r>
    </w:p>
    <w:p w14:paraId="2C86E094" w14:textId="173EC074" w:rsidR="007D3C46" w:rsidRPr="00605B58" w:rsidRDefault="00605B58" w:rsidP="00605B58">
      <w:pPr>
        <w:spacing w:line="360" w:lineRule="auto"/>
        <w:rPr>
          <w:rFonts w:ascii="Aptos" w:hAnsi="Aptos" w:cs="Arial"/>
          <w:b/>
          <w:bCs/>
          <w:sz w:val="22"/>
          <w:szCs w:val="22"/>
        </w:rPr>
      </w:pPr>
      <w:r w:rsidRPr="00605B58">
        <w:rPr>
          <w:rFonts w:ascii="Aptos" w:hAnsi="Aptos"/>
          <w:vertAlign w:val="superscript"/>
        </w:rPr>
        <w:t>8</w:t>
      </w:r>
      <w:r w:rsidRPr="00605B58">
        <w:rPr>
          <w:rFonts w:ascii="Aptos" w:hAnsi="Aptos"/>
        </w:rPr>
        <w:t>Dept of Virology, Graduate School of Medicine, Osaka Metropolitan University, Japan.</w:t>
      </w:r>
      <w:r w:rsidR="007D3C46" w:rsidRPr="00605B58">
        <w:rPr>
          <w:rFonts w:ascii="Aptos" w:hAnsi="Aptos"/>
        </w:rPr>
        <w:t xml:space="preserve">*Corresponding author. Email: </w:t>
      </w:r>
      <w:hyperlink r:id="rId11" w:history="1">
        <w:r w:rsidR="007D3C46" w:rsidRPr="00605B58">
          <w:rPr>
            <w:rStyle w:val="Hyperlink"/>
            <w:rFonts w:ascii="Aptos" w:hAnsi="Aptos"/>
          </w:rPr>
          <w:t>ddasilva@ic.ac.uk</w:t>
        </w:r>
      </w:hyperlink>
    </w:p>
    <w:p w14:paraId="2EDB719D" w14:textId="77777777" w:rsidR="007D3C46" w:rsidRPr="007D3C46" w:rsidRDefault="007D3C46" w:rsidP="007D3C46">
      <w:pPr>
        <w:spacing w:line="360" w:lineRule="auto"/>
        <w:rPr>
          <w:rFonts w:ascii="Aptos" w:hAnsi="Aptos" w:cs="Arial"/>
          <w:b/>
          <w:bCs/>
          <w:sz w:val="22"/>
          <w:szCs w:val="22"/>
        </w:rPr>
      </w:pPr>
    </w:p>
    <w:p w14:paraId="09402B17" w14:textId="77777777" w:rsidR="007D3C46" w:rsidRPr="007D3C46" w:rsidRDefault="007D3C46" w:rsidP="007D3C46">
      <w:pPr>
        <w:spacing w:line="360" w:lineRule="auto"/>
        <w:rPr>
          <w:rFonts w:ascii="Aptos" w:hAnsi="Aptos" w:cs="Arial"/>
          <w:b/>
          <w:bCs/>
          <w:sz w:val="22"/>
          <w:szCs w:val="22"/>
        </w:rPr>
      </w:pPr>
    </w:p>
    <w:p w14:paraId="0F4FA38F" w14:textId="77777777" w:rsidR="007D3C46" w:rsidRPr="007D3C46" w:rsidRDefault="007D3C46" w:rsidP="007D3C46">
      <w:pPr>
        <w:spacing w:line="360" w:lineRule="auto"/>
        <w:rPr>
          <w:rFonts w:ascii="Aptos" w:hAnsi="Aptos" w:cs="Arial"/>
          <w:b/>
          <w:bCs/>
          <w:sz w:val="22"/>
          <w:szCs w:val="22"/>
        </w:rPr>
      </w:pPr>
    </w:p>
    <w:p w14:paraId="059A02AC" w14:textId="77777777" w:rsidR="007D3C46" w:rsidRPr="007D3C46" w:rsidRDefault="007D3C46" w:rsidP="007D3C46">
      <w:pPr>
        <w:spacing w:line="360" w:lineRule="auto"/>
        <w:rPr>
          <w:rFonts w:ascii="Aptos" w:hAnsi="Aptos" w:cs="Arial"/>
          <w:b/>
          <w:bCs/>
          <w:sz w:val="22"/>
          <w:szCs w:val="22"/>
        </w:rPr>
      </w:pPr>
    </w:p>
    <w:p w14:paraId="7A9A4F67" w14:textId="77777777" w:rsidR="007D3C46" w:rsidRPr="007D3C46" w:rsidRDefault="007D3C46" w:rsidP="007D3C46">
      <w:pPr>
        <w:spacing w:line="360" w:lineRule="auto"/>
        <w:rPr>
          <w:rFonts w:ascii="Aptos" w:hAnsi="Aptos" w:cs="Arial"/>
          <w:b/>
          <w:bCs/>
          <w:sz w:val="22"/>
          <w:szCs w:val="22"/>
        </w:rPr>
      </w:pPr>
    </w:p>
    <w:p w14:paraId="1F81968C" w14:textId="77777777" w:rsidR="007D3C46" w:rsidRPr="007D3C46" w:rsidRDefault="007D3C46" w:rsidP="007D3C46">
      <w:pPr>
        <w:spacing w:line="360" w:lineRule="auto"/>
        <w:rPr>
          <w:rFonts w:ascii="Aptos" w:hAnsi="Aptos" w:cs="Arial"/>
          <w:b/>
          <w:bCs/>
          <w:sz w:val="22"/>
          <w:szCs w:val="22"/>
        </w:rPr>
      </w:pPr>
    </w:p>
    <w:p w14:paraId="47221481" w14:textId="77777777" w:rsidR="007D3C46" w:rsidRPr="007D3C46" w:rsidRDefault="007D3C46" w:rsidP="007D3C46">
      <w:pPr>
        <w:spacing w:line="360" w:lineRule="auto"/>
        <w:rPr>
          <w:rFonts w:ascii="Aptos" w:hAnsi="Aptos" w:cs="Arial"/>
          <w:b/>
          <w:bCs/>
          <w:sz w:val="22"/>
          <w:szCs w:val="22"/>
        </w:rPr>
      </w:pPr>
    </w:p>
    <w:p w14:paraId="4D624DD4"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lastRenderedPageBreak/>
        <w:drawing>
          <wp:inline distT="0" distB="0" distL="0" distR="0" wp14:anchorId="113024CB" wp14:editId="7F004C65">
            <wp:extent cx="5725160" cy="3180080"/>
            <wp:effectExtent l="0" t="0" r="8890" b="1270"/>
            <wp:docPr id="1408319915" name="Picture 3" descr="A graph showing a line of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390342" name="Picture 3" descr="A graph showing a line of dots&#10;&#10;Description automatically generated with medium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25160" cy="3180080"/>
                    </a:xfrm>
                    <a:prstGeom prst="rect">
                      <a:avLst/>
                    </a:prstGeom>
                    <a:noFill/>
                    <a:ln>
                      <a:noFill/>
                    </a:ln>
                  </pic:spPr>
                </pic:pic>
              </a:graphicData>
            </a:graphic>
          </wp:inline>
        </w:drawing>
      </w:r>
    </w:p>
    <w:p w14:paraId="4F50A378" w14:textId="77777777" w:rsidR="007D3C46" w:rsidRPr="007D3C46" w:rsidRDefault="007D3C46" w:rsidP="007D3C46">
      <w:pPr>
        <w:pStyle w:val="Caption"/>
        <w:rPr>
          <w:rFonts w:ascii="Aptos" w:hAnsi="Aptos" w:cs="Arial"/>
          <w:sz w:val="22"/>
          <w:szCs w:val="22"/>
        </w:rPr>
      </w:pPr>
      <w:r w:rsidRPr="007D3C46">
        <w:rPr>
          <w:rFonts w:ascii="Aptos" w:hAnsi="Aptos"/>
        </w:rPr>
        <w:t>Supplementary Figure 1: Root-to-tip regression analysis of RDC-MAN-3 DDNS sequences (VP1 gene) demonstrating a strong temporal signal</w:t>
      </w:r>
    </w:p>
    <w:p w14:paraId="639C0A2F" w14:textId="77777777" w:rsidR="007D3C46" w:rsidRPr="007D3C46" w:rsidRDefault="007D3C46" w:rsidP="007D3C46">
      <w:pPr>
        <w:spacing w:line="360" w:lineRule="auto"/>
        <w:rPr>
          <w:rFonts w:ascii="Aptos" w:hAnsi="Aptos" w:cs="Arial"/>
          <w:sz w:val="22"/>
          <w:szCs w:val="22"/>
        </w:rPr>
      </w:pPr>
    </w:p>
    <w:p w14:paraId="743F93DF"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drawing>
          <wp:inline distT="0" distB="0" distL="0" distR="0" wp14:anchorId="497FB7ED" wp14:editId="43BFD4E4">
            <wp:extent cx="5724525" cy="3381375"/>
            <wp:effectExtent l="0" t="0" r="9525" b="9525"/>
            <wp:docPr id="2691675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4525" cy="3381375"/>
                    </a:xfrm>
                    <a:prstGeom prst="rect">
                      <a:avLst/>
                    </a:prstGeom>
                    <a:noFill/>
                    <a:ln>
                      <a:noFill/>
                    </a:ln>
                  </pic:spPr>
                </pic:pic>
              </a:graphicData>
            </a:graphic>
          </wp:inline>
        </w:drawing>
      </w:r>
    </w:p>
    <w:p w14:paraId="4618DA4E" w14:textId="77777777" w:rsidR="007D3C46" w:rsidRPr="007D3C46" w:rsidRDefault="007D3C46" w:rsidP="007D3C46">
      <w:pPr>
        <w:pStyle w:val="Caption"/>
        <w:rPr>
          <w:rFonts w:ascii="Aptos" w:hAnsi="Aptos"/>
        </w:rPr>
      </w:pPr>
      <w:r w:rsidRPr="007D3C46">
        <w:rPr>
          <w:rFonts w:ascii="Aptos" w:hAnsi="Aptos"/>
        </w:rPr>
        <w:t>Supplementary Figure 2: cVDPV2 epidemiology in the DRC. (a) Time series of cVDPV2 cases confirmed by gold standard testing in the DRC between 2017 and 2024. (b) A map of the same cVDPV2 cases – locations are accurate to the nearest district.</w:t>
      </w:r>
    </w:p>
    <w:p w14:paraId="427BCBC3"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lastRenderedPageBreak/>
        <w:drawing>
          <wp:inline distT="0" distB="0" distL="0" distR="0" wp14:anchorId="315707D8" wp14:editId="72D4BB36">
            <wp:extent cx="5724525" cy="3467100"/>
            <wp:effectExtent l="0" t="0" r="9525" b="0"/>
            <wp:docPr id="16435540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24525" cy="3467100"/>
                    </a:xfrm>
                    <a:prstGeom prst="rect">
                      <a:avLst/>
                    </a:prstGeom>
                    <a:noFill/>
                    <a:ln>
                      <a:noFill/>
                    </a:ln>
                  </pic:spPr>
                </pic:pic>
              </a:graphicData>
            </a:graphic>
          </wp:inline>
        </w:drawing>
      </w:r>
    </w:p>
    <w:p w14:paraId="2244C11F" w14:textId="77777777" w:rsidR="007D3C46" w:rsidRPr="007D3C46" w:rsidRDefault="007D3C46" w:rsidP="007D3C46">
      <w:pPr>
        <w:pStyle w:val="Caption"/>
        <w:rPr>
          <w:rFonts w:ascii="Aptos" w:hAnsi="Aptos"/>
        </w:rPr>
      </w:pPr>
      <w:r w:rsidRPr="007D3C46">
        <w:rPr>
          <w:rFonts w:ascii="Aptos" w:hAnsi="Aptos"/>
        </w:rPr>
        <w:t>Supplementary Figure 3: Vaccine-induced immunity estimates for serotype 2 polio in the DRC over time.</w:t>
      </w:r>
    </w:p>
    <w:p w14:paraId="42B18E77"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lastRenderedPageBreak/>
        <w:drawing>
          <wp:inline distT="0" distB="0" distL="0" distR="0" wp14:anchorId="661F0D56" wp14:editId="504F8CB5">
            <wp:extent cx="5419725" cy="4781538"/>
            <wp:effectExtent l="0" t="0" r="0" b="635"/>
            <wp:docPr id="6151625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6256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31977" cy="4792347"/>
                    </a:xfrm>
                    <a:prstGeom prst="rect">
                      <a:avLst/>
                    </a:prstGeom>
                  </pic:spPr>
                </pic:pic>
              </a:graphicData>
            </a:graphic>
          </wp:inline>
        </w:drawing>
      </w:r>
    </w:p>
    <w:p w14:paraId="30B33AA8" w14:textId="77777777" w:rsidR="007D3C46" w:rsidRPr="007D3C46" w:rsidRDefault="007D3C46" w:rsidP="007D3C46">
      <w:pPr>
        <w:pStyle w:val="Caption"/>
        <w:rPr>
          <w:rFonts w:ascii="Aptos" w:hAnsi="Aptos" w:cs="Arial"/>
          <w:sz w:val="22"/>
          <w:szCs w:val="22"/>
        </w:rPr>
      </w:pPr>
      <w:r w:rsidRPr="007D3C46">
        <w:rPr>
          <w:rFonts w:ascii="Aptos" w:hAnsi="Aptos"/>
        </w:rPr>
        <w:t xml:space="preserve">Supplementary Figure 4: </w:t>
      </w:r>
      <w:r w:rsidRPr="007D3C46">
        <w:rPr>
          <w:rFonts w:ascii="Aptos" w:hAnsi="Aptos"/>
          <w:noProof/>
        </w:rPr>
        <w:t>(a) Estimated proportion of infections detected by AFP surveillance in sampling epochs 1 ([2021-11-10, 2022-05-01]) and 2 ([2022-05-01, 2023-01-23]). Boxplots show 1</w:t>
      </w:r>
      <w:r w:rsidRPr="007D3C46">
        <w:rPr>
          <w:rFonts w:ascii="Aptos" w:hAnsi="Aptos"/>
          <w:noProof/>
          <w:vertAlign w:val="superscript"/>
        </w:rPr>
        <w:t>st</w:t>
      </w:r>
      <w:r w:rsidRPr="007D3C46">
        <w:rPr>
          <w:rFonts w:ascii="Aptos" w:hAnsi="Aptos"/>
          <w:noProof/>
        </w:rPr>
        <w:t>, 2</w:t>
      </w:r>
      <w:r w:rsidRPr="007D3C46">
        <w:rPr>
          <w:rFonts w:ascii="Aptos" w:hAnsi="Aptos"/>
          <w:noProof/>
          <w:vertAlign w:val="superscript"/>
        </w:rPr>
        <w:t>nd</w:t>
      </w:r>
      <w:r w:rsidRPr="007D3C46">
        <w:rPr>
          <w:rFonts w:ascii="Aptos" w:hAnsi="Aptos"/>
          <w:noProof/>
        </w:rPr>
        <w:t>, and 3</w:t>
      </w:r>
      <w:r w:rsidRPr="007D3C46">
        <w:rPr>
          <w:rFonts w:ascii="Aptos" w:hAnsi="Aptos"/>
          <w:noProof/>
          <w:vertAlign w:val="superscript"/>
        </w:rPr>
        <w:t>rd</w:t>
      </w:r>
      <w:r w:rsidRPr="007D3C46">
        <w:rPr>
          <w:rFonts w:ascii="Aptos" w:hAnsi="Aptos"/>
          <w:noProof/>
        </w:rPr>
        <w:t xml:space="preserve"> quantiles, with whiskers extending to furthest point not more than 1.5 interquartile ranges from the hinge. (b) Posterior density of the relative change in proportion of infections detected from sampling epoch 1 to sampling epoch 2. The median (1.75) is denoted by a solid line, and 95% HPD endpoints (0.693, 3.12) by dashed lines.</w:t>
      </w:r>
    </w:p>
    <w:p w14:paraId="66DE072F" w14:textId="77777777" w:rsidR="007D3C46" w:rsidRPr="007D3C46" w:rsidRDefault="007D3C46" w:rsidP="007D3C46">
      <w:pPr>
        <w:spacing w:line="360" w:lineRule="auto"/>
        <w:rPr>
          <w:rFonts w:ascii="Aptos" w:hAnsi="Aptos" w:cs="Arial"/>
          <w:sz w:val="22"/>
          <w:szCs w:val="22"/>
        </w:rPr>
      </w:pPr>
    </w:p>
    <w:p w14:paraId="6EC69334"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lastRenderedPageBreak/>
        <w:drawing>
          <wp:inline distT="0" distB="0" distL="0" distR="0" wp14:anchorId="16D5EE3F" wp14:editId="2821AF58">
            <wp:extent cx="5731510" cy="5056505"/>
            <wp:effectExtent l="0" t="0" r="2540" b="0"/>
            <wp:docPr id="17906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68723" name="Picture 17906872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5056505"/>
                    </a:xfrm>
                    <a:prstGeom prst="rect">
                      <a:avLst/>
                    </a:prstGeom>
                  </pic:spPr>
                </pic:pic>
              </a:graphicData>
            </a:graphic>
          </wp:inline>
        </w:drawing>
      </w:r>
    </w:p>
    <w:p w14:paraId="530A18C4" w14:textId="77777777" w:rsidR="007D3C46" w:rsidRPr="007D3C46" w:rsidRDefault="007D3C46" w:rsidP="007D3C46">
      <w:pPr>
        <w:pStyle w:val="Caption"/>
        <w:rPr>
          <w:rFonts w:ascii="Aptos" w:hAnsi="Aptos" w:cs="Arial"/>
          <w:sz w:val="22"/>
          <w:szCs w:val="22"/>
        </w:rPr>
      </w:pPr>
      <w:r w:rsidRPr="007D3C46">
        <w:rPr>
          <w:rFonts w:ascii="Aptos" w:hAnsi="Aptos"/>
        </w:rPr>
        <w:t xml:space="preserve">Supplementary Figure </w:t>
      </w:r>
      <w:r w:rsidRPr="007D3C46">
        <w:rPr>
          <w:rFonts w:ascii="Aptos" w:hAnsi="Aptos"/>
        </w:rPr>
        <w:fldChar w:fldCharType="begin"/>
      </w:r>
      <w:r w:rsidRPr="007D3C46">
        <w:rPr>
          <w:rFonts w:ascii="Aptos" w:hAnsi="Aptos"/>
        </w:rPr>
        <w:instrText>SEQ Figure \* ARABIC</w:instrText>
      </w:r>
      <w:r w:rsidRPr="007D3C46">
        <w:rPr>
          <w:rFonts w:ascii="Aptos" w:hAnsi="Aptos"/>
        </w:rPr>
        <w:fldChar w:fldCharType="separate"/>
      </w:r>
      <w:r w:rsidRPr="007D3C46">
        <w:rPr>
          <w:rFonts w:ascii="Aptos" w:hAnsi="Aptos"/>
          <w:noProof/>
        </w:rPr>
        <w:t>4</w:t>
      </w:r>
      <w:r w:rsidRPr="007D3C46">
        <w:rPr>
          <w:rFonts w:ascii="Aptos" w:hAnsi="Aptos"/>
        </w:rPr>
        <w:fldChar w:fldCharType="end"/>
      </w:r>
      <w:r w:rsidRPr="007D3C46">
        <w:rPr>
          <w:rFonts w:ascii="Aptos" w:hAnsi="Aptos"/>
        </w:rPr>
        <w:t>: Estimate of RDC-MAN-3 effective reproduction number over time from birth-death-sampling analysis</w:t>
      </w:r>
    </w:p>
    <w:p w14:paraId="4565002D" w14:textId="77777777" w:rsidR="007D3C46" w:rsidRPr="007D3C46" w:rsidRDefault="007D3C46" w:rsidP="007D3C46">
      <w:pPr>
        <w:keepNext/>
        <w:spacing w:line="360" w:lineRule="auto"/>
        <w:rPr>
          <w:rFonts w:ascii="Aptos" w:hAnsi="Aptos"/>
        </w:rPr>
      </w:pPr>
      <w:r w:rsidRPr="007D3C46">
        <w:rPr>
          <w:rFonts w:ascii="Aptos" w:hAnsi="Aptos" w:cs="Arial"/>
          <w:noProof/>
          <w:sz w:val="22"/>
          <w:szCs w:val="22"/>
        </w:rPr>
        <w:lastRenderedPageBreak/>
        <w:drawing>
          <wp:inline distT="0" distB="0" distL="0" distR="0" wp14:anchorId="2F508F3F" wp14:editId="40943A48">
            <wp:extent cx="5731509" cy="6685953"/>
            <wp:effectExtent l="0" t="0" r="3175" b="635"/>
            <wp:docPr id="17463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314614" name="Picture 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09" cy="6685953"/>
                    </a:xfrm>
                    <a:prstGeom prst="rect">
                      <a:avLst/>
                    </a:prstGeom>
                  </pic:spPr>
                </pic:pic>
              </a:graphicData>
            </a:graphic>
          </wp:inline>
        </w:drawing>
      </w:r>
    </w:p>
    <w:p w14:paraId="4EC4AA8B" w14:textId="77777777" w:rsidR="007D3C46" w:rsidRPr="007D3C46" w:rsidRDefault="007D3C46" w:rsidP="007D3C46">
      <w:pPr>
        <w:pStyle w:val="Caption"/>
        <w:rPr>
          <w:rFonts w:ascii="Aptos" w:hAnsi="Aptos" w:cs="Arial"/>
          <w:sz w:val="22"/>
          <w:szCs w:val="22"/>
        </w:rPr>
      </w:pPr>
      <w:r w:rsidRPr="007D3C46">
        <w:rPr>
          <w:rFonts w:ascii="Aptos" w:hAnsi="Aptos"/>
        </w:rPr>
        <w:t xml:space="preserve">Supplementary Figure </w:t>
      </w:r>
      <w:r w:rsidRPr="007D3C46">
        <w:rPr>
          <w:rFonts w:ascii="Aptos" w:hAnsi="Aptos"/>
        </w:rPr>
        <w:fldChar w:fldCharType="begin"/>
      </w:r>
      <w:r w:rsidRPr="007D3C46">
        <w:rPr>
          <w:rFonts w:ascii="Aptos" w:hAnsi="Aptos"/>
        </w:rPr>
        <w:instrText xml:space="preserve"> SEQ Figure \* ARABIC </w:instrText>
      </w:r>
      <w:r w:rsidRPr="007D3C46">
        <w:rPr>
          <w:rFonts w:ascii="Aptos" w:hAnsi="Aptos"/>
        </w:rPr>
        <w:fldChar w:fldCharType="separate"/>
      </w:r>
      <w:r w:rsidRPr="007D3C46">
        <w:rPr>
          <w:rFonts w:ascii="Aptos" w:hAnsi="Aptos"/>
          <w:noProof/>
        </w:rPr>
        <w:t>5</w:t>
      </w:r>
      <w:r w:rsidRPr="007D3C46">
        <w:rPr>
          <w:rFonts w:ascii="Aptos" w:hAnsi="Aptos"/>
        </w:rPr>
        <w:fldChar w:fldCharType="end"/>
      </w:r>
      <w:r w:rsidRPr="007D3C46">
        <w:rPr>
          <w:rFonts w:ascii="Aptos" w:hAnsi="Aptos"/>
        </w:rPr>
        <w:t>: Detailed timeseries of DDNS availability (a) aggregated over provinces, and (b) by province</w:t>
      </w:r>
    </w:p>
    <w:p w14:paraId="69CF7B6C" w14:textId="77777777" w:rsidR="007D3C46" w:rsidRPr="007D3C46" w:rsidRDefault="007D3C46" w:rsidP="007D3C46">
      <w:pPr>
        <w:spacing w:line="360" w:lineRule="auto"/>
        <w:rPr>
          <w:rFonts w:ascii="Aptos" w:hAnsi="Aptos" w:cs="Arial"/>
          <w:b/>
          <w:bCs/>
          <w:sz w:val="22"/>
          <w:szCs w:val="22"/>
        </w:rPr>
      </w:pPr>
    </w:p>
    <w:p w14:paraId="57BED1C6" w14:textId="77777777" w:rsidR="007D3C46" w:rsidRPr="007D3C46" w:rsidRDefault="007D3C46" w:rsidP="007D3C46">
      <w:pPr>
        <w:keepNext/>
        <w:spacing w:line="360" w:lineRule="auto"/>
        <w:rPr>
          <w:rFonts w:ascii="Aptos" w:hAnsi="Aptos"/>
        </w:rPr>
      </w:pPr>
      <w:r w:rsidRPr="007D3C46">
        <w:rPr>
          <w:rFonts w:ascii="Aptos" w:hAnsi="Aptos" w:cs="Arial"/>
          <w:b/>
          <w:bCs/>
          <w:noProof/>
          <w:sz w:val="22"/>
          <w:szCs w:val="22"/>
        </w:rPr>
        <w:lastRenderedPageBreak/>
        <w:drawing>
          <wp:inline distT="0" distB="0" distL="0" distR="0" wp14:anchorId="118CA032" wp14:editId="5AEA4EF1">
            <wp:extent cx="5731510" cy="6686550"/>
            <wp:effectExtent l="0" t="0" r="2540" b="0"/>
            <wp:docPr id="136991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913702" name="Picture 136991370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6686550"/>
                    </a:xfrm>
                    <a:prstGeom prst="rect">
                      <a:avLst/>
                    </a:prstGeom>
                  </pic:spPr>
                </pic:pic>
              </a:graphicData>
            </a:graphic>
          </wp:inline>
        </w:drawing>
      </w:r>
    </w:p>
    <w:p w14:paraId="4E827637" w14:textId="77777777" w:rsidR="007D3C46" w:rsidRPr="007D3C46" w:rsidRDefault="007D3C46" w:rsidP="007D3C46">
      <w:pPr>
        <w:pStyle w:val="Caption"/>
        <w:rPr>
          <w:rFonts w:ascii="Aptos" w:hAnsi="Aptos" w:cs="Arial"/>
          <w:b/>
          <w:bCs/>
          <w:sz w:val="22"/>
          <w:szCs w:val="22"/>
        </w:rPr>
      </w:pPr>
      <w:r w:rsidRPr="007D3C46">
        <w:rPr>
          <w:rFonts w:ascii="Aptos" w:hAnsi="Aptos"/>
        </w:rPr>
        <w:t xml:space="preserve">Supplementary Figure </w:t>
      </w:r>
      <w:r w:rsidRPr="007D3C46">
        <w:rPr>
          <w:rFonts w:ascii="Aptos" w:hAnsi="Aptos"/>
        </w:rPr>
        <w:fldChar w:fldCharType="begin"/>
      </w:r>
      <w:r w:rsidRPr="007D3C46">
        <w:rPr>
          <w:rFonts w:ascii="Aptos" w:hAnsi="Aptos"/>
        </w:rPr>
        <w:instrText xml:space="preserve"> SEQ Figure \* ARABIC </w:instrText>
      </w:r>
      <w:r w:rsidRPr="007D3C46">
        <w:rPr>
          <w:rFonts w:ascii="Aptos" w:hAnsi="Aptos"/>
        </w:rPr>
        <w:fldChar w:fldCharType="separate"/>
      </w:r>
      <w:r w:rsidRPr="007D3C46">
        <w:rPr>
          <w:rFonts w:ascii="Aptos" w:hAnsi="Aptos"/>
          <w:noProof/>
        </w:rPr>
        <w:t>6</w:t>
      </w:r>
      <w:r w:rsidRPr="007D3C46">
        <w:rPr>
          <w:rFonts w:ascii="Aptos" w:hAnsi="Aptos"/>
        </w:rPr>
        <w:fldChar w:fldCharType="end"/>
      </w:r>
      <w:r w:rsidRPr="007D3C46">
        <w:rPr>
          <w:rFonts w:ascii="Aptos" w:hAnsi="Aptos"/>
        </w:rPr>
        <w:t>: Map of provinces of the DRC. Provinces are coloured by sequence availability from culture and DDNS methods.</w:t>
      </w:r>
    </w:p>
    <w:p w14:paraId="7DFDFB49" w14:textId="77777777" w:rsidR="007D3C46" w:rsidRPr="007D3C46" w:rsidRDefault="007D3C46" w:rsidP="007D3C46">
      <w:pPr>
        <w:spacing w:line="360" w:lineRule="auto"/>
        <w:rPr>
          <w:rFonts w:ascii="Aptos" w:hAnsi="Aptos" w:cs="Arial"/>
          <w:b/>
          <w:bCs/>
          <w:sz w:val="22"/>
          <w:szCs w:val="22"/>
        </w:rPr>
      </w:pPr>
    </w:p>
    <w:p w14:paraId="139E2186" w14:textId="77777777" w:rsidR="007D3C46" w:rsidRPr="007D3C46" w:rsidRDefault="007D3C46" w:rsidP="007D3C46">
      <w:pPr>
        <w:spacing w:line="360" w:lineRule="auto"/>
        <w:rPr>
          <w:rFonts w:ascii="Aptos" w:hAnsi="Aptos" w:cs="Arial"/>
          <w:b/>
          <w:bCs/>
          <w:sz w:val="22"/>
          <w:szCs w:val="22"/>
        </w:rPr>
      </w:pPr>
    </w:p>
    <w:p w14:paraId="3478CADA" w14:textId="77777777" w:rsidR="007D3C46" w:rsidRPr="007D3C46" w:rsidRDefault="007D3C46" w:rsidP="007D3C46">
      <w:pPr>
        <w:spacing w:line="360" w:lineRule="auto"/>
        <w:rPr>
          <w:rFonts w:ascii="Aptos" w:hAnsi="Aptos" w:cs="Arial"/>
          <w:b/>
          <w:bCs/>
          <w:sz w:val="22"/>
          <w:szCs w:val="22"/>
        </w:rPr>
      </w:pPr>
    </w:p>
    <w:p w14:paraId="190AD761" w14:textId="77777777" w:rsidR="007D3C46" w:rsidRPr="007D3C46" w:rsidRDefault="007D3C46" w:rsidP="007D3C46">
      <w:pPr>
        <w:spacing w:line="360" w:lineRule="auto"/>
        <w:rPr>
          <w:rFonts w:ascii="Aptos" w:hAnsi="Aptos" w:cs="Arial"/>
          <w:b/>
          <w:bCs/>
          <w:sz w:val="22"/>
          <w:szCs w:val="22"/>
        </w:rPr>
      </w:pPr>
    </w:p>
    <w:p w14:paraId="08A8955B" w14:textId="77777777" w:rsidR="004667EF" w:rsidRPr="007D3C46" w:rsidRDefault="004667EF" w:rsidP="00853EDB">
      <w:pPr>
        <w:pStyle w:val="SOMContent"/>
        <w:spacing w:before="0"/>
        <w:rPr>
          <w:rFonts w:ascii="Aptos" w:hAnsi="Aptos"/>
        </w:rPr>
      </w:pPr>
    </w:p>
    <w:sectPr w:rsidR="004667EF" w:rsidRPr="007D3C46" w:rsidSect="002B3449">
      <w:headerReference w:type="default" r:id="rId19"/>
      <w:footerReference w:type="default" r:id="rId20"/>
      <w:headerReference w:type="first" r:id="rId21"/>
      <w:footerReference w:type="first" r:id="rId22"/>
      <w:pgSz w:w="12240" w:h="15840"/>
      <w:pgMar w:top="1296" w:right="1440" w:bottom="1296" w:left="1440" w:header="432" w:footer="720" w:gutter="0"/>
      <w:lnNumType w:countBy="5" w:distance="72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0FB9D" w14:textId="77777777" w:rsidR="00BC2EC0" w:rsidRDefault="00BC2EC0" w:rsidP="00D73714">
      <w:r>
        <w:separator/>
      </w:r>
    </w:p>
  </w:endnote>
  <w:endnote w:type="continuationSeparator" w:id="0">
    <w:p w14:paraId="41634FD7" w14:textId="77777777" w:rsidR="00BC2EC0" w:rsidRDefault="00BC2EC0" w:rsidP="00D73714">
      <w:r>
        <w:continuationSeparator/>
      </w:r>
    </w:p>
  </w:endnote>
  <w:endnote w:type="continuationNotice" w:id="1">
    <w:p w14:paraId="436B14B5" w14:textId="77777777" w:rsidR="00BC2EC0" w:rsidRDefault="00BC2E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20B0604020202020204"/>
    <w:charset w:val="00"/>
    <w:family w:val="roman"/>
    <w:notTrueType/>
    <w:pitch w:val="variable"/>
    <w:sig w:usb0="00000003" w:usb1="00000000" w:usb2="00000000" w:usb3="00000000" w:csb0="00000001" w:csb1="00000000"/>
  </w:font>
  <w:font w:name="BlissMedium">
    <w:altName w:val="Cambria"/>
    <w:panose1 w:val="020B0604020202020204"/>
    <w:charset w:val="00"/>
    <w:family w:val="roman"/>
    <w:notTrueType/>
    <w:pitch w:val="variable"/>
    <w:sig w:usb0="00000003" w:usb1="00000000" w:usb2="00000000" w:usb3="00000000" w:csb0="00000001" w:csb1="00000000"/>
  </w:font>
  <w:font w:name="BlissBold">
    <w:altName w:val="Cambria"/>
    <w:panose1 w:val="020B0604020202020204"/>
    <w:charset w:val="00"/>
    <w:family w:val="roman"/>
    <w:notTrueTyp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42896" w14:textId="4CB2FEC0" w:rsidR="002C4DCA" w:rsidRDefault="002C4DC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4</w:t>
    </w:r>
    <w:r>
      <w:rPr>
        <w:caps/>
        <w:noProof/>
        <w:color w:val="4F81BD" w:themeColor="accent1"/>
      </w:rPr>
      <w:fldChar w:fldCharType="end"/>
    </w:r>
  </w:p>
  <w:p w14:paraId="4435F476" w14:textId="77777777" w:rsidR="002C4DCA" w:rsidRDefault="002C4D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2A9B8" w14:textId="4AEB110C" w:rsidR="002C4DCA" w:rsidRDefault="002C4DCA">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1</w:t>
    </w:r>
    <w:r>
      <w:rPr>
        <w:caps/>
        <w:noProof/>
        <w:color w:val="4F81BD" w:themeColor="accent1"/>
      </w:rPr>
      <w:fldChar w:fldCharType="end"/>
    </w:r>
  </w:p>
  <w:p w14:paraId="5D45F473" w14:textId="77777777" w:rsidR="002C4DCA" w:rsidRDefault="002C4D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B740A2" w14:textId="77777777" w:rsidR="00BC2EC0" w:rsidRDefault="00BC2EC0" w:rsidP="00D73714">
      <w:r>
        <w:separator/>
      </w:r>
    </w:p>
  </w:footnote>
  <w:footnote w:type="continuationSeparator" w:id="0">
    <w:p w14:paraId="2D97253D" w14:textId="77777777" w:rsidR="00BC2EC0" w:rsidRDefault="00BC2EC0" w:rsidP="00D73714">
      <w:r>
        <w:continuationSeparator/>
      </w:r>
    </w:p>
  </w:footnote>
  <w:footnote w:type="continuationNotice" w:id="1">
    <w:p w14:paraId="3059C017" w14:textId="77777777" w:rsidR="00BC2EC0" w:rsidRDefault="00BC2E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749E8" w14:textId="7FB6C2D4" w:rsidR="002C4DCA" w:rsidRDefault="002C4DCA" w:rsidP="00BD3B33">
    <w:pPr>
      <w:pStyle w:val="Header"/>
      <w:tabs>
        <w:tab w:val="clear" w:pos="4320"/>
        <w:tab w:val="clear" w:pos="8640"/>
        <w:tab w:val="left" w:pos="3240"/>
      </w:tabs>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7F5B3" w14:textId="482E2676" w:rsidR="002C4DCA" w:rsidRPr="00204015" w:rsidRDefault="002C4DCA" w:rsidP="00D73714">
    <w:pPr>
      <w:pStyle w:val="Header"/>
    </w:pPr>
    <w:r>
      <w:rPr>
        <w:noProof/>
      </w:rPr>
      <w:drawing>
        <wp:anchor distT="0" distB="0" distL="114300" distR="114300" simplePos="0" relativeHeight="251663872" behindDoc="1" locked="0" layoutInCell="1" allowOverlap="1" wp14:anchorId="5C67786B" wp14:editId="72EBED97">
          <wp:simplePos x="0" y="0"/>
          <wp:positionH relativeFrom="margin">
            <wp:align>left</wp:align>
          </wp:positionH>
          <wp:positionV relativeFrom="paragraph">
            <wp:posOffset>5288</wp:posOffset>
          </wp:positionV>
          <wp:extent cx="1045029" cy="457200"/>
          <wp:effectExtent l="0" t="0" r="3175" b="0"/>
          <wp:wrapTight wrapText="bothSides">
            <wp:wrapPolygon edited="0">
              <wp:start x="0" y="0"/>
              <wp:lineTo x="0" y="20700"/>
              <wp:lineTo x="21272" y="20700"/>
              <wp:lineTo x="21272"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ience-AAAS-stacked-color.jpg"/>
                  <pic:cNvPicPr/>
                </pic:nvPicPr>
                <pic:blipFill>
                  <a:blip r:embed="rId1"/>
                  <a:stretch>
                    <a:fillRect/>
                  </a:stretch>
                </pic:blipFill>
                <pic:spPr>
                  <a:xfrm>
                    <a:off x="0" y="0"/>
                    <a:ext cx="1045029" cy="457200"/>
                  </a:xfrm>
                  <a:prstGeom prst="rect">
                    <a:avLst/>
                  </a:prstGeom>
                </pic:spPr>
              </pic:pic>
            </a:graphicData>
          </a:graphic>
          <wp14:sizeRelH relativeFrom="page">
            <wp14:pctWidth>0</wp14:pctWidth>
          </wp14:sizeRelH>
          <wp14:sizeRelV relativeFrom="page">
            <wp14:pctHeight>0</wp14:pctHeight>
          </wp14:sizeRelV>
        </wp:anchor>
      </w:drawing>
    </w:r>
    <w:r>
      <w:tab/>
    </w:r>
    <w:r w:rsidRPr="00204015">
      <w:t>Submitted Manuscript: Confidential</w:t>
    </w:r>
    <w:r>
      <w:tab/>
    </w:r>
  </w:p>
  <w:p w14:paraId="39D9CEFC" w14:textId="15DB7D42" w:rsidR="002C4DCA" w:rsidRDefault="002C4DCA" w:rsidP="00D737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9A1850"/>
    <w:multiLevelType w:val="multilevel"/>
    <w:tmpl w:val="C0367D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BAE1836"/>
    <w:multiLevelType w:val="hybridMultilevel"/>
    <w:tmpl w:val="B30A348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3763097"/>
    <w:multiLevelType w:val="multilevel"/>
    <w:tmpl w:val="BE9C10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D2A55BD"/>
    <w:multiLevelType w:val="multilevel"/>
    <w:tmpl w:val="D12AC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7" w15:restartNumberingAfterBreak="0">
    <w:nsid w:val="326055E0"/>
    <w:multiLevelType w:val="multilevel"/>
    <w:tmpl w:val="8AB261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39D72C91"/>
    <w:multiLevelType w:val="multilevel"/>
    <w:tmpl w:val="D92E482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3FDD34C1"/>
    <w:multiLevelType w:val="hybridMultilevel"/>
    <w:tmpl w:val="458EDE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2454CA"/>
    <w:multiLevelType w:val="multilevel"/>
    <w:tmpl w:val="0C1C13E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50273F44"/>
    <w:multiLevelType w:val="multilevel"/>
    <w:tmpl w:val="9F52B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571C09D9"/>
    <w:multiLevelType w:val="multilevel"/>
    <w:tmpl w:val="D8C0F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7A3E3C"/>
    <w:multiLevelType w:val="multilevel"/>
    <w:tmpl w:val="6F347A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78262BAC"/>
    <w:multiLevelType w:val="multilevel"/>
    <w:tmpl w:val="327E76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7FBE6E58"/>
    <w:multiLevelType w:val="hybridMultilevel"/>
    <w:tmpl w:val="7D580C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02752373">
    <w:abstractNumId w:val="12"/>
  </w:num>
  <w:num w:numId="2" w16cid:durableId="16779342">
    <w:abstractNumId w:val="9"/>
  </w:num>
  <w:num w:numId="3" w16cid:durableId="1363625599">
    <w:abstractNumId w:val="7"/>
  </w:num>
  <w:num w:numId="4" w16cid:durableId="1460297926">
    <w:abstractNumId w:val="6"/>
  </w:num>
  <w:num w:numId="5" w16cid:durableId="975060645">
    <w:abstractNumId w:val="5"/>
  </w:num>
  <w:num w:numId="6" w16cid:durableId="1144276340">
    <w:abstractNumId w:val="4"/>
  </w:num>
  <w:num w:numId="7" w16cid:durableId="113062174">
    <w:abstractNumId w:val="8"/>
  </w:num>
  <w:num w:numId="8" w16cid:durableId="1930577969">
    <w:abstractNumId w:val="3"/>
  </w:num>
  <w:num w:numId="9" w16cid:durableId="1642688290">
    <w:abstractNumId w:val="2"/>
  </w:num>
  <w:num w:numId="10" w16cid:durableId="1688022836">
    <w:abstractNumId w:val="1"/>
  </w:num>
  <w:num w:numId="11" w16cid:durableId="155800644">
    <w:abstractNumId w:val="0"/>
  </w:num>
  <w:num w:numId="12" w16cid:durableId="45306619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477455190">
    <w:abstractNumId w:val="16"/>
  </w:num>
  <w:num w:numId="14" w16cid:durableId="1432622983">
    <w:abstractNumId w:val="22"/>
  </w:num>
  <w:num w:numId="15" w16cid:durableId="1839996324">
    <w:abstractNumId w:val="17"/>
  </w:num>
  <w:num w:numId="16" w16cid:durableId="2046130761">
    <w:abstractNumId w:val="11"/>
  </w:num>
  <w:num w:numId="17" w16cid:durableId="1017805538">
    <w:abstractNumId w:val="14"/>
  </w:num>
  <w:num w:numId="18" w16cid:durableId="1683437529">
    <w:abstractNumId w:val="20"/>
  </w:num>
  <w:num w:numId="19" w16cid:durableId="838076346">
    <w:abstractNumId w:val="18"/>
  </w:num>
  <w:num w:numId="20" w16cid:durableId="1117674415">
    <w:abstractNumId w:val="21"/>
  </w:num>
  <w:num w:numId="21" w16cid:durableId="434910544">
    <w:abstractNumId w:val="23"/>
  </w:num>
  <w:num w:numId="22" w16cid:durableId="1517574643">
    <w:abstractNumId w:val="24"/>
  </w:num>
  <w:num w:numId="23" w16cid:durableId="190849196">
    <w:abstractNumId w:val="19"/>
  </w:num>
  <w:num w:numId="24" w16cid:durableId="748814473">
    <w:abstractNumId w:val="15"/>
  </w:num>
  <w:num w:numId="25" w16cid:durableId="1131947391">
    <w:abstractNumId w:val="25"/>
  </w:num>
  <w:num w:numId="26" w16cid:durableId="342703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2"/>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stylePaneSortMethod w:val="0000"/>
  <w:doNotTrackMove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261D"/>
    <w:rsid w:val="0000412D"/>
    <w:rsid w:val="00007678"/>
    <w:rsid w:val="00010A90"/>
    <w:rsid w:val="0001644F"/>
    <w:rsid w:val="00017543"/>
    <w:rsid w:val="00022F72"/>
    <w:rsid w:val="00026FDD"/>
    <w:rsid w:val="000464E0"/>
    <w:rsid w:val="000562CC"/>
    <w:rsid w:val="00063761"/>
    <w:rsid w:val="00071B2F"/>
    <w:rsid w:val="00075B68"/>
    <w:rsid w:val="00077272"/>
    <w:rsid w:val="00083152"/>
    <w:rsid w:val="00085D75"/>
    <w:rsid w:val="00095099"/>
    <w:rsid w:val="000B7E4F"/>
    <w:rsid w:val="000C460C"/>
    <w:rsid w:val="000C7F0C"/>
    <w:rsid w:val="000D56C6"/>
    <w:rsid w:val="000E5C1F"/>
    <w:rsid w:val="000F0553"/>
    <w:rsid w:val="000F123D"/>
    <w:rsid w:val="00101767"/>
    <w:rsid w:val="001074DD"/>
    <w:rsid w:val="00110652"/>
    <w:rsid w:val="00111899"/>
    <w:rsid w:val="0011738B"/>
    <w:rsid w:val="00122855"/>
    <w:rsid w:val="00123096"/>
    <w:rsid w:val="00124ABC"/>
    <w:rsid w:val="001274C1"/>
    <w:rsid w:val="001331D7"/>
    <w:rsid w:val="001447DE"/>
    <w:rsid w:val="0015549E"/>
    <w:rsid w:val="0015765C"/>
    <w:rsid w:val="001617C0"/>
    <w:rsid w:val="00174D19"/>
    <w:rsid w:val="001775FA"/>
    <w:rsid w:val="0019094B"/>
    <w:rsid w:val="00195420"/>
    <w:rsid w:val="001A476E"/>
    <w:rsid w:val="001A50B3"/>
    <w:rsid w:val="001B2E30"/>
    <w:rsid w:val="001C4CC8"/>
    <w:rsid w:val="001D3DE1"/>
    <w:rsid w:val="001D4C6A"/>
    <w:rsid w:val="001D6683"/>
    <w:rsid w:val="001E494A"/>
    <w:rsid w:val="001E7AE2"/>
    <w:rsid w:val="00200048"/>
    <w:rsid w:val="002015DE"/>
    <w:rsid w:val="00204C8C"/>
    <w:rsid w:val="002053AF"/>
    <w:rsid w:val="0021079F"/>
    <w:rsid w:val="00227AE4"/>
    <w:rsid w:val="00230D22"/>
    <w:rsid w:val="00236F8D"/>
    <w:rsid w:val="002475FA"/>
    <w:rsid w:val="00252D36"/>
    <w:rsid w:val="00260E4E"/>
    <w:rsid w:val="00270F47"/>
    <w:rsid w:val="00284FA6"/>
    <w:rsid w:val="0028523B"/>
    <w:rsid w:val="0029404C"/>
    <w:rsid w:val="002A192C"/>
    <w:rsid w:val="002A6B1F"/>
    <w:rsid w:val="002B3449"/>
    <w:rsid w:val="002B64AB"/>
    <w:rsid w:val="002C07E9"/>
    <w:rsid w:val="002C33B8"/>
    <w:rsid w:val="002C4DCA"/>
    <w:rsid w:val="002E13DD"/>
    <w:rsid w:val="002E5C7C"/>
    <w:rsid w:val="002E60B9"/>
    <w:rsid w:val="002E7A3C"/>
    <w:rsid w:val="002F7740"/>
    <w:rsid w:val="003024EA"/>
    <w:rsid w:val="00307F53"/>
    <w:rsid w:val="00310501"/>
    <w:rsid w:val="00340ACB"/>
    <w:rsid w:val="00345066"/>
    <w:rsid w:val="00357455"/>
    <w:rsid w:val="00363BF8"/>
    <w:rsid w:val="003658DF"/>
    <w:rsid w:val="00370FED"/>
    <w:rsid w:val="00381E32"/>
    <w:rsid w:val="0038427C"/>
    <w:rsid w:val="003851C5"/>
    <w:rsid w:val="00391FA5"/>
    <w:rsid w:val="003A7509"/>
    <w:rsid w:val="003A77E5"/>
    <w:rsid w:val="003A7E63"/>
    <w:rsid w:val="003B0531"/>
    <w:rsid w:val="003C1C49"/>
    <w:rsid w:val="003C2547"/>
    <w:rsid w:val="003C58F0"/>
    <w:rsid w:val="003D39E6"/>
    <w:rsid w:val="003D6392"/>
    <w:rsid w:val="003D791C"/>
    <w:rsid w:val="003E2BE6"/>
    <w:rsid w:val="003E40AA"/>
    <w:rsid w:val="003E47D5"/>
    <w:rsid w:val="003F19B9"/>
    <w:rsid w:val="003F761E"/>
    <w:rsid w:val="004057E5"/>
    <w:rsid w:val="00432A92"/>
    <w:rsid w:val="00447EB3"/>
    <w:rsid w:val="00464ABD"/>
    <w:rsid w:val="00465B29"/>
    <w:rsid w:val="00465F7D"/>
    <w:rsid w:val="004667EF"/>
    <w:rsid w:val="00475539"/>
    <w:rsid w:val="00482684"/>
    <w:rsid w:val="004871D4"/>
    <w:rsid w:val="004876B9"/>
    <w:rsid w:val="004A4ABB"/>
    <w:rsid w:val="004A5DD4"/>
    <w:rsid w:val="004B28B3"/>
    <w:rsid w:val="004B4F4B"/>
    <w:rsid w:val="004B6AD4"/>
    <w:rsid w:val="004C0CBE"/>
    <w:rsid w:val="004C16CE"/>
    <w:rsid w:val="004D10EA"/>
    <w:rsid w:val="004D19A5"/>
    <w:rsid w:val="004D2EF6"/>
    <w:rsid w:val="004D6781"/>
    <w:rsid w:val="004E716D"/>
    <w:rsid w:val="004E7B49"/>
    <w:rsid w:val="00517675"/>
    <w:rsid w:val="005202B7"/>
    <w:rsid w:val="005220F8"/>
    <w:rsid w:val="005321E0"/>
    <w:rsid w:val="00545DD8"/>
    <w:rsid w:val="00557070"/>
    <w:rsid w:val="00560CF5"/>
    <w:rsid w:val="005659B1"/>
    <w:rsid w:val="00565D96"/>
    <w:rsid w:val="00567935"/>
    <w:rsid w:val="00571F1D"/>
    <w:rsid w:val="0057225D"/>
    <w:rsid w:val="00572498"/>
    <w:rsid w:val="00575375"/>
    <w:rsid w:val="00576E95"/>
    <w:rsid w:val="00583CCA"/>
    <w:rsid w:val="005862F3"/>
    <w:rsid w:val="00592A5D"/>
    <w:rsid w:val="005A54A8"/>
    <w:rsid w:val="005B50D5"/>
    <w:rsid w:val="005C7511"/>
    <w:rsid w:val="005C7805"/>
    <w:rsid w:val="005D1F27"/>
    <w:rsid w:val="00605B58"/>
    <w:rsid w:val="00606EBD"/>
    <w:rsid w:val="006161C9"/>
    <w:rsid w:val="00627266"/>
    <w:rsid w:val="006302BF"/>
    <w:rsid w:val="00631669"/>
    <w:rsid w:val="00632F22"/>
    <w:rsid w:val="0063655E"/>
    <w:rsid w:val="0064261D"/>
    <w:rsid w:val="006455DA"/>
    <w:rsid w:val="006500DF"/>
    <w:rsid w:val="0065050E"/>
    <w:rsid w:val="0065435C"/>
    <w:rsid w:val="00654F0B"/>
    <w:rsid w:val="00655A58"/>
    <w:rsid w:val="00663BD1"/>
    <w:rsid w:val="00666EF1"/>
    <w:rsid w:val="006757DB"/>
    <w:rsid w:val="006828D6"/>
    <w:rsid w:val="00690FDE"/>
    <w:rsid w:val="0069104C"/>
    <w:rsid w:val="006A0DD2"/>
    <w:rsid w:val="006A2645"/>
    <w:rsid w:val="006A393C"/>
    <w:rsid w:val="006A62B2"/>
    <w:rsid w:val="006A7883"/>
    <w:rsid w:val="006C117B"/>
    <w:rsid w:val="006C6348"/>
    <w:rsid w:val="006D108B"/>
    <w:rsid w:val="006D40FF"/>
    <w:rsid w:val="006D718F"/>
    <w:rsid w:val="006E2D52"/>
    <w:rsid w:val="006E48F0"/>
    <w:rsid w:val="006E5832"/>
    <w:rsid w:val="006E590E"/>
    <w:rsid w:val="006F1AC9"/>
    <w:rsid w:val="00701DA9"/>
    <w:rsid w:val="00701FDB"/>
    <w:rsid w:val="007113A9"/>
    <w:rsid w:val="007161A3"/>
    <w:rsid w:val="00716CFA"/>
    <w:rsid w:val="007322FC"/>
    <w:rsid w:val="00741D39"/>
    <w:rsid w:val="00742782"/>
    <w:rsid w:val="007440FE"/>
    <w:rsid w:val="0074692B"/>
    <w:rsid w:val="00754388"/>
    <w:rsid w:val="00755125"/>
    <w:rsid w:val="0076048F"/>
    <w:rsid w:val="0077592F"/>
    <w:rsid w:val="007868D5"/>
    <w:rsid w:val="0079286D"/>
    <w:rsid w:val="00797A0D"/>
    <w:rsid w:val="007A3AE7"/>
    <w:rsid w:val="007B463E"/>
    <w:rsid w:val="007B4822"/>
    <w:rsid w:val="007B7E30"/>
    <w:rsid w:val="007C05D6"/>
    <w:rsid w:val="007C6679"/>
    <w:rsid w:val="007D14F3"/>
    <w:rsid w:val="007D3C46"/>
    <w:rsid w:val="007D3FAE"/>
    <w:rsid w:val="007D733F"/>
    <w:rsid w:val="007E37C1"/>
    <w:rsid w:val="007F20A8"/>
    <w:rsid w:val="00806822"/>
    <w:rsid w:val="00821BBC"/>
    <w:rsid w:val="00825C75"/>
    <w:rsid w:val="008270D8"/>
    <w:rsid w:val="008355F1"/>
    <w:rsid w:val="00837A68"/>
    <w:rsid w:val="0084615B"/>
    <w:rsid w:val="0084745B"/>
    <w:rsid w:val="00853EDB"/>
    <w:rsid w:val="0086656C"/>
    <w:rsid w:val="00891F82"/>
    <w:rsid w:val="008B018C"/>
    <w:rsid w:val="008B2D70"/>
    <w:rsid w:val="008B420E"/>
    <w:rsid w:val="008B7FB5"/>
    <w:rsid w:val="008C361F"/>
    <w:rsid w:val="008C4D21"/>
    <w:rsid w:val="008C5F47"/>
    <w:rsid w:val="008D5410"/>
    <w:rsid w:val="008F2233"/>
    <w:rsid w:val="0090050B"/>
    <w:rsid w:val="00923E50"/>
    <w:rsid w:val="00931957"/>
    <w:rsid w:val="00932C09"/>
    <w:rsid w:val="00942EB0"/>
    <w:rsid w:val="009526C9"/>
    <w:rsid w:val="009719B2"/>
    <w:rsid w:val="0097571B"/>
    <w:rsid w:val="00975780"/>
    <w:rsid w:val="00980B9F"/>
    <w:rsid w:val="009966F9"/>
    <w:rsid w:val="009A51BB"/>
    <w:rsid w:val="009A5F83"/>
    <w:rsid w:val="009A6B8F"/>
    <w:rsid w:val="009C3D38"/>
    <w:rsid w:val="009E78A6"/>
    <w:rsid w:val="009F2B56"/>
    <w:rsid w:val="009F70E2"/>
    <w:rsid w:val="00A07C12"/>
    <w:rsid w:val="00A127AE"/>
    <w:rsid w:val="00A16681"/>
    <w:rsid w:val="00A1748D"/>
    <w:rsid w:val="00A17C1D"/>
    <w:rsid w:val="00A23CD5"/>
    <w:rsid w:val="00A25E52"/>
    <w:rsid w:val="00A309A0"/>
    <w:rsid w:val="00A407DE"/>
    <w:rsid w:val="00A51678"/>
    <w:rsid w:val="00A53647"/>
    <w:rsid w:val="00A56752"/>
    <w:rsid w:val="00A644A5"/>
    <w:rsid w:val="00A70460"/>
    <w:rsid w:val="00A773DD"/>
    <w:rsid w:val="00A80658"/>
    <w:rsid w:val="00A83171"/>
    <w:rsid w:val="00A861BA"/>
    <w:rsid w:val="00A86CC1"/>
    <w:rsid w:val="00A878A7"/>
    <w:rsid w:val="00A940D1"/>
    <w:rsid w:val="00A954C5"/>
    <w:rsid w:val="00AA14AF"/>
    <w:rsid w:val="00AA3584"/>
    <w:rsid w:val="00AA446F"/>
    <w:rsid w:val="00AA48C7"/>
    <w:rsid w:val="00AC07C2"/>
    <w:rsid w:val="00AC4045"/>
    <w:rsid w:val="00AD471D"/>
    <w:rsid w:val="00AF6AFC"/>
    <w:rsid w:val="00B01CB1"/>
    <w:rsid w:val="00B04786"/>
    <w:rsid w:val="00B052C9"/>
    <w:rsid w:val="00B0541D"/>
    <w:rsid w:val="00B0747B"/>
    <w:rsid w:val="00B13E7E"/>
    <w:rsid w:val="00B21033"/>
    <w:rsid w:val="00B21579"/>
    <w:rsid w:val="00B40F6D"/>
    <w:rsid w:val="00B422F9"/>
    <w:rsid w:val="00B47B29"/>
    <w:rsid w:val="00B504DA"/>
    <w:rsid w:val="00B52557"/>
    <w:rsid w:val="00B61DCB"/>
    <w:rsid w:val="00B63221"/>
    <w:rsid w:val="00B77DAD"/>
    <w:rsid w:val="00B802F1"/>
    <w:rsid w:val="00B82FEA"/>
    <w:rsid w:val="00B84598"/>
    <w:rsid w:val="00B9331C"/>
    <w:rsid w:val="00B95CEA"/>
    <w:rsid w:val="00BA64AE"/>
    <w:rsid w:val="00BB7527"/>
    <w:rsid w:val="00BC2EC0"/>
    <w:rsid w:val="00BC3A8B"/>
    <w:rsid w:val="00BC7D57"/>
    <w:rsid w:val="00BD127C"/>
    <w:rsid w:val="00BD1667"/>
    <w:rsid w:val="00BD3B33"/>
    <w:rsid w:val="00BD576C"/>
    <w:rsid w:val="00BE151A"/>
    <w:rsid w:val="00BE1EA8"/>
    <w:rsid w:val="00BE3F0C"/>
    <w:rsid w:val="00BE5D15"/>
    <w:rsid w:val="00BF6C48"/>
    <w:rsid w:val="00C07264"/>
    <w:rsid w:val="00C13940"/>
    <w:rsid w:val="00C17F1B"/>
    <w:rsid w:val="00C20240"/>
    <w:rsid w:val="00C22A04"/>
    <w:rsid w:val="00C33662"/>
    <w:rsid w:val="00C3528D"/>
    <w:rsid w:val="00C426A5"/>
    <w:rsid w:val="00C56CCD"/>
    <w:rsid w:val="00C60116"/>
    <w:rsid w:val="00C61E91"/>
    <w:rsid w:val="00C62125"/>
    <w:rsid w:val="00C621C7"/>
    <w:rsid w:val="00C708FE"/>
    <w:rsid w:val="00C741DD"/>
    <w:rsid w:val="00C86E03"/>
    <w:rsid w:val="00CA296B"/>
    <w:rsid w:val="00CB0434"/>
    <w:rsid w:val="00CB7741"/>
    <w:rsid w:val="00CC2657"/>
    <w:rsid w:val="00CC7625"/>
    <w:rsid w:val="00CE4F65"/>
    <w:rsid w:val="00CE6F3A"/>
    <w:rsid w:val="00CF33DA"/>
    <w:rsid w:val="00CF3BEC"/>
    <w:rsid w:val="00D01145"/>
    <w:rsid w:val="00D119C1"/>
    <w:rsid w:val="00D47412"/>
    <w:rsid w:val="00D61494"/>
    <w:rsid w:val="00D70548"/>
    <w:rsid w:val="00D73714"/>
    <w:rsid w:val="00D768B9"/>
    <w:rsid w:val="00D805A6"/>
    <w:rsid w:val="00D96AFA"/>
    <w:rsid w:val="00DA7E8E"/>
    <w:rsid w:val="00DB72E6"/>
    <w:rsid w:val="00DC51CA"/>
    <w:rsid w:val="00DD0D48"/>
    <w:rsid w:val="00DD225C"/>
    <w:rsid w:val="00DD321E"/>
    <w:rsid w:val="00DD574A"/>
    <w:rsid w:val="00DE0472"/>
    <w:rsid w:val="00DE0E63"/>
    <w:rsid w:val="00DE28BD"/>
    <w:rsid w:val="00DE7047"/>
    <w:rsid w:val="00DF0110"/>
    <w:rsid w:val="00DF1587"/>
    <w:rsid w:val="00E0133A"/>
    <w:rsid w:val="00E0440F"/>
    <w:rsid w:val="00E05FE2"/>
    <w:rsid w:val="00E1757C"/>
    <w:rsid w:val="00E21063"/>
    <w:rsid w:val="00E27ADB"/>
    <w:rsid w:val="00E351C0"/>
    <w:rsid w:val="00E37C62"/>
    <w:rsid w:val="00E412AC"/>
    <w:rsid w:val="00E44B47"/>
    <w:rsid w:val="00E56D3D"/>
    <w:rsid w:val="00E701D7"/>
    <w:rsid w:val="00E72365"/>
    <w:rsid w:val="00E737F7"/>
    <w:rsid w:val="00E752CD"/>
    <w:rsid w:val="00E75FA3"/>
    <w:rsid w:val="00E76B37"/>
    <w:rsid w:val="00E94E3B"/>
    <w:rsid w:val="00EA5590"/>
    <w:rsid w:val="00EA620F"/>
    <w:rsid w:val="00EA734E"/>
    <w:rsid w:val="00EB062C"/>
    <w:rsid w:val="00EB19A9"/>
    <w:rsid w:val="00EC615A"/>
    <w:rsid w:val="00EC685E"/>
    <w:rsid w:val="00ED3C7E"/>
    <w:rsid w:val="00ED4D2D"/>
    <w:rsid w:val="00ED7B28"/>
    <w:rsid w:val="00ED7EA4"/>
    <w:rsid w:val="00EE1D99"/>
    <w:rsid w:val="00EE4B1E"/>
    <w:rsid w:val="00EE6090"/>
    <w:rsid w:val="00EE6929"/>
    <w:rsid w:val="00EF38DF"/>
    <w:rsid w:val="00EF3AE7"/>
    <w:rsid w:val="00EF69D9"/>
    <w:rsid w:val="00F15B30"/>
    <w:rsid w:val="00F26AF7"/>
    <w:rsid w:val="00F27461"/>
    <w:rsid w:val="00F36B9C"/>
    <w:rsid w:val="00F44B6F"/>
    <w:rsid w:val="00F5789C"/>
    <w:rsid w:val="00F66D82"/>
    <w:rsid w:val="00F67DE5"/>
    <w:rsid w:val="00F716A3"/>
    <w:rsid w:val="00F72442"/>
    <w:rsid w:val="00F739FD"/>
    <w:rsid w:val="00F77F59"/>
    <w:rsid w:val="00F955DB"/>
    <w:rsid w:val="00FA70F6"/>
    <w:rsid w:val="00FA7FBC"/>
    <w:rsid w:val="00FB16CC"/>
    <w:rsid w:val="00FB6FB6"/>
    <w:rsid w:val="00FC3E35"/>
    <w:rsid w:val="00FD431C"/>
    <w:rsid w:val="00FD48F1"/>
    <w:rsid w:val="00FD546E"/>
    <w:rsid w:val="00FF157A"/>
    <w:rsid w:val="7FEA16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DF832"/>
  <w15:docId w15:val="{40C478E8-9839-4A94-9CD0-F2813CAF5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DF0110"/>
    <w:pPr>
      <w:keepNext/>
      <w:keepLines/>
      <w:spacing w:before="400" w:after="120" w:line="276" w:lineRule="auto"/>
      <w:outlineLvl w:val="0"/>
    </w:pPr>
    <w:rPr>
      <w:rFonts w:ascii="Arial" w:eastAsia="Arial" w:hAnsi="Arial" w:cs="Arial"/>
      <w:sz w:val="40"/>
      <w:szCs w:val="40"/>
      <w:lang w:val="en-GB" w:eastAsia="en-GB"/>
    </w:rPr>
  </w:style>
  <w:style w:type="paragraph" w:styleId="Heading2">
    <w:name w:val="heading 2"/>
    <w:basedOn w:val="Normal"/>
    <w:next w:val="Normal"/>
    <w:link w:val="Heading2Char"/>
    <w:uiPriority w:val="9"/>
    <w:semiHidden/>
    <w:unhideWhenUsed/>
    <w:qFormat/>
    <w:rsid w:val="00DF0110"/>
    <w:pPr>
      <w:keepNext/>
      <w:keepLines/>
      <w:spacing w:before="360" w:after="120" w:line="276" w:lineRule="auto"/>
      <w:outlineLvl w:val="1"/>
    </w:pPr>
    <w:rPr>
      <w:rFonts w:ascii="Arial" w:eastAsia="Arial" w:hAnsi="Arial" w:cs="Arial"/>
      <w:sz w:val="32"/>
      <w:szCs w:val="32"/>
      <w:lang w:val="en-GB" w:eastAsia="en-GB"/>
    </w:rPr>
  </w:style>
  <w:style w:type="paragraph" w:styleId="Heading3">
    <w:name w:val="heading 3"/>
    <w:basedOn w:val="Normal"/>
    <w:next w:val="Normal"/>
    <w:link w:val="Heading3Char"/>
    <w:uiPriority w:val="9"/>
    <w:semiHidden/>
    <w:unhideWhenUsed/>
    <w:qFormat/>
    <w:rsid w:val="00DF0110"/>
    <w:pPr>
      <w:keepNext/>
      <w:keepLines/>
      <w:spacing w:before="320" w:after="80" w:line="276" w:lineRule="auto"/>
      <w:outlineLvl w:val="2"/>
    </w:pPr>
    <w:rPr>
      <w:rFonts w:ascii="Arial" w:eastAsia="Arial" w:hAnsi="Arial" w:cs="Arial"/>
      <w:color w:val="434343"/>
      <w:sz w:val="28"/>
      <w:szCs w:val="28"/>
      <w:lang w:val="en-GB" w:eastAsia="en-GB"/>
    </w:rPr>
  </w:style>
  <w:style w:type="paragraph" w:styleId="Heading4">
    <w:name w:val="heading 4"/>
    <w:basedOn w:val="Normal"/>
    <w:next w:val="Normal"/>
    <w:link w:val="Heading4Char"/>
    <w:uiPriority w:val="9"/>
    <w:semiHidden/>
    <w:unhideWhenUsed/>
    <w:qFormat/>
    <w:rsid w:val="00DF0110"/>
    <w:pPr>
      <w:keepNext/>
      <w:keepLines/>
      <w:spacing w:before="280" w:after="80" w:line="276" w:lineRule="auto"/>
      <w:outlineLvl w:val="3"/>
    </w:pPr>
    <w:rPr>
      <w:rFonts w:ascii="Arial" w:eastAsia="Arial" w:hAnsi="Arial" w:cs="Arial"/>
      <w:color w:val="666666"/>
      <w:sz w:val="24"/>
      <w:szCs w:val="24"/>
      <w:lang w:val="en-GB" w:eastAsia="en-GB"/>
    </w:rPr>
  </w:style>
  <w:style w:type="paragraph" w:styleId="Heading5">
    <w:name w:val="heading 5"/>
    <w:basedOn w:val="Normal"/>
    <w:next w:val="Normal"/>
    <w:link w:val="Heading5Char"/>
    <w:uiPriority w:val="9"/>
    <w:semiHidden/>
    <w:unhideWhenUsed/>
    <w:qFormat/>
    <w:rsid w:val="00DF0110"/>
    <w:pPr>
      <w:keepNext/>
      <w:keepLines/>
      <w:spacing w:before="240" w:after="80" w:line="276" w:lineRule="auto"/>
      <w:outlineLvl w:val="4"/>
    </w:pPr>
    <w:rPr>
      <w:rFonts w:ascii="Arial" w:eastAsia="Arial" w:hAnsi="Arial" w:cs="Arial"/>
      <w:color w:val="666666"/>
      <w:sz w:val="22"/>
      <w:szCs w:val="22"/>
      <w:lang w:val="en-GB" w:eastAsia="en-GB"/>
    </w:rPr>
  </w:style>
  <w:style w:type="paragraph" w:styleId="Heading6">
    <w:name w:val="heading 6"/>
    <w:basedOn w:val="Normal"/>
    <w:next w:val="Normal"/>
    <w:link w:val="Heading6Char"/>
    <w:uiPriority w:val="9"/>
    <w:semiHidden/>
    <w:unhideWhenUsed/>
    <w:qFormat/>
    <w:rsid w:val="00DF0110"/>
    <w:pPr>
      <w:keepNext/>
      <w:keepLines/>
      <w:spacing w:before="240" w:after="80" w:line="276" w:lineRule="auto"/>
      <w:outlineLvl w:val="5"/>
    </w:pPr>
    <w:rPr>
      <w:rFonts w:ascii="Arial" w:eastAsia="Arial" w:hAnsi="Arial" w:cs="Arial"/>
      <w:i/>
      <w:iCs/>
      <w:color w:val="666666"/>
      <w:sz w:val="22"/>
      <w:szCs w:val="22"/>
      <w:lang w:val="en-GB" w:eastAsia="en-GB"/>
    </w:rPr>
  </w:style>
  <w:style w:type="paragraph" w:styleId="Heading7">
    <w:name w:val="heading 7"/>
    <w:basedOn w:val="Normal"/>
    <w:next w:val="Normal"/>
    <w:link w:val="Heading7Char"/>
    <w:uiPriority w:val="9"/>
    <w:unhideWhenUsed/>
    <w:qFormat/>
    <w:rsid w:val="00DF0110"/>
    <w:pPr>
      <w:keepNext/>
      <w:keepLines/>
      <w:spacing w:before="40" w:line="276" w:lineRule="auto"/>
      <w:outlineLvl w:val="6"/>
    </w:pPr>
    <w:rPr>
      <w:rFonts w:asciiTheme="majorHAnsi" w:eastAsiaTheme="majorEastAsia" w:hAnsiTheme="majorHAnsi" w:cstheme="majorBidi"/>
      <w:i/>
      <w:iCs/>
      <w:color w:val="243F60"/>
      <w:sz w:val="22"/>
      <w:szCs w:val="22"/>
      <w:lang w:val="en-GB" w:eastAsia="en-GB"/>
    </w:rPr>
  </w:style>
  <w:style w:type="paragraph" w:styleId="Heading8">
    <w:name w:val="heading 8"/>
    <w:basedOn w:val="Normal"/>
    <w:next w:val="Normal"/>
    <w:link w:val="Heading8Char"/>
    <w:uiPriority w:val="9"/>
    <w:unhideWhenUsed/>
    <w:qFormat/>
    <w:rsid w:val="00DF0110"/>
    <w:pPr>
      <w:keepNext/>
      <w:keepLines/>
      <w:spacing w:before="40" w:line="276" w:lineRule="auto"/>
      <w:outlineLvl w:val="7"/>
    </w:pPr>
    <w:rPr>
      <w:rFonts w:asciiTheme="majorHAnsi" w:eastAsiaTheme="majorEastAsia" w:hAnsiTheme="majorHAnsi" w:cstheme="majorBidi"/>
      <w:color w:val="272727"/>
      <w:sz w:val="21"/>
      <w:szCs w:val="21"/>
      <w:lang w:val="en-GB" w:eastAsia="en-GB"/>
    </w:rPr>
  </w:style>
  <w:style w:type="paragraph" w:styleId="Heading9">
    <w:name w:val="heading 9"/>
    <w:basedOn w:val="Normal"/>
    <w:next w:val="Normal"/>
    <w:link w:val="Heading9Char"/>
    <w:uiPriority w:val="9"/>
    <w:unhideWhenUsed/>
    <w:qFormat/>
    <w:rsid w:val="00DF0110"/>
    <w:pPr>
      <w:keepNext/>
      <w:keepLines/>
      <w:spacing w:before="40" w:line="276" w:lineRule="auto"/>
      <w:outlineLvl w:val="8"/>
    </w:pPr>
    <w:rPr>
      <w:rFonts w:asciiTheme="majorHAnsi" w:eastAsiaTheme="majorEastAsia" w:hAnsiTheme="majorHAnsi" w:cstheme="majorBidi"/>
      <w:i/>
      <w:iCs/>
      <w:color w:val="272727"/>
      <w:sz w:val="21"/>
      <w:szCs w:val="21"/>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basedOn w:val="aubase"/>
    <w:rsid w:val="009A3899"/>
    <w:rPr>
      <w:sz w:val="24"/>
      <w:bdr w:val="none" w:sz="0" w:space="0" w:color="auto"/>
      <w:shd w:val="clear" w:color="auto" w:fill="C0C0C0"/>
    </w:rPr>
  </w:style>
  <w:style w:type="character" w:customStyle="1" w:styleId="audeg">
    <w:name w:val="au_deg"/>
    <w:basedOn w:val="DefaultParagraphFont"/>
    <w:rsid w:val="009A3899"/>
    <w:rPr>
      <w:sz w:val="24"/>
      <w:bdr w:val="none" w:sz="0" w:space="0" w:color="auto"/>
      <w:shd w:val="clear" w:color="auto" w:fill="FFFF00"/>
    </w:rPr>
  </w:style>
  <w:style w:type="character" w:customStyle="1" w:styleId="aufname">
    <w:name w:val="au_fname"/>
    <w:basedOn w:val="aubase"/>
    <w:rsid w:val="009A3899"/>
    <w:rPr>
      <w:sz w:val="24"/>
      <w:bdr w:val="none" w:sz="0" w:space="0" w:color="auto"/>
      <w:shd w:val="clear" w:color="auto" w:fill="00FFFF"/>
    </w:rPr>
  </w:style>
  <w:style w:type="character" w:customStyle="1" w:styleId="aurole">
    <w:name w:val="au_role"/>
    <w:basedOn w:val="aubase"/>
    <w:rsid w:val="009A3899"/>
    <w:rPr>
      <w:sz w:val="24"/>
      <w:bdr w:val="none" w:sz="0" w:space="0" w:color="auto"/>
      <w:shd w:val="clear" w:color="auto" w:fill="808000"/>
    </w:rPr>
  </w:style>
  <w:style w:type="character" w:customStyle="1" w:styleId="ausuffix">
    <w:name w:val="au_suffix"/>
    <w:basedOn w:val="aubase"/>
    <w:rsid w:val="009A3899"/>
    <w:rPr>
      <w:sz w:val="24"/>
      <w:bdr w:val="none" w:sz="0" w:space="0" w:color="auto"/>
      <w:shd w:val="clear" w:color="auto" w:fill="FF00FF"/>
    </w:rPr>
  </w:style>
  <w:style w:type="character" w:customStyle="1" w:styleId="ausurname">
    <w:name w:val="au_surname"/>
    <w:basedOn w:val="aubas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semiHidden/>
    <w:rsid w:val="009A3899"/>
    <w:rPr>
      <w:rFonts w:ascii="Lucida Grande" w:eastAsia="Times New Roman" w:hAnsi="Lucida Grande"/>
      <w:sz w:val="18"/>
      <w:szCs w:val="18"/>
    </w:rPr>
  </w:style>
  <w:style w:type="character" w:customStyle="1" w:styleId="BalloonTextChar">
    <w:name w:val="Balloon Text Char"/>
    <w:basedOn w:val="DefaultParagraphFont"/>
    <w:link w:val="BalloonText"/>
    <w:semiHidden/>
    <w:rsid w:val="009A3899"/>
    <w:rPr>
      <w:rFonts w:ascii="Lucida Grande" w:eastAsia="Times New Roman" w:hAnsi="Lucida Grande"/>
      <w:sz w:val="18"/>
      <w:szCs w:val="18"/>
    </w:rPr>
  </w:style>
  <w:style w:type="character" w:customStyle="1" w:styleId="bibarticle">
    <w:name w:val="bib_article"/>
    <w:basedOn w:val="DefaultParagraphFont"/>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basedOn w:val="bibbase"/>
    <w:rsid w:val="009A3899"/>
    <w:rPr>
      <w:sz w:val="24"/>
      <w:bdr w:val="none" w:sz="0" w:space="0" w:color="auto"/>
      <w:shd w:val="clear" w:color="auto" w:fill="00FF00"/>
    </w:rPr>
  </w:style>
  <w:style w:type="character" w:customStyle="1" w:styleId="bibetal">
    <w:name w:val="bib_etal"/>
    <w:basedOn w:val="bibbase"/>
    <w:rsid w:val="009A3899"/>
    <w:rPr>
      <w:sz w:val="24"/>
      <w:bdr w:val="none" w:sz="0" w:space="0" w:color="auto"/>
      <w:shd w:val="clear" w:color="auto" w:fill="008080"/>
    </w:rPr>
  </w:style>
  <w:style w:type="character" w:customStyle="1" w:styleId="bibfname">
    <w:name w:val="bib_fname"/>
    <w:basedOn w:val="bibbase"/>
    <w:rsid w:val="009A3899"/>
    <w:rPr>
      <w:sz w:val="24"/>
      <w:bdr w:val="none" w:sz="0" w:space="0" w:color="auto"/>
      <w:shd w:val="clear" w:color="auto" w:fill="FFFF00"/>
    </w:rPr>
  </w:style>
  <w:style w:type="character" w:customStyle="1" w:styleId="bibfpage">
    <w:name w:val="bib_fpage"/>
    <w:basedOn w:val="bibbase"/>
    <w:rsid w:val="009A3899"/>
    <w:rPr>
      <w:sz w:val="24"/>
      <w:bdr w:val="none" w:sz="0" w:space="0" w:color="auto"/>
      <w:shd w:val="clear" w:color="auto" w:fill="808080"/>
    </w:rPr>
  </w:style>
  <w:style w:type="character" w:customStyle="1" w:styleId="bibissue">
    <w:name w:val="bib_issue"/>
    <w:basedOn w:val="bibbase"/>
    <w:rsid w:val="009A3899"/>
    <w:rPr>
      <w:sz w:val="24"/>
      <w:bdr w:val="none" w:sz="0" w:space="0" w:color="auto"/>
      <w:shd w:val="clear" w:color="auto" w:fill="FFFF00"/>
    </w:rPr>
  </w:style>
  <w:style w:type="character" w:customStyle="1" w:styleId="bibjournal">
    <w:name w:val="bib_journal"/>
    <w:basedOn w:val="bibbase"/>
    <w:rsid w:val="009A3899"/>
    <w:rPr>
      <w:sz w:val="24"/>
      <w:bdr w:val="none" w:sz="0" w:space="0" w:color="auto"/>
      <w:shd w:val="clear" w:color="auto" w:fill="808000"/>
    </w:rPr>
  </w:style>
  <w:style w:type="character" w:customStyle="1" w:styleId="biblpage">
    <w:name w:val="bib_lpage"/>
    <w:basedOn w:val="bibbas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basedOn w:val="bibbase"/>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basedOn w:val="bibbase"/>
    <w:rsid w:val="009A3899"/>
    <w:rPr>
      <w:sz w:val="24"/>
      <w:bdr w:val="none" w:sz="0" w:space="0" w:color="auto"/>
      <w:shd w:val="clear" w:color="auto" w:fill="FFFF00"/>
    </w:rPr>
  </w:style>
  <w:style w:type="character" w:customStyle="1" w:styleId="bibsurname">
    <w:name w:val="bib_surname"/>
    <w:basedOn w:val="bibbas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basedOn w:val="bibbase"/>
    <w:rsid w:val="009A3899"/>
    <w:rPr>
      <w:sz w:val="24"/>
      <w:bdr w:val="none" w:sz="0" w:space="0" w:color="auto"/>
      <w:shd w:val="clear" w:color="auto" w:fill="00FF00"/>
    </w:rPr>
  </w:style>
  <w:style w:type="character" w:customStyle="1" w:styleId="bibvolume">
    <w:name w:val="bib_volume"/>
    <w:basedOn w:val="bibbase"/>
    <w:rsid w:val="009A3899"/>
    <w:rPr>
      <w:sz w:val="24"/>
      <w:bdr w:val="none" w:sz="0" w:space="0" w:color="auto"/>
      <w:shd w:val="clear" w:color="auto" w:fill="00FF00"/>
    </w:rPr>
  </w:style>
  <w:style w:type="character" w:customStyle="1" w:styleId="bibyear">
    <w:name w:val="bib_year"/>
    <w:basedOn w:val="bibbase"/>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basedOn w:val="DefaultParagraphFont"/>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basedOn w:val="citebase"/>
    <w:rsid w:val="009A3899"/>
    <w:rPr>
      <w:sz w:val="24"/>
      <w:shd w:val="clear" w:color="auto" w:fill="FFFF00"/>
      <w:vertAlign w:val="superscript"/>
    </w:rPr>
  </w:style>
  <w:style w:type="character" w:customStyle="1" w:styleId="citeeq">
    <w:name w:val="cite_eq"/>
    <w:basedOn w:val="citebase"/>
    <w:rsid w:val="009A3899"/>
    <w:rPr>
      <w:sz w:val="24"/>
      <w:bdr w:val="none" w:sz="0" w:space="0" w:color="auto"/>
      <w:shd w:val="clear" w:color="auto" w:fill="FF99CC"/>
    </w:rPr>
  </w:style>
  <w:style w:type="character" w:customStyle="1" w:styleId="citefig">
    <w:name w:val="cite_fig"/>
    <w:basedOn w:val="citebase"/>
    <w:rsid w:val="009A3899"/>
    <w:rPr>
      <w:color w:val="000000"/>
      <w:sz w:val="24"/>
      <w:bdr w:val="none" w:sz="0" w:space="0" w:color="auto"/>
      <w:shd w:val="clear" w:color="auto" w:fill="00FF00"/>
    </w:rPr>
  </w:style>
  <w:style w:type="character" w:customStyle="1" w:styleId="citefn">
    <w:name w:val="cite_fn"/>
    <w:basedOn w:val="citebase"/>
    <w:rsid w:val="009A3899"/>
    <w:rPr>
      <w:sz w:val="24"/>
      <w:bdr w:val="none" w:sz="0" w:space="0" w:color="auto"/>
      <w:shd w:val="clear" w:color="auto" w:fill="FF0000"/>
    </w:rPr>
  </w:style>
  <w:style w:type="character" w:customStyle="1" w:styleId="citetbl">
    <w:name w:val="cite_tbl"/>
    <w:basedOn w:val="citebase"/>
    <w:rsid w:val="009A3899"/>
    <w:rPr>
      <w:color w:val="000000"/>
      <w:sz w:val="24"/>
      <w:bdr w:val="none" w:sz="0" w:space="0" w:color="auto"/>
      <w:shd w:val="clear" w:color="auto" w:fill="FF00FF"/>
    </w:rPr>
  </w:style>
  <w:style w:type="character" w:styleId="CommentReference">
    <w:name w:val="annotation reference"/>
    <w:basedOn w:val="DefaultParagraphFont"/>
    <w:uiPriority w:val="99"/>
    <w:rsid w:val="009A3899"/>
    <w:rPr>
      <w:sz w:val="18"/>
      <w:szCs w:val="18"/>
    </w:rPr>
  </w:style>
  <w:style w:type="paragraph" w:styleId="CommentText">
    <w:name w:val="annotation text"/>
    <w:basedOn w:val="Normal"/>
    <w:link w:val="CommentTextChar"/>
    <w:uiPriority w:val="99"/>
    <w:rsid w:val="009A3899"/>
    <w:rPr>
      <w:rFonts w:eastAsia="Times New Roman"/>
    </w:rPr>
  </w:style>
  <w:style w:type="character" w:customStyle="1" w:styleId="CommentTextChar">
    <w:name w:val="Comment Text Char"/>
    <w:basedOn w:val="DefaultParagraphFont"/>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basedOn w:val="CommentText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basedOn w:val="DefaultParagraphFont"/>
    <w:rsid w:val="009A3899"/>
    <w:rPr>
      <w:sz w:val="24"/>
      <w:szCs w:val="24"/>
      <w:bdr w:val="none" w:sz="0" w:space="0" w:color="auto"/>
      <w:shd w:val="clear" w:color="auto" w:fill="CCFFCC"/>
    </w:rPr>
  </w:style>
  <w:style w:type="character" w:customStyle="1" w:styleId="ContractSponsor">
    <w:name w:val="Contract Sponsor"/>
    <w:basedOn w:val="DefaultParagraphFont"/>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basedOn w:val="DefaultParagraphFont"/>
    <w:uiPriority w:val="20"/>
    <w:qFormat/>
    <w:rsid w:val="009A3899"/>
    <w:rPr>
      <w:i/>
      <w:iCs/>
    </w:rPr>
  </w:style>
  <w:style w:type="character" w:styleId="EndnoteReference">
    <w:name w:val="endnote reference"/>
    <w:basedOn w:val="DefaultParagraphFont"/>
    <w:semiHidden/>
    <w:rsid w:val="009A3899"/>
    <w:rPr>
      <w:vertAlign w:val="superscript"/>
    </w:rPr>
  </w:style>
  <w:style w:type="paragraph" w:styleId="EndnoteText">
    <w:name w:val="endnote text"/>
    <w:basedOn w:val="Normal"/>
    <w:link w:val="EndnoteTextChar"/>
    <w:uiPriority w:val="99"/>
    <w:semiHidden/>
    <w:rsid w:val="009A3899"/>
    <w:rPr>
      <w:rFonts w:ascii="Cambria" w:eastAsia="Cambria" w:hAnsi="Cambria"/>
    </w:rPr>
  </w:style>
  <w:style w:type="character" w:customStyle="1" w:styleId="EndnoteTextChar">
    <w:name w:val="Endnote Text Char"/>
    <w:basedOn w:val="DefaultParagraphFont"/>
    <w:link w:val="EndnoteText"/>
    <w:uiPriority w:val="99"/>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basedOn w:val="DefaultParagraphFont"/>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9A3899"/>
    <w:rPr>
      <w:rFonts w:ascii="Times New Roman" w:eastAsia="Times New Roman" w:hAnsi="Times New Roman"/>
      <w:sz w:val="20"/>
      <w:szCs w:val="20"/>
    </w:rPr>
  </w:style>
  <w:style w:type="character" w:styleId="FootnoteReference">
    <w:name w:val="footnote reference"/>
    <w:basedOn w:val="DefaultParagraphFont"/>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basedOn w:val="DefaultParagraphFont"/>
    <w:rsid w:val="009A3899"/>
    <w:rPr>
      <w:i/>
      <w:iCs/>
    </w:rPr>
  </w:style>
  <w:style w:type="character" w:styleId="HTMLCode">
    <w:name w:val="HTML Code"/>
    <w:basedOn w:val="DefaultParagraphFont"/>
    <w:rsid w:val="009A3899"/>
    <w:rPr>
      <w:rFonts w:ascii="Courier New" w:hAnsi="Courier New" w:cs="Courier New"/>
      <w:sz w:val="20"/>
      <w:szCs w:val="20"/>
    </w:rPr>
  </w:style>
  <w:style w:type="character" w:styleId="HTMLDefinition">
    <w:name w:val="HTML Definition"/>
    <w:basedOn w:val="DefaultParagraphFont"/>
    <w:rsid w:val="009A3899"/>
    <w:rPr>
      <w:i/>
      <w:iCs/>
    </w:rPr>
  </w:style>
  <w:style w:type="character" w:styleId="HTMLKeyboard">
    <w:name w:val="HTML Keyboard"/>
    <w:basedOn w:val="DefaultParagraphFont"/>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basedOn w:val="DefaultParagraphFont"/>
    <w:link w:val="HTMLPreformatted"/>
    <w:rsid w:val="009A3899"/>
    <w:rPr>
      <w:rFonts w:ascii="Consolas" w:eastAsia="Times New Roman" w:hAnsi="Consolas"/>
      <w:sz w:val="20"/>
      <w:szCs w:val="20"/>
    </w:rPr>
  </w:style>
  <w:style w:type="character" w:styleId="HTMLSample">
    <w:name w:val="HTML Sample"/>
    <w:basedOn w:val="DefaultParagraphFont"/>
    <w:rsid w:val="009A3899"/>
    <w:rPr>
      <w:rFonts w:ascii="Courier New" w:hAnsi="Courier New" w:cs="Courier New"/>
    </w:rPr>
  </w:style>
  <w:style w:type="character" w:styleId="HTMLTypewriter">
    <w:name w:val="HTML Typewriter"/>
    <w:basedOn w:val="DefaultParagraphFont"/>
    <w:rsid w:val="009A3899"/>
    <w:rPr>
      <w:rFonts w:ascii="Courier New" w:hAnsi="Courier New" w:cs="Courier New"/>
      <w:sz w:val="20"/>
      <w:szCs w:val="20"/>
    </w:rPr>
  </w:style>
  <w:style w:type="character" w:styleId="HTMLVariable">
    <w:name w:val="HTML Variable"/>
    <w:basedOn w:val="DefaultParagraphFont"/>
    <w:rsid w:val="009A3899"/>
    <w:rPr>
      <w:i/>
      <w:iCs/>
    </w:rPr>
  </w:style>
  <w:style w:type="character" w:styleId="Hyperlink">
    <w:name w:val="Hyperlink"/>
    <w:basedOn w:val="DefaultParagraphFont"/>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uiPriority w:val="99"/>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basedOn w:val="DefaultParagraphFont"/>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basedOn w:val="DefaultParagraphFont"/>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styleId="UnresolvedMention">
    <w:name w:val="Unresolved Mention"/>
    <w:basedOn w:val="DefaultParagraphFont"/>
    <w:uiPriority w:val="99"/>
    <w:semiHidden/>
    <w:unhideWhenUsed/>
    <w:rsid w:val="00F26AF7"/>
    <w:rPr>
      <w:color w:val="808080"/>
      <w:shd w:val="clear" w:color="auto" w:fill="E6E6E6"/>
    </w:rPr>
  </w:style>
  <w:style w:type="paragraph" w:customStyle="1" w:styleId="acknowledgement0">
    <w:name w:val="acknowledgement"/>
    <w:basedOn w:val="Normal"/>
    <w:rsid w:val="009A6B8F"/>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9A6B8F"/>
  </w:style>
  <w:style w:type="paragraph" w:styleId="Revision">
    <w:name w:val="Revision"/>
    <w:hidden/>
    <w:uiPriority w:val="99"/>
    <w:rsid w:val="003D791C"/>
  </w:style>
  <w:style w:type="character" w:customStyle="1" w:styleId="Heading1Char">
    <w:name w:val="Heading 1 Char"/>
    <w:basedOn w:val="DefaultParagraphFont"/>
    <w:link w:val="Heading1"/>
    <w:uiPriority w:val="9"/>
    <w:rsid w:val="00DF0110"/>
    <w:rPr>
      <w:rFonts w:ascii="Arial" w:eastAsia="Arial" w:hAnsi="Arial" w:cs="Arial"/>
      <w:sz w:val="40"/>
      <w:szCs w:val="40"/>
      <w:lang w:val="en-GB" w:eastAsia="en-GB"/>
    </w:rPr>
  </w:style>
  <w:style w:type="character" w:customStyle="1" w:styleId="Heading2Char">
    <w:name w:val="Heading 2 Char"/>
    <w:basedOn w:val="DefaultParagraphFont"/>
    <w:link w:val="Heading2"/>
    <w:uiPriority w:val="9"/>
    <w:semiHidden/>
    <w:rsid w:val="00DF0110"/>
    <w:rPr>
      <w:rFonts w:ascii="Arial" w:eastAsia="Arial" w:hAnsi="Arial" w:cs="Arial"/>
      <w:sz w:val="32"/>
      <w:szCs w:val="32"/>
      <w:lang w:val="en-GB" w:eastAsia="en-GB"/>
    </w:rPr>
  </w:style>
  <w:style w:type="character" w:customStyle="1" w:styleId="Heading3Char">
    <w:name w:val="Heading 3 Char"/>
    <w:basedOn w:val="DefaultParagraphFont"/>
    <w:link w:val="Heading3"/>
    <w:uiPriority w:val="9"/>
    <w:semiHidden/>
    <w:rsid w:val="00DF0110"/>
    <w:rPr>
      <w:rFonts w:ascii="Arial" w:eastAsia="Arial" w:hAnsi="Arial" w:cs="Arial"/>
      <w:color w:val="434343"/>
      <w:sz w:val="28"/>
      <w:szCs w:val="28"/>
      <w:lang w:val="en-GB" w:eastAsia="en-GB"/>
    </w:rPr>
  </w:style>
  <w:style w:type="character" w:customStyle="1" w:styleId="Heading4Char">
    <w:name w:val="Heading 4 Char"/>
    <w:basedOn w:val="DefaultParagraphFont"/>
    <w:link w:val="Heading4"/>
    <w:uiPriority w:val="9"/>
    <w:semiHidden/>
    <w:rsid w:val="00DF0110"/>
    <w:rPr>
      <w:rFonts w:ascii="Arial" w:eastAsia="Arial" w:hAnsi="Arial" w:cs="Arial"/>
      <w:color w:val="666666"/>
      <w:sz w:val="24"/>
      <w:szCs w:val="24"/>
      <w:lang w:val="en-GB" w:eastAsia="en-GB"/>
    </w:rPr>
  </w:style>
  <w:style w:type="character" w:customStyle="1" w:styleId="Heading5Char">
    <w:name w:val="Heading 5 Char"/>
    <w:basedOn w:val="DefaultParagraphFont"/>
    <w:link w:val="Heading5"/>
    <w:uiPriority w:val="9"/>
    <w:semiHidden/>
    <w:rsid w:val="00DF0110"/>
    <w:rPr>
      <w:rFonts w:ascii="Arial" w:eastAsia="Arial" w:hAnsi="Arial" w:cs="Arial"/>
      <w:color w:val="666666"/>
      <w:sz w:val="22"/>
      <w:szCs w:val="22"/>
      <w:lang w:val="en-GB" w:eastAsia="en-GB"/>
    </w:rPr>
  </w:style>
  <w:style w:type="character" w:customStyle="1" w:styleId="Heading6Char">
    <w:name w:val="Heading 6 Char"/>
    <w:basedOn w:val="DefaultParagraphFont"/>
    <w:link w:val="Heading6"/>
    <w:uiPriority w:val="9"/>
    <w:semiHidden/>
    <w:rsid w:val="00DF0110"/>
    <w:rPr>
      <w:rFonts w:ascii="Arial" w:eastAsia="Arial" w:hAnsi="Arial" w:cs="Arial"/>
      <w:i/>
      <w:iCs/>
      <w:color w:val="666666"/>
      <w:sz w:val="22"/>
      <w:szCs w:val="22"/>
      <w:lang w:val="en-GB" w:eastAsia="en-GB"/>
    </w:rPr>
  </w:style>
  <w:style w:type="character" w:customStyle="1" w:styleId="Heading7Char">
    <w:name w:val="Heading 7 Char"/>
    <w:basedOn w:val="DefaultParagraphFont"/>
    <w:link w:val="Heading7"/>
    <w:uiPriority w:val="9"/>
    <w:rsid w:val="00DF0110"/>
    <w:rPr>
      <w:rFonts w:asciiTheme="majorHAnsi" w:eastAsiaTheme="majorEastAsia" w:hAnsiTheme="majorHAnsi" w:cstheme="majorBidi"/>
      <w:i/>
      <w:iCs/>
      <w:color w:val="243F60"/>
      <w:sz w:val="22"/>
      <w:szCs w:val="22"/>
      <w:lang w:val="en-GB" w:eastAsia="en-GB"/>
    </w:rPr>
  </w:style>
  <w:style w:type="character" w:customStyle="1" w:styleId="Heading8Char">
    <w:name w:val="Heading 8 Char"/>
    <w:basedOn w:val="DefaultParagraphFont"/>
    <w:link w:val="Heading8"/>
    <w:uiPriority w:val="9"/>
    <w:rsid w:val="00DF0110"/>
    <w:rPr>
      <w:rFonts w:asciiTheme="majorHAnsi" w:eastAsiaTheme="majorEastAsia" w:hAnsiTheme="majorHAnsi" w:cstheme="majorBidi"/>
      <w:color w:val="272727"/>
      <w:sz w:val="21"/>
      <w:szCs w:val="21"/>
      <w:lang w:val="en-GB" w:eastAsia="en-GB"/>
    </w:rPr>
  </w:style>
  <w:style w:type="character" w:customStyle="1" w:styleId="Heading9Char">
    <w:name w:val="Heading 9 Char"/>
    <w:basedOn w:val="DefaultParagraphFont"/>
    <w:link w:val="Heading9"/>
    <w:uiPriority w:val="9"/>
    <w:rsid w:val="00DF0110"/>
    <w:rPr>
      <w:rFonts w:asciiTheme="majorHAnsi" w:eastAsiaTheme="majorEastAsia" w:hAnsiTheme="majorHAnsi" w:cstheme="majorBidi"/>
      <w:i/>
      <w:iCs/>
      <w:color w:val="272727"/>
      <w:sz w:val="21"/>
      <w:szCs w:val="21"/>
      <w:lang w:val="en-GB" w:eastAsia="en-GB"/>
    </w:rPr>
  </w:style>
  <w:style w:type="paragraph" w:styleId="Title">
    <w:name w:val="Title"/>
    <w:basedOn w:val="Normal"/>
    <w:next w:val="Normal"/>
    <w:link w:val="TitleChar"/>
    <w:uiPriority w:val="10"/>
    <w:qFormat/>
    <w:rsid w:val="00DF0110"/>
    <w:pPr>
      <w:keepNext/>
      <w:keepLines/>
      <w:spacing w:after="60" w:line="276" w:lineRule="auto"/>
    </w:pPr>
    <w:rPr>
      <w:rFonts w:ascii="Arial" w:eastAsia="Arial" w:hAnsi="Arial" w:cs="Arial"/>
      <w:sz w:val="52"/>
      <w:szCs w:val="52"/>
      <w:lang w:val="en-GB" w:eastAsia="en-GB"/>
    </w:rPr>
  </w:style>
  <w:style w:type="character" w:customStyle="1" w:styleId="TitleChar">
    <w:name w:val="Title Char"/>
    <w:basedOn w:val="DefaultParagraphFont"/>
    <w:link w:val="Title"/>
    <w:uiPriority w:val="10"/>
    <w:rsid w:val="00DF0110"/>
    <w:rPr>
      <w:rFonts w:ascii="Arial" w:eastAsia="Arial" w:hAnsi="Arial" w:cs="Arial"/>
      <w:sz w:val="52"/>
      <w:szCs w:val="52"/>
      <w:lang w:val="en-GB" w:eastAsia="en-GB"/>
    </w:rPr>
  </w:style>
  <w:style w:type="paragraph" w:styleId="Subtitle">
    <w:name w:val="Subtitle"/>
    <w:basedOn w:val="Normal"/>
    <w:next w:val="Normal"/>
    <w:link w:val="SubtitleChar"/>
    <w:uiPriority w:val="11"/>
    <w:qFormat/>
    <w:rsid w:val="00DF0110"/>
    <w:pPr>
      <w:keepNext/>
      <w:keepLines/>
      <w:spacing w:after="320" w:line="276" w:lineRule="auto"/>
    </w:pPr>
    <w:rPr>
      <w:rFonts w:ascii="Arial" w:eastAsia="Arial" w:hAnsi="Arial" w:cs="Arial"/>
      <w:color w:val="666666"/>
      <w:sz w:val="30"/>
      <w:szCs w:val="30"/>
      <w:lang w:val="en-GB" w:eastAsia="en-GB"/>
    </w:rPr>
  </w:style>
  <w:style w:type="character" w:customStyle="1" w:styleId="SubtitleChar">
    <w:name w:val="Subtitle Char"/>
    <w:basedOn w:val="DefaultParagraphFont"/>
    <w:link w:val="Subtitle"/>
    <w:uiPriority w:val="11"/>
    <w:rsid w:val="00DF0110"/>
    <w:rPr>
      <w:rFonts w:ascii="Arial" w:eastAsia="Arial" w:hAnsi="Arial" w:cs="Arial"/>
      <w:color w:val="666666"/>
      <w:sz w:val="30"/>
      <w:szCs w:val="30"/>
      <w:lang w:val="en-GB" w:eastAsia="en-GB"/>
    </w:rPr>
  </w:style>
  <w:style w:type="paragraph" w:styleId="Quote">
    <w:name w:val="Quote"/>
    <w:basedOn w:val="Normal"/>
    <w:next w:val="Normal"/>
    <w:link w:val="QuoteChar"/>
    <w:uiPriority w:val="29"/>
    <w:qFormat/>
    <w:rsid w:val="00DF0110"/>
    <w:pPr>
      <w:spacing w:before="200" w:line="276" w:lineRule="auto"/>
      <w:ind w:left="864" w:right="864"/>
      <w:jc w:val="center"/>
    </w:pPr>
    <w:rPr>
      <w:rFonts w:ascii="Arial" w:eastAsia="Arial" w:hAnsi="Arial" w:cs="Arial"/>
      <w:i/>
      <w:iCs/>
      <w:color w:val="404040" w:themeColor="text1" w:themeTint="BF"/>
      <w:sz w:val="22"/>
      <w:szCs w:val="22"/>
      <w:lang w:val="en-GB" w:eastAsia="en-GB"/>
    </w:rPr>
  </w:style>
  <w:style w:type="character" w:customStyle="1" w:styleId="QuoteChar">
    <w:name w:val="Quote Char"/>
    <w:basedOn w:val="DefaultParagraphFont"/>
    <w:link w:val="Quote"/>
    <w:uiPriority w:val="29"/>
    <w:rsid w:val="00DF0110"/>
    <w:rPr>
      <w:rFonts w:ascii="Arial" w:eastAsia="Arial" w:hAnsi="Arial" w:cs="Arial"/>
      <w:i/>
      <w:iCs/>
      <w:color w:val="404040" w:themeColor="text1" w:themeTint="BF"/>
      <w:sz w:val="22"/>
      <w:szCs w:val="22"/>
      <w:lang w:val="en-GB" w:eastAsia="en-GB"/>
    </w:rPr>
  </w:style>
  <w:style w:type="paragraph" w:styleId="IntenseQuote">
    <w:name w:val="Intense Quote"/>
    <w:basedOn w:val="Normal"/>
    <w:next w:val="Normal"/>
    <w:link w:val="IntenseQuoteChar"/>
    <w:uiPriority w:val="30"/>
    <w:qFormat/>
    <w:rsid w:val="00DF0110"/>
    <w:pPr>
      <w:spacing w:before="360" w:after="360" w:line="276" w:lineRule="auto"/>
      <w:ind w:left="864" w:right="864"/>
      <w:jc w:val="center"/>
    </w:pPr>
    <w:rPr>
      <w:rFonts w:ascii="Arial" w:eastAsia="Arial" w:hAnsi="Arial" w:cs="Arial"/>
      <w:i/>
      <w:iCs/>
      <w:color w:val="4F81BD" w:themeColor="accent1"/>
      <w:sz w:val="22"/>
      <w:szCs w:val="22"/>
      <w:lang w:val="en-GB" w:eastAsia="en-GB"/>
    </w:rPr>
  </w:style>
  <w:style w:type="character" w:customStyle="1" w:styleId="IntenseQuoteChar">
    <w:name w:val="Intense Quote Char"/>
    <w:basedOn w:val="DefaultParagraphFont"/>
    <w:link w:val="IntenseQuote"/>
    <w:uiPriority w:val="30"/>
    <w:rsid w:val="00DF0110"/>
    <w:rPr>
      <w:rFonts w:ascii="Arial" w:eastAsia="Arial" w:hAnsi="Arial" w:cs="Arial"/>
      <w:i/>
      <w:iCs/>
      <w:color w:val="4F81BD" w:themeColor="accent1"/>
      <w:sz w:val="22"/>
      <w:szCs w:val="22"/>
      <w:lang w:val="en-GB" w:eastAsia="en-GB"/>
    </w:rPr>
  </w:style>
  <w:style w:type="paragraph" w:styleId="ListParagraph">
    <w:name w:val="List Paragraph"/>
    <w:basedOn w:val="Normal"/>
    <w:uiPriority w:val="34"/>
    <w:qFormat/>
    <w:rsid w:val="00DF0110"/>
    <w:pPr>
      <w:spacing w:line="276" w:lineRule="auto"/>
      <w:ind w:left="720"/>
      <w:contextualSpacing/>
    </w:pPr>
    <w:rPr>
      <w:rFonts w:ascii="Arial" w:eastAsia="Arial" w:hAnsi="Arial" w:cs="Arial"/>
      <w:sz w:val="22"/>
      <w:szCs w:val="22"/>
      <w:lang w:val="en-GB" w:eastAsia="en-GB"/>
    </w:rPr>
  </w:style>
  <w:style w:type="paragraph" w:styleId="TOC1">
    <w:name w:val="toc 1"/>
    <w:basedOn w:val="Normal"/>
    <w:next w:val="Normal"/>
    <w:uiPriority w:val="39"/>
    <w:unhideWhenUsed/>
    <w:rsid w:val="00DF0110"/>
    <w:pPr>
      <w:spacing w:after="100" w:line="276" w:lineRule="auto"/>
    </w:pPr>
    <w:rPr>
      <w:rFonts w:ascii="Arial" w:eastAsia="Arial" w:hAnsi="Arial" w:cs="Arial"/>
      <w:sz w:val="22"/>
      <w:szCs w:val="22"/>
      <w:lang w:val="en-GB" w:eastAsia="en-GB"/>
    </w:rPr>
  </w:style>
  <w:style w:type="paragraph" w:styleId="TOC2">
    <w:name w:val="toc 2"/>
    <w:basedOn w:val="Normal"/>
    <w:next w:val="Normal"/>
    <w:uiPriority w:val="39"/>
    <w:unhideWhenUsed/>
    <w:rsid w:val="00DF0110"/>
    <w:pPr>
      <w:spacing w:after="100" w:line="276" w:lineRule="auto"/>
      <w:ind w:left="220"/>
    </w:pPr>
    <w:rPr>
      <w:rFonts w:ascii="Arial" w:eastAsia="Arial" w:hAnsi="Arial" w:cs="Arial"/>
      <w:sz w:val="22"/>
      <w:szCs w:val="22"/>
      <w:lang w:val="en-GB" w:eastAsia="en-GB"/>
    </w:rPr>
  </w:style>
  <w:style w:type="paragraph" w:styleId="TOC3">
    <w:name w:val="toc 3"/>
    <w:basedOn w:val="Normal"/>
    <w:next w:val="Normal"/>
    <w:uiPriority w:val="39"/>
    <w:unhideWhenUsed/>
    <w:rsid w:val="00DF0110"/>
    <w:pPr>
      <w:spacing w:after="100" w:line="276" w:lineRule="auto"/>
      <w:ind w:left="440"/>
    </w:pPr>
    <w:rPr>
      <w:rFonts w:ascii="Arial" w:eastAsia="Arial" w:hAnsi="Arial" w:cs="Arial"/>
      <w:sz w:val="22"/>
      <w:szCs w:val="22"/>
      <w:lang w:val="en-GB" w:eastAsia="en-GB"/>
    </w:rPr>
  </w:style>
  <w:style w:type="paragraph" w:styleId="TOC4">
    <w:name w:val="toc 4"/>
    <w:basedOn w:val="Normal"/>
    <w:next w:val="Normal"/>
    <w:uiPriority w:val="39"/>
    <w:unhideWhenUsed/>
    <w:rsid w:val="00DF0110"/>
    <w:pPr>
      <w:spacing w:after="100" w:line="276" w:lineRule="auto"/>
      <w:ind w:left="660"/>
    </w:pPr>
    <w:rPr>
      <w:rFonts w:ascii="Arial" w:eastAsia="Arial" w:hAnsi="Arial" w:cs="Arial"/>
      <w:sz w:val="22"/>
      <w:szCs w:val="22"/>
      <w:lang w:val="en-GB" w:eastAsia="en-GB"/>
    </w:rPr>
  </w:style>
  <w:style w:type="paragraph" w:styleId="TOC5">
    <w:name w:val="toc 5"/>
    <w:basedOn w:val="Normal"/>
    <w:next w:val="Normal"/>
    <w:uiPriority w:val="39"/>
    <w:unhideWhenUsed/>
    <w:rsid w:val="00DF0110"/>
    <w:pPr>
      <w:spacing w:after="100" w:line="276" w:lineRule="auto"/>
      <w:ind w:left="880"/>
    </w:pPr>
    <w:rPr>
      <w:rFonts w:ascii="Arial" w:eastAsia="Arial" w:hAnsi="Arial" w:cs="Arial"/>
      <w:sz w:val="22"/>
      <w:szCs w:val="22"/>
      <w:lang w:val="en-GB" w:eastAsia="en-GB"/>
    </w:rPr>
  </w:style>
  <w:style w:type="paragraph" w:styleId="TOC6">
    <w:name w:val="toc 6"/>
    <w:basedOn w:val="Normal"/>
    <w:next w:val="Normal"/>
    <w:uiPriority w:val="39"/>
    <w:unhideWhenUsed/>
    <w:rsid w:val="00DF0110"/>
    <w:pPr>
      <w:spacing w:after="100" w:line="276" w:lineRule="auto"/>
      <w:ind w:left="1100"/>
    </w:pPr>
    <w:rPr>
      <w:rFonts w:ascii="Arial" w:eastAsia="Arial" w:hAnsi="Arial" w:cs="Arial"/>
      <w:sz w:val="22"/>
      <w:szCs w:val="22"/>
      <w:lang w:val="en-GB" w:eastAsia="en-GB"/>
    </w:rPr>
  </w:style>
  <w:style w:type="paragraph" w:styleId="TOC7">
    <w:name w:val="toc 7"/>
    <w:basedOn w:val="Normal"/>
    <w:next w:val="Normal"/>
    <w:uiPriority w:val="39"/>
    <w:unhideWhenUsed/>
    <w:rsid w:val="00DF0110"/>
    <w:pPr>
      <w:spacing w:after="100" w:line="276" w:lineRule="auto"/>
      <w:ind w:left="1320"/>
    </w:pPr>
    <w:rPr>
      <w:rFonts w:ascii="Arial" w:eastAsia="Arial" w:hAnsi="Arial" w:cs="Arial"/>
      <w:sz w:val="22"/>
      <w:szCs w:val="22"/>
      <w:lang w:val="en-GB" w:eastAsia="en-GB"/>
    </w:rPr>
  </w:style>
  <w:style w:type="paragraph" w:styleId="TOC8">
    <w:name w:val="toc 8"/>
    <w:basedOn w:val="Normal"/>
    <w:next w:val="Normal"/>
    <w:uiPriority w:val="39"/>
    <w:unhideWhenUsed/>
    <w:rsid w:val="00DF0110"/>
    <w:pPr>
      <w:spacing w:after="100" w:line="276" w:lineRule="auto"/>
      <w:ind w:left="1540"/>
    </w:pPr>
    <w:rPr>
      <w:rFonts w:ascii="Arial" w:eastAsia="Arial" w:hAnsi="Arial" w:cs="Arial"/>
      <w:sz w:val="22"/>
      <w:szCs w:val="22"/>
      <w:lang w:val="en-GB" w:eastAsia="en-GB"/>
    </w:rPr>
  </w:style>
  <w:style w:type="paragraph" w:styleId="TOC9">
    <w:name w:val="toc 9"/>
    <w:basedOn w:val="Normal"/>
    <w:next w:val="Normal"/>
    <w:uiPriority w:val="39"/>
    <w:unhideWhenUsed/>
    <w:rsid w:val="00DF0110"/>
    <w:pPr>
      <w:spacing w:after="100" w:line="276" w:lineRule="auto"/>
      <w:ind w:left="1760"/>
    </w:pPr>
    <w:rPr>
      <w:rFonts w:ascii="Arial" w:eastAsia="Arial" w:hAnsi="Arial" w:cs="Arial"/>
      <w:sz w:val="22"/>
      <w:szCs w:val="22"/>
      <w:lang w:val="en-GB" w:eastAsia="en-GB"/>
    </w:rPr>
  </w:style>
  <w:style w:type="paragraph" w:styleId="FootnoteText">
    <w:name w:val="footnote text"/>
    <w:basedOn w:val="Normal"/>
    <w:link w:val="FootnoteTextChar"/>
    <w:uiPriority w:val="99"/>
    <w:semiHidden/>
    <w:unhideWhenUsed/>
    <w:rsid w:val="00DF0110"/>
    <w:pPr>
      <w:spacing w:line="276" w:lineRule="auto"/>
    </w:pPr>
    <w:rPr>
      <w:rFonts w:ascii="Arial" w:eastAsia="Arial" w:hAnsi="Arial" w:cs="Arial"/>
      <w:lang w:val="en-GB" w:eastAsia="en-GB"/>
    </w:rPr>
  </w:style>
  <w:style w:type="character" w:customStyle="1" w:styleId="FootnoteTextChar">
    <w:name w:val="Footnote Text Char"/>
    <w:basedOn w:val="DefaultParagraphFont"/>
    <w:link w:val="FootnoteText"/>
    <w:uiPriority w:val="99"/>
    <w:semiHidden/>
    <w:rsid w:val="00DF0110"/>
    <w:rPr>
      <w:rFonts w:ascii="Arial" w:eastAsia="Arial" w:hAnsi="Arial" w:cs="Arial"/>
      <w:lang w:val="en-GB" w:eastAsia="en-GB"/>
    </w:rPr>
  </w:style>
  <w:style w:type="paragraph" w:styleId="NormalWeb">
    <w:name w:val="Normal (Web)"/>
    <w:basedOn w:val="Normal"/>
    <w:uiPriority w:val="99"/>
    <w:semiHidden/>
    <w:unhideWhenUsed/>
    <w:rsid w:val="00DF0110"/>
    <w:pPr>
      <w:spacing w:before="100" w:beforeAutospacing="1" w:after="100" w:afterAutospacing="1"/>
    </w:pPr>
    <w:rPr>
      <w:rFonts w:eastAsiaTheme="minorEastAsia"/>
      <w:sz w:val="24"/>
      <w:szCs w:val="24"/>
      <w:lang w:val="en-GB" w:eastAsia="en-GB"/>
    </w:rPr>
  </w:style>
  <w:style w:type="character" w:customStyle="1" w:styleId="csl-left-margin">
    <w:name w:val="csl-left-margin"/>
    <w:basedOn w:val="DefaultParagraphFont"/>
    <w:rsid w:val="00DF0110"/>
  </w:style>
  <w:style w:type="character" w:customStyle="1" w:styleId="csl-right-inline">
    <w:name w:val="csl-right-inline"/>
    <w:basedOn w:val="DefaultParagraphFont"/>
    <w:rsid w:val="00DF0110"/>
  </w:style>
  <w:style w:type="table" w:styleId="TableGrid">
    <w:name w:val="Table Grid"/>
    <w:basedOn w:val="TableNormal"/>
    <w:uiPriority w:val="39"/>
    <w:rsid w:val="006302BF"/>
    <w:rPr>
      <w:rFonts w:asciiTheme="minorHAnsi" w:eastAsiaTheme="minorHAnsi" w:hAnsiTheme="minorHAnsi" w:cstheme="minorBid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D3C46"/>
    <w:pPr>
      <w:spacing w:after="200"/>
    </w:pPr>
    <w:rPr>
      <w:rFonts w:asciiTheme="minorHAnsi" w:eastAsiaTheme="minorHAnsi" w:hAnsiTheme="minorHAnsi" w:cstheme="minorBidi"/>
      <w:i/>
      <w:iCs/>
      <w:color w:val="1F497D" w:themeColor="text2"/>
      <w:kern w:val="2"/>
      <w:sz w:val="18"/>
      <w:szCs w:val="18"/>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524623">
      <w:bodyDiv w:val="1"/>
      <w:marLeft w:val="0"/>
      <w:marRight w:val="0"/>
      <w:marTop w:val="0"/>
      <w:marBottom w:val="0"/>
      <w:divBdr>
        <w:top w:val="none" w:sz="0" w:space="0" w:color="auto"/>
        <w:left w:val="none" w:sz="0" w:space="0" w:color="auto"/>
        <w:bottom w:val="none" w:sz="0" w:space="0" w:color="auto"/>
        <w:right w:val="none" w:sz="0" w:space="0" w:color="auto"/>
      </w:divBdr>
    </w:div>
    <w:div w:id="252325565">
      <w:bodyDiv w:val="1"/>
      <w:marLeft w:val="0"/>
      <w:marRight w:val="0"/>
      <w:marTop w:val="0"/>
      <w:marBottom w:val="0"/>
      <w:divBdr>
        <w:top w:val="none" w:sz="0" w:space="0" w:color="auto"/>
        <w:left w:val="none" w:sz="0" w:space="0" w:color="auto"/>
        <w:bottom w:val="none" w:sz="0" w:space="0" w:color="auto"/>
        <w:right w:val="none" w:sz="0" w:space="0" w:color="auto"/>
      </w:divBdr>
    </w:div>
    <w:div w:id="399905827">
      <w:bodyDiv w:val="1"/>
      <w:marLeft w:val="0"/>
      <w:marRight w:val="0"/>
      <w:marTop w:val="0"/>
      <w:marBottom w:val="0"/>
      <w:divBdr>
        <w:top w:val="none" w:sz="0" w:space="0" w:color="auto"/>
        <w:left w:val="none" w:sz="0" w:space="0" w:color="auto"/>
        <w:bottom w:val="none" w:sz="0" w:space="0" w:color="auto"/>
        <w:right w:val="none" w:sz="0" w:space="0" w:color="auto"/>
      </w:divBdr>
    </w:div>
    <w:div w:id="958100130">
      <w:bodyDiv w:val="1"/>
      <w:marLeft w:val="0"/>
      <w:marRight w:val="0"/>
      <w:marTop w:val="0"/>
      <w:marBottom w:val="0"/>
      <w:divBdr>
        <w:top w:val="none" w:sz="0" w:space="0" w:color="auto"/>
        <w:left w:val="none" w:sz="0" w:space="0" w:color="auto"/>
        <w:bottom w:val="none" w:sz="0" w:space="0" w:color="auto"/>
        <w:right w:val="none" w:sz="0" w:space="0" w:color="auto"/>
      </w:divBdr>
      <w:divsChild>
        <w:div w:id="1634678285">
          <w:marLeft w:val="0"/>
          <w:marRight w:val="0"/>
          <w:marTop w:val="0"/>
          <w:marBottom w:val="0"/>
          <w:divBdr>
            <w:top w:val="none" w:sz="0" w:space="0" w:color="auto"/>
            <w:left w:val="none" w:sz="0" w:space="0" w:color="auto"/>
            <w:bottom w:val="none" w:sz="0" w:space="0" w:color="auto"/>
            <w:right w:val="none" w:sz="0" w:space="0" w:color="auto"/>
          </w:divBdr>
        </w:div>
        <w:div w:id="744569441">
          <w:marLeft w:val="0"/>
          <w:marRight w:val="0"/>
          <w:marTop w:val="0"/>
          <w:marBottom w:val="0"/>
          <w:divBdr>
            <w:top w:val="none" w:sz="0" w:space="0" w:color="auto"/>
            <w:left w:val="none" w:sz="0" w:space="0" w:color="auto"/>
            <w:bottom w:val="none" w:sz="0" w:space="0" w:color="auto"/>
            <w:right w:val="none" w:sz="0" w:space="0" w:color="auto"/>
          </w:divBdr>
        </w:div>
        <w:div w:id="1013611270">
          <w:marLeft w:val="0"/>
          <w:marRight w:val="0"/>
          <w:marTop w:val="0"/>
          <w:marBottom w:val="0"/>
          <w:divBdr>
            <w:top w:val="none" w:sz="0" w:space="0" w:color="auto"/>
            <w:left w:val="none" w:sz="0" w:space="0" w:color="auto"/>
            <w:bottom w:val="none" w:sz="0" w:space="0" w:color="auto"/>
            <w:right w:val="none" w:sz="0" w:space="0" w:color="auto"/>
          </w:divBdr>
        </w:div>
        <w:div w:id="826362033">
          <w:marLeft w:val="0"/>
          <w:marRight w:val="0"/>
          <w:marTop w:val="0"/>
          <w:marBottom w:val="0"/>
          <w:divBdr>
            <w:top w:val="none" w:sz="0" w:space="0" w:color="auto"/>
            <w:left w:val="none" w:sz="0" w:space="0" w:color="auto"/>
            <w:bottom w:val="none" w:sz="0" w:space="0" w:color="auto"/>
            <w:right w:val="none" w:sz="0" w:space="0" w:color="auto"/>
          </w:divBdr>
        </w:div>
      </w:divsChild>
    </w:div>
    <w:div w:id="1242250851">
      <w:bodyDiv w:val="1"/>
      <w:marLeft w:val="0"/>
      <w:marRight w:val="0"/>
      <w:marTop w:val="0"/>
      <w:marBottom w:val="0"/>
      <w:divBdr>
        <w:top w:val="none" w:sz="0" w:space="0" w:color="auto"/>
        <w:left w:val="none" w:sz="0" w:space="0" w:color="auto"/>
        <w:bottom w:val="none" w:sz="0" w:space="0" w:color="auto"/>
        <w:right w:val="none" w:sz="0" w:space="0" w:color="auto"/>
      </w:divBdr>
      <w:divsChild>
        <w:div w:id="2079672720">
          <w:marLeft w:val="0"/>
          <w:marRight w:val="0"/>
          <w:marTop w:val="0"/>
          <w:marBottom w:val="0"/>
          <w:divBdr>
            <w:top w:val="none" w:sz="0" w:space="0" w:color="auto"/>
            <w:left w:val="none" w:sz="0" w:space="0" w:color="auto"/>
            <w:bottom w:val="none" w:sz="0" w:space="0" w:color="auto"/>
            <w:right w:val="none" w:sz="0" w:space="0" w:color="auto"/>
          </w:divBdr>
        </w:div>
      </w:divsChild>
    </w:div>
    <w:div w:id="1262182441">
      <w:bodyDiv w:val="1"/>
      <w:marLeft w:val="0"/>
      <w:marRight w:val="0"/>
      <w:marTop w:val="0"/>
      <w:marBottom w:val="0"/>
      <w:divBdr>
        <w:top w:val="none" w:sz="0" w:space="0" w:color="auto"/>
        <w:left w:val="none" w:sz="0" w:space="0" w:color="auto"/>
        <w:bottom w:val="none" w:sz="0" w:space="0" w:color="auto"/>
        <w:right w:val="none" w:sz="0" w:space="0" w:color="auto"/>
      </w:divBdr>
      <w:divsChild>
        <w:div w:id="471404528">
          <w:marLeft w:val="0"/>
          <w:marRight w:val="0"/>
          <w:marTop w:val="0"/>
          <w:marBottom w:val="0"/>
          <w:divBdr>
            <w:top w:val="none" w:sz="0" w:space="0" w:color="auto"/>
            <w:left w:val="none" w:sz="0" w:space="0" w:color="auto"/>
            <w:bottom w:val="none" w:sz="0" w:space="0" w:color="auto"/>
            <w:right w:val="none" w:sz="0" w:space="0" w:color="auto"/>
          </w:divBdr>
        </w:div>
        <w:div w:id="1896159423">
          <w:marLeft w:val="0"/>
          <w:marRight w:val="0"/>
          <w:marTop w:val="0"/>
          <w:marBottom w:val="0"/>
          <w:divBdr>
            <w:top w:val="none" w:sz="0" w:space="0" w:color="auto"/>
            <w:left w:val="none" w:sz="0" w:space="0" w:color="auto"/>
            <w:bottom w:val="none" w:sz="0" w:space="0" w:color="auto"/>
            <w:right w:val="none" w:sz="0" w:space="0" w:color="auto"/>
          </w:divBdr>
        </w:div>
        <w:div w:id="1785076151">
          <w:marLeft w:val="0"/>
          <w:marRight w:val="0"/>
          <w:marTop w:val="0"/>
          <w:marBottom w:val="0"/>
          <w:divBdr>
            <w:top w:val="none" w:sz="0" w:space="0" w:color="auto"/>
            <w:left w:val="none" w:sz="0" w:space="0" w:color="auto"/>
            <w:bottom w:val="none" w:sz="0" w:space="0" w:color="auto"/>
            <w:right w:val="none" w:sz="0" w:space="0" w:color="auto"/>
          </w:divBdr>
        </w:div>
        <w:div w:id="246572978">
          <w:marLeft w:val="0"/>
          <w:marRight w:val="0"/>
          <w:marTop w:val="0"/>
          <w:marBottom w:val="0"/>
          <w:divBdr>
            <w:top w:val="none" w:sz="0" w:space="0" w:color="auto"/>
            <w:left w:val="none" w:sz="0" w:space="0" w:color="auto"/>
            <w:bottom w:val="none" w:sz="0" w:space="0" w:color="auto"/>
            <w:right w:val="none" w:sz="0" w:space="0" w:color="auto"/>
          </w:divBdr>
        </w:div>
      </w:divsChild>
    </w:div>
    <w:div w:id="1411467119">
      <w:bodyDiv w:val="1"/>
      <w:marLeft w:val="0"/>
      <w:marRight w:val="0"/>
      <w:marTop w:val="0"/>
      <w:marBottom w:val="0"/>
      <w:divBdr>
        <w:top w:val="none" w:sz="0" w:space="0" w:color="auto"/>
        <w:left w:val="none" w:sz="0" w:space="0" w:color="auto"/>
        <w:bottom w:val="none" w:sz="0" w:space="0" w:color="auto"/>
        <w:right w:val="none" w:sz="0" w:space="0" w:color="auto"/>
      </w:divBdr>
    </w:div>
    <w:div w:id="1415282490">
      <w:bodyDiv w:val="1"/>
      <w:marLeft w:val="0"/>
      <w:marRight w:val="0"/>
      <w:marTop w:val="0"/>
      <w:marBottom w:val="0"/>
      <w:divBdr>
        <w:top w:val="none" w:sz="0" w:space="0" w:color="auto"/>
        <w:left w:val="none" w:sz="0" w:space="0" w:color="auto"/>
        <w:bottom w:val="none" w:sz="0" w:space="0" w:color="auto"/>
        <w:right w:val="none" w:sz="0" w:space="0" w:color="auto"/>
      </w:divBdr>
    </w:div>
    <w:div w:id="1499466485">
      <w:bodyDiv w:val="1"/>
      <w:marLeft w:val="0"/>
      <w:marRight w:val="0"/>
      <w:marTop w:val="0"/>
      <w:marBottom w:val="0"/>
      <w:divBdr>
        <w:top w:val="none" w:sz="0" w:space="0" w:color="auto"/>
        <w:left w:val="none" w:sz="0" w:space="0" w:color="auto"/>
        <w:bottom w:val="none" w:sz="0" w:space="0" w:color="auto"/>
        <w:right w:val="none" w:sz="0" w:space="0" w:color="auto"/>
      </w:divBdr>
    </w:div>
    <w:div w:id="1667857085">
      <w:bodyDiv w:val="1"/>
      <w:marLeft w:val="0"/>
      <w:marRight w:val="0"/>
      <w:marTop w:val="0"/>
      <w:marBottom w:val="0"/>
      <w:divBdr>
        <w:top w:val="none" w:sz="0" w:space="0" w:color="auto"/>
        <w:left w:val="none" w:sz="0" w:space="0" w:color="auto"/>
        <w:bottom w:val="none" w:sz="0" w:space="0" w:color="auto"/>
        <w:right w:val="none" w:sz="0" w:space="0" w:color="auto"/>
      </w:divBdr>
    </w:div>
    <w:div w:id="1715108336">
      <w:bodyDiv w:val="1"/>
      <w:marLeft w:val="0"/>
      <w:marRight w:val="0"/>
      <w:marTop w:val="0"/>
      <w:marBottom w:val="0"/>
      <w:divBdr>
        <w:top w:val="none" w:sz="0" w:space="0" w:color="auto"/>
        <w:left w:val="none" w:sz="0" w:space="0" w:color="auto"/>
        <w:bottom w:val="none" w:sz="0" w:space="0" w:color="auto"/>
        <w:right w:val="none" w:sz="0" w:space="0" w:color="auto"/>
      </w:divBdr>
      <w:divsChild>
        <w:div w:id="1039404183">
          <w:marLeft w:val="0"/>
          <w:marRight w:val="0"/>
          <w:marTop w:val="0"/>
          <w:marBottom w:val="0"/>
          <w:divBdr>
            <w:top w:val="none" w:sz="0" w:space="0" w:color="auto"/>
            <w:left w:val="none" w:sz="0" w:space="0" w:color="auto"/>
            <w:bottom w:val="none" w:sz="0" w:space="0" w:color="auto"/>
            <w:right w:val="none" w:sz="0" w:space="0" w:color="auto"/>
          </w:divBdr>
        </w:div>
        <w:div w:id="289894987">
          <w:marLeft w:val="0"/>
          <w:marRight w:val="0"/>
          <w:marTop w:val="0"/>
          <w:marBottom w:val="0"/>
          <w:divBdr>
            <w:top w:val="none" w:sz="0" w:space="0" w:color="auto"/>
            <w:left w:val="none" w:sz="0" w:space="0" w:color="auto"/>
            <w:bottom w:val="none" w:sz="0" w:space="0" w:color="auto"/>
            <w:right w:val="none" w:sz="0" w:space="0" w:color="auto"/>
          </w:divBdr>
        </w:div>
        <w:div w:id="1248534031">
          <w:marLeft w:val="0"/>
          <w:marRight w:val="0"/>
          <w:marTop w:val="0"/>
          <w:marBottom w:val="0"/>
          <w:divBdr>
            <w:top w:val="none" w:sz="0" w:space="0" w:color="auto"/>
            <w:left w:val="none" w:sz="0" w:space="0" w:color="auto"/>
            <w:bottom w:val="none" w:sz="0" w:space="0" w:color="auto"/>
            <w:right w:val="none" w:sz="0" w:space="0" w:color="auto"/>
          </w:divBdr>
        </w:div>
        <w:div w:id="958754660">
          <w:marLeft w:val="0"/>
          <w:marRight w:val="0"/>
          <w:marTop w:val="0"/>
          <w:marBottom w:val="0"/>
          <w:divBdr>
            <w:top w:val="none" w:sz="0" w:space="0" w:color="auto"/>
            <w:left w:val="none" w:sz="0" w:space="0" w:color="auto"/>
            <w:bottom w:val="none" w:sz="0" w:space="0" w:color="auto"/>
            <w:right w:val="none" w:sz="0" w:space="0" w:color="auto"/>
          </w:divBdr>
        </w:div>
      </w:divsChild>
    </w:div>
    <w:div w:id="1738744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ddasilva@ic.ac.uk"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50EA92A-2E53-9A4A-A23C-F7D635293112}">
  <we:reference id="wa200002534" version="6.0.0.0" store="en-GB" storeType="OMEX"/>
  <we:alternateReferences>
    <we:reference id="wa200002534" version="6.0.0.0" store="WA200002534" storeType="OMEX"/>
  </we:alternateReferences>
  <we:properties>
    <we:property name="sciwheel-selectedStyle" value="{&quot;id&quot;:&quot;nature&quot;,&quot;name&quot;:&quot;Nature&quot;}"/>
    <we:property name="sciwheel-csl-items" value="[{&quot;title&quot;:&quot;Sustained detection of type 2 poliovirus in London sewage between February and July, 2022, by enhanced environmental surveillance.&quot;,&quot;page&quot;:&quot;1531-1538&quot;,&quot;volume&quot;:&quot;400&quot;,&quot;issue&quot;:&quot;10362&quot;,&quot;journalAbbreviation&quot;:&quot;Lancet&quot;,&quot;id&quot;:&quot;13835494&quot;,&quot;type&quot;:&quot;article-journal&quot;,&quot;container-title&quot;:&quot;The Lancet&quot;,&quot;container-title-short&quot;:&quot;Lancet&quot;,&quot;abstract&quot;:&quot;BACKGROUND: The international spread of poliovirus exposes all countries to the risk of outbreaks and is designated a Public Health Emergency of International Concern by WHO. This risk can be exacerbated in countries using inactivated polio vaccine, which offers excellent protection against paralysis but is less effective than oral vaccine against poliovirus shedding, potentially allowing circulation without detection of paralytic cases for long periods of time. Our study investigated the molecular properties of type 2 poliovirus isolates found in sewage with an aim to detect virus transmission in the community.METHODS: We performed environmental surveillance in London, UK, testing sewage samples using WHO recommended methods that include concentration, virus isolation in cell culture, and molecular characterisation. We additionally implemented direct molecular detection and determined whole-genome sequences of every isolate using novel nanopore protocols.FINDINGS: 118 genetically linked poliovirus isolates related to the serotype 2 Sabin vaccine strain were detected in 21 of 52 sequential sewage samples collected in London between Feb 8 and July 4, 2022. Expansion of environmental surveillance sites in London helped localise transmission to several boroughs in north and east London. All isolates have lost two key attenuating mutations, are recombinants with a species C enterovirus, and an increasing proportion (20 of 118) meet the criterion for a vaccine-derived poliovirus, having six to ten nucleotide changes in the gene coding for VP1 capsid protein.INTERPRETATION: Environmental surveillance allowed early detection of poliovirus importation and circulation in London, permitting a rapid public health response, including enhanced surveillance and an inactivated polio vaccine campaign among children aged 1-9 years. Whole-genome sequences generated through nanopore sequencing established linkage of isolates and confirmed transmission of a unique recombinant poliovirus lineage that has now been detected in Israel and the USA.FUNDING: Medicines and Healthcare products Regulatory Agency, UK Health Security Agency, Bill &amp; Melinda Gates Foundation, and National Institute for Health Research Medical Research Council.© 2022 Crown Copyright claimed by UK, Canadian or Australian Government employee. This is an Open Access article under the OGL 3.0 license.&quot;,&quot;author&quot;:[{&quot;family&quot;:&quot;Klapsa&quot;,&quot;given&quot;:&quot;Dimitra&quot;},{&quot;family&quot;:&quot;Wilton&quot;,&quot;given&quot;:&quot;Thomas&quot;},{&quot;family&quot;:&quot;Zealand&quot;,&quot;given&quot;:&quot;Andrew&quot;},{&quot;family&quot;:&quot;Bujaki&quot;,&quot;given&quot;:&quot;Erika&quot;},{&quot;family&quot;:&quot;Saxentoff&quot;,&quot;given&quot;:&quot;Eugene&quot;},{&quot;family&quot;:&quot;Troman&quot;,&quot;given&quot;:&quot;Catherine&quot;},{&quot;family&quot;:&quot;Shaw&quot;,&quot;given&quot;:&quot;Alexander G&quot;},{&quot;family&quot;:&quot;Tedcastle&quot;,&quot;given&quot;:&quot;Alison&quot;},{&quot;family&quot;:&quot;Majumdar&quot;,&quot;given&quot;:&quot;Manasi&quot;},{&quot;family&quot;:&quot;Mate&quot;,&quot;given&quot;:&quot;Ryan&quot;},{&quot;family&quot;:&quot;Akello&quot;,&quot;given&quot;:&quot;Joyce O&quot;},{&quot;family&quot;:&quot;Huseynov&quot;,&quot;given&quot;:&quot;Shahin&quot;},{&quot;family&quot;:&quot;Zeb&quot;,&quot;given&quot;:&quot;Ali&quot;},{&quot;family&quot;:&quot;Zambon&quot;,&quot;given&quot;:&quot;Maria&quot;},{&quot;family&quot;:&quot;Bell&quot;,&quot;given&quot;:&quot;Anita&quot;},{&quot;family&quot;:&quot;Hagan&quot;,&quot;given&quot;:&quot;José&quot;},{&quot;family&quot;:&quot;Wade&quot;,&quot;given&quot;:&quot;Matthew J&quot;},{&quot;family&quot;:&quot;Ramsay&quot;,&quot;given&quot;:&quot;Mary&quot;},{&quot;family&quot;:&quot;Grassly&quot;,&quot;given&quot;:&quot;Nicholas C&quot;},{&quot;family&quot;:&quot;Saliba&quot;,&quot;given&quot;:&quot;Vanessa&quot;},{&quot;family&quot;:&quot;Martin&quot;,&quot;given&quot;:&quot;Javier&quot;}],&quot;issued&quot;:{&quot;date-parts&quot;:[[&quot;2022&quot;,&quot;10&quot;,&quot;29&quot;]]},&quot;DOI&quot;:&quot;10.1016/S0140-6736(22)01804-9&quot;,&quot;PMID&quot;:&quot;36243024&quot;,&quot;PMCID&quot;:&quot;PMC9627700&quot;,&quot;citation-label&quot;:&quot;13835494&quot;},{&quot;genre&quot;:&quot;Computer software&quot;,&quot;title&quot;:&quot;_geosphere: Spherical Trigonometry_. R package&quot;,&quot;version&quot;:&quot;version 1.5-18&quot;,&quot;id&quot;:&quot;16577424&quot;,&quot;type&quot;:&quot;book&quot;,&quot;author&quot;:[{&quot;family&quot;:&quot;Hijmans&quot;,&quot;given&quot;:&quot;R&quot;}],&quot;issued&quot;:{&quot;date-parts&quot;:[[]]},&quot;citation-label&quot;:&quot;16577424&quot;},{&quot;genre&quot;:&quot;Computer software&quot;,&quot;title&quot;:&quot;_R: A Language and Environment for Statistical Computing_&quot;,&quot;publisher&quot;:&quot;R Foundation for Statistical Computing&quot;,&quot;version&quot;:&quot;4.3.2&quot;,&quot;id&quot;:&quot;16577410&quot;,&quot;type&quot;:&quot;book&quot;,&quot;author&quot;:[{&quot;family&quot;:&quot;R Core Team&quot;}],&quot;issued&quot;:{&quot;date-parts&quot;:[[&quot;2023&quot;]]},&quot;publisher-place&quot;:&quot;Vienna, Autria&quot;,&quot;citation-label&quot;:&quot;16577410&quot;},{&quot;title&quot;:&quot;Polio laboratory manual&quot;,&quot;page&quot;:&quot;168&quot;,&quot;edition&quot;:&quot;4th&quot;,&quot;id&quot;:&quot;16577392&quot;,&quot;type&quot;:&quot;book&quot;,&quot;author&quot;:[{&quot;family&quot;:&quot;WHO&quot;}],&quot;issued&quot;:{&quot;date-parts&quot;:[[&quot;2004&quot;]]},&quot;publisher-place&quot;:&quot;Geneva&quot;,&quot;citation-label&quot;:&quot;16577392&quot;},{&quot;title&quot;:&quot;Standard Operating Procedures: Responding To A Poliovirus Event Or Outbreak, Version 4&quot;,&quot;publisher&quot;:&quot;World Health Organization&quot;,&quot;page&quot;:&quot;92&quot;,&quot;id&quot;:&quot;16574247&quot;,&quot;type&quot;:&quot;book&quot;,&quot;author&quot;:[{&quot;family&quot;:&quot;WHO&quot;}],&quot;issued&quot;:{&quot;date-parts&quot;:[[&quot;2022&quot;]]},&quot;ISBN&quot;:&quot;978-92-4-004915-4&quot;,&quot;citation-label&quot;:&quot;16574247&quot;},{&quot;title&quot;:&quot;Global Polio Surveillance Action Plan 2022-2024&quot;,&quot;publisher&quot;:&quot;World Health Organization&quot;,&quot;page&quot;:&quot;90&quot;,&quot;id&quot;:&quot;16573887&quot;,&quot;type&quot;:&quot;book&quot;,&quot;author&quot;:[{&quot;family&quot;:&quot;WHO&quot;}],&quot;issued&quot;:{&quot;date-parts&quot;:[[&quot;2022&quot;]]},&quot;ISBN&quot;:&quot;978-92-4-004731-0&quot;,&quot;citation-label&quot;:&quot;16573887&quot;},{&quot;title&quot;:&quot;Surveillance to Track Progress Toward Polio Eradication - Worldwide, 2018-2019.&quot;,&quot;page&quot;:&quot;623-629&quot;,&quot;volume&quot;:&quot;69&quot;,&quot;issue&quot;:&quot;20&quot;,&quot;journalAbbreviation&quot;:&quot;MMWR Morb Mortal Wkly Rep&quot;,&quot;id&quot;:&quot;16573866&quot;,&quot;type&quot;:&quot;article-journal&quot;,&quot;container-title&quot;:&quot;MMWR. Morbidity and Mortality Weekly Report&quot;,&quot;container-title-short&quot;:&quot;MMWR Morb Mortal Wkly Rep&quot;,&quot;abstract&quot;:&quot;Since the Global Polio Eradication Initiative (GPEI) was launched in 1988, the number of polio cases worldwide has declined approximately 99.99%; only two countries (Afghanistan and Pakistan) have never interrupted wild poliovirus (WPV) transmission (1). The primary means of detecting poliovirus circulation is through surveillance for acute flaccid paralysis (AFP) among children aged &lt; 15 years with testing of stool specimens for WPV and vaccine-derived polioviruses (VDPVs) (genetically reverted strains of the vaccine virus that regain neurovirulence) in World Health Organization (WHO)-accredited laboratories (2,3). In many locations, AFP surveillance is supplemented by environmental surveillance, the regular collection and testing of sewage to provide awareness of the extent and duration of poliovirus circulation (3). This report presents 2018-2019 poliovirus surveillance data, focusing on 40 priority countries* with WPV or VDPV outbreaks or at high risk for importation because of their proximity to a country with an outbreak. The number of priority countries rose from 31 in 2018 to 40 in 2019 because of a substantial increase in the number of VDPV outbreaks† (2,4). In areas with low poliovirus immunity, VDPVs can circulate in the community and cause outbreaks of paralysis; these are known as circulating vaccine derived polioviruses (cVDPVs) (4). In 2019, only 25 (63%) of the 40 designated priority countries met AFP surveillance indicators nationally; subnational surveillance performance varied widely and indicated focal weaknesses. High quality, sensitive surveillance is important to ensure timely detection and response to cVDPV and WPV transmission.&quot;,&quot;author&quot;:[{&quot;family&quot;:&quot;Lickness&quot;,&quot;given&quot;:&quot;Jacquelyn S&quot;},{&quot;family&quot;:&quot;Gardner&quot;,&quot;given&quot;:&quot;Tracie&quot;},{&quot;family&quot;:&quot;Diop&quot;,&quot;given&quot;:&quot;Ousmane M&quot;},{&quot;family&quot;:&quot;Chavan&quot;,&quot;given&quot;:&quot;Smita&quot;},{&quot;family&quot;:&quot;Jorba&quot;,&quot;given&quot;:&quot;Jaume&quot;},{&quot;family&quot;:&quot;Ahmed&quot;,&quot;given&quot;:&quot;Jamal&quot;},{&quot;family&quot;:&quot;Gumede&quot;,&quot;given&quot;:&quot;Nicksy&quot;},{&quot;family&quot;:&quot;Johnson&quot;,&quot;given&quot;:&quot;Ticha&quot;},{&quot;family&quot;:&quot;Butt&quot;,&quot;given&quot;:&quot;Obaid&quot;},{&quot;family&quot;:&quot;Asghar&quot;,&quot;given&quot;:&quot;Humayun&quot;},{&quot;family&quot;:&quot;Saxentoff&quot;,&quot;given&quot;:&quot;Eugene&quot;},{&quot;family&quot;:&quot;Grabovac&quot;,&quot;given&quot;:&quot;Varja&quot;},{&quot;family&quot;:&quot;Avagyan&quot;,&quot;given&quot;:&quot;Tigran&quot;},{&quot;family&quot;:&quot;Joshi&quot;,&quot;given&quot;:&quot;Sudhir&quot;},{&quot;family&quot;:&quot;Rey-Benito&quot;,&quot;given&quot;:&quot;Gloria&quot;},{&quot;family&quot;:&quot;Iber&quot;,&quot;given&quot;:&quot;Jane&quot;},{&quot;family&quot;:&quot;Henderson&quot;,&quot;given&quot;:&quot;Elizabeth&quot;},{&quot;family&quot;:&quot;Wassilak&quot;,&quot;given&quot;:&quot;Steven G F&quot;},{&quot;family&quot;:&quot;Anand&quot;,&quot;given&quot;:&quot;Abhijeet&quot;}],&quot;issued&quot;:{&quot;date-parts&quot;:[[&quot;2020&quot;,&quot;5&quot;,&quot;22&quot;]]},&quot;DOI&quot;:&quot;10.15585/mmwr.mm6920a3&quot;,&quot;PMID&quot;:&quot;32437342&quot;,&quot;citation-label&quot;:&quot;16573866&quot;},{&quot;title&quot;:&quot;Polio Information System&quot;,&quot;accessed&quot;:{&quot;date-parts&quot;:[[&quot;2024&quot;,&quot;6&quot;,&quot;18&quot;]]},&quot;id&quot;:&quot;16573863&quot;,&quot;type&quot;:&quot;webpage&quot;,&quot;author&quot;:[{&quot;family&quot;:&quot;W H O&quot;}],&quot;issued&quot;:{&quot;date-parts&quot;:[[]]},&quot;URL&quot;:&quot;https://extranet.who.int/polis/public/CaseCount.aspx&quot;,&quot;citation-label&quot;:&quot;16573863&quot;},{&quot;title&quot;:&quot;Preventing Vaccine-Derived Poliovirus Emergence during the Polio Endgame.&quot;,&quot;page&quot;:&quot;e1005728&quot;,&quot;volume&quot;:&quot;12&quot;,&quot;issue&quot;:&quot;7&quot;,&quot;journalAbbreviation&quot;:&quot;PLoS Pathog.&quot;,&quot;id&quot;:&quot;4256972&quot;,&quot;type&quot;:&quot;article-journal&quot;,&quot;container-title&quot;:&quot;PLoS Pathogens&quot;,&quot;container-title-short&quot;:&quot;PLoS Pathog.&quot;,&quot;abstract&quot;:&quot;Reversion and spread of vaccine-derived poliovirus (VDPV) to cause outbreaks of poliomyelitis is a rare outcome resulting from immunisation with the live-attenuated oral poliovirus vaccines (OPVs). Global withdrawal of all three OPV serotypes is therefore a key objective of the polio endgame strategic plan, starting with serotype 2 (OPV2) in April 2016. Supplementary immunisation activities (SIAs) with trivalent OPV (tOPV) in advance of this date could mitigate the risks of OPV2 withdrawal by increasing serotype-2 immunity, but may also create new serotype-2 VDPV (VDPV2). Here, we examine the risk factors for VDPV2 emergence and implications for the strategy of tOPV SIAs prior to OPV2 withdrawal. We first developed mathematical models of VDPV2 emergence and spread. We found that in settings with low routine immunisation coverage, the implementation of a single SIA increases the risk of VDPV2 emergence. If routine coverage is 20%, at least 3 SIAs are needed to bring that risk close to zero, and if SIA coverage is low or there are persistently \&quot;missed\&quot; groups, the risk remains high despite the implementation of multiple SIAs. We then analysed data from Nigeria on the 29 VDPV2 emergences that occurred during 2004-2014. Districts reporting the first case of poliomyelitis associated with a VDPV2 emergence were compared to districts with no VDPV2 emergence in the same 6-month period using conditional logistic regression. In agreement with the model results, the odds of VDPV2 emergence decreased with higher routine immunisation coverage (odds ratio 0.67 for a 10% absolute increase in coverage [95% confidence interval 0.55-0.82]). We also found that the probability of a VDPV2 emergence resulting in poliomyelitis in &gt;1 child was significantly higher in districts with low serotype-2 population immunity. Our results support a strategy of focused tOPV SIAs before OPV2 withdrawal in areas at risk of VDPV2 emergence and in sufficient number to raise population immunity above the threshold permitting VDPV2 circulation. A failure to implement this risk-based approach could mean these SIAs actually increase the risk of VDPV2 emergence and spread.&quot;,&quot;author&quot;:[{&quot;family&quot;:&quot;Pons-Salort&quot;,&quot;given&quot;:&quot;Margarita&quot;},{&quot;family&quot;:&quot;Burns&quot;,&quot;given&quot;:&quot;Cara C&quot;},{&quot;family&quot;:&quot;Lyons&quot;,&quot;given&quot;:&quot;Hil&quot;},{&quot;family&quot;:&quot;Blake&quot;,&quot;given&quot;:&quot;Isobel M&quot;},{&quot;family&quot;:&quot;Jafari&quot;,&quot;given&quot;:&quot;Hamid&quot;},{&quot;family&quot;:&quot;Oberste&quot;,&quot;given&quot;:&quot;M Steven&quot;},{&quot;family&quot;:&quot;Kew&quot;,&quot;given&quot;:&quot;Olen M&quot;},{&quot;family&quot;:&quot;Grassly&quot;,&quot;given&quot;:&quot;Nicholas C&quot;}],&quot;issued&quot;:{&quot;date-parts&quot;:[[&quot;2016&quot;,&quot;7&quot;,&quot;6&quot;]]},&quot;DOI&quot;:&quot;10.1371/journal.ppat.1005728&quot;,&quot;PMID&quot;:&quot;27384947&quot;,&quot;PMCID&quot;:&quot;PMC4934862&quot;,&quot;citation-label&quot;:&quot;4256972&quot;},{&quot;title&quot;:&quot;What’s next for the novel oral polio vaccine type 2 (nOPV2) now that it’s been WHO-prequalified? – GPEI&quot;,&quot;accessed&quot;:{&quot;date-parts&quot;:[[&quot;2024&quot;,&quot;3&quot;,&quot;1&quot;]]},&quot;id&quot;:&quot;16134858&quot;,&quot;type&quot;:&quot;webpage&quot;,&quot;issued&quot;:{&quot;date-parts&quot;:[[]]},&quot;URL&quot;:&quot;https://polioeradication.org/news-post/whats-next-for-the-novel-oral-polio-vaccine-type-2-nopv2-now-that-its-been-who-prequalified/&quot;,&quot;citation-label&quot;:&quot;16134858&quot;},{&quot;title&quot;:&quot;Wild poliovirus type 1 and type 3 importations--15 countries, Africa, 2008-2009.&quot;,&quot;page&quot;:&quot;357-362&quot;,&quot;volume&quot;:&quot;58&quot;,&quot;issue&quot;:&quot;14&quot;,&quot;journalAbbreviation&quot;:&quot;MMWR Morb Mortal Wkly Rep&quot;,&quot;id&quot;:&quot;16134854&quot;,&quot;type&quot;:&quot;article-journal&quot;,&quot;container-title&quot;:&quot;MMWR. Morbidity and Mortality Weekly Report&quot;,&quot;container-title-short&quot;:&quot;MMWR Morb Mortal Wkly Rep&quot;,&quot;abstract&quot;:&quot;The Global Polio Eradication Initiative began in 1988; by 2006, indigenous transmission of wild poliovirus (WPV) type 2 infection had been interrupted globally, and indigenous transmission of type 1 and 3 (WPV1 and WPV3) infection had been interrupted in all but four countries worldwide (Afghanistan, India, Nigeria, and Pakistan). Despite this success in controlling indigenous transmission, during 2002-2006, 20 previously polio-free countries in Africa and Asia had importations of WPV1 originating from Nigeria, and three polio-free countries in Africa had WPV1 importations originating from India. By the end of 2007, control efforts in all countries except Angola, Chad, Democratic Republic of the Congo (DRC), Niger, and Sudan had stopped transmission of WPV1 caused by these importations. However, during 2008-2009, multiple importations of WPV from countries with ongoing transmission resumed in Africa. This report describes 32 WPV importations into 15 African countries, resulting in 96 polio cases during January 2008-March 2009 and persistent WPV transmission in five previously polio-free African countries. As with the 2002-2006 resurgence, all of the importations originated from Nigeria or India, but more rapid WPV identification and response resulted in substantially fewer polio cases than reported during 2002-2006. Sensitive surveillance and continued rapid response supplemental immunization activities (SIAs) are key to limiting further WPV spread, interrupting the outbreaks, and allowing the polio prevention focus in Africa to return to eradicating polio in countries with persistent WPV transmission.&quot;,&quot;author&quot;:[{&quot;family&quot;:&quot;Centers for Disease Control and Prevention (CDC)&quot;}],&quot;issued&quot;:{&quot;date-parts&quot;:[[&quot;2009&quot;,&quot;4&quot;,&quot;17&quot;]]},&quot;PMID&quot;:&quot;19373195&quot;,&quot;citation-label&quot;:&quot;16134854&quot;},{&quot;title&quot;:&quot;Resurgence of wild poliovirus type 1 transmission and consequences of importation--21 countries, 2002-2005.&quot;,&quot;page&quot;:&quot;145-150&quot;,&quot;volume&quot;:&quot;55&quot;,&quot;issue&quot;:&quot;6&quot;,&quot;journalAbbreviation&quot;:&quot;MMWR Morb Mortal Wkly Rep&quot;,&quot;id&quot;:&quot;6658122&quot;,&quot;type&quot;:&quot;article-journal&quot;,&quot;container-title&quot;:&quot;MMWR. Morbidity and Mortality Weekly Report&quot;,&quot;container-title-short&quot;:&quot;MMWR Morb Mortal Wkly Rep&quot;,&quot;abstract&quot;:&quot;After the 1988 World Health Assembly resolution to eradicate poliomyelitis globally, the number of polio-endemic countries decreased from 125 in 1988 to six (Afghanistan, Egypt, India, Niger, Nigeria, and Pakistan) in 2003. However, during 2002-2005, a total of 21 previously polio-free countries were affected by importations of wild poliovirus (WPV) type 1 from the six remaining countries (primarily Nigeria) where WPV was endemic; four countries (Indonesia, Somalia, Sudan, and Yemen) had outbreaks of &gt;100 polio cases. By the end of 2005, WPV transmission in all 21 countries except Somalia had been interrupted or substantially curtailed. This report summarizes WPV importations into polio-free countries during 2002-2005 and the status of WPV transmission in these countries as of January 24, 2006, and describes actions that polio-free countries can take to improve importation preparedness.&quot;,&quot;author&quot;:[{&quot;family&quot;:&quot;Centers for Disease Control and Prevention (CDC)&quot;}],&quot;issued&quot;:{&quot;date-parts&quot;:[[&quot;2006&quot;,&quot;2&quot;,&quot;17&quot;]]},&quot;PMID&quot;:&quot;16484977&quot;,&quot;citation-label&quot;:&quot;6658122&quot;},{&quot;title&quot;:&quot;The eradication of polio--progress and challenges.&quot;,&quot;page&quot;:&quot;2508-2511&quot;,&quot;volume&quot;:&quot;355&quot;,&quot;issue&quot;:&quot;24&quot;,&quot;journalAbbreviation&quot;:&quot;N. Engl. J. Med.&quot;,&quot;id&quot;:&quot;6272460&quot;,&quot;type&quot;:&quot;article-journal&quot;,&quot;container-title&quot;:&quot;The New England Journal of Medicine&quot;,&quot;container-title-short&quot;:&quot;N. Engl. J. Med.&quot;,&quot;author&quot;:[{&quot;family&quot;:&quot;Pallansch&quot;,&quot;given&quot;:&quot;Mark A&quot;},{&quot;family&quot;:&quot;Sandhu&quot;,&quot;given&quot;:&quot;Hardeep S&quot;}],&quot;issued&quot;:{&quot;date-parts&quot;:[[&quot;2006&quot;,&quot;12&quot;,&quot;14&quot;]]},&quot;DOI&quot;:&quot;10.1056/NEJMp068200&quot;,&quot;PMID&quot;:&quot;17167133&quot;,&quot;citation-label&quot;:&quot;6272460&quot;},{&quot;title&quot;:&quot;The Origins and Risk Factors for Serotype-2 Vaccine-Derived Poliovirus Emergences in Africa During 2016-2019.&quot;,&quot;page&quot;:&quot;80-88&quot;,&quot;volume&quot;:&quot;228&quot;,&quot;issue&quot;:&quot;1&quot;,&quot;journalAbbreviation&quot;:&quot;J. Infect. Dis.&quot;,&quot;id&quot;:&quot;16054414&quot;,&quot;type&quot;:&quot;article-journal&quot;,&quot;container-title&quot;:&quot;The Journal of Infectious Diseases&quot;,&quot;container-title-short&quot;:&quot;J. Infect. Dis.&quot;,&quot;abstract&quot;:&quot;Serotype 2 oral poliovirus vaccine (OPV2) can revert to regain wild-type neurovirulence and spread to cause emergences of vaccine-derived poliovirus (VDPV2). After its global withdrawal from routine immunization in 2016, outbreak response use has created a cycle of VDPV2 emergences that threaten eradication. We implemented a hierarchical model based on VP1 region genetic divergence, time, and location to attribute emergences to campaigns and identify risk factors. We found that a 10 percentage point increase in population immunity in children younger than 5 years at the campaign time and location corresponds to a 18.0% decrease (95% credible interval [CrI], 6.3%-28%) in per-campaign relative risk, and that campaign size is associated with emergence risk (relative risk scaling with population size to a power of 0.80; 95% CrI, .50-1.10). Our results imply how Sabin OPV2 can be used alongside the genetically stable but supply-limited novel OPV2 (listed for emergency use in November 2020) to minimize emergence risk.© The Author(s) 2023. Published by Oxford University Press on behalf of Infectious Diseases Society of America.&quot;,&quot;author&quot;:[{&quot;family&quot;:&quot;Gray&quot;,&quot;given&quot;:&quot;Elizabeth J&quot;},{&quot;family&quot;:&quot;Cooper&quot;,&quot;given&quot;:&quot;Laura V&quot;},{&quot;family&quot;:&quot;Bandyopadhyay&quot;,&quot;given&quot;:&quot;Ananda S&quot;},{&quot;family&quot;:&quot;Blake&quot;,&quot;given&quot;:&quot;Isobel M&quot;},{&quot;family&quot;:&quot;Grassly&quot;,&quot;given&quot;:&quot;Nicholas C&quot;}],&quot;issued&quot;:{&quot;date-parts&quot;:[[&quot;2023&quot;,&quot;6&quot;,&quot;28&quot;]]},&quot;DOI&quot;:&quot;10.1093/infdis/jiad004&quot;,&quot;PMID&quot;:&quot;36630295&quot;,&quot;PMCID&quot;:&quot;PMC10304761&quot;,&quot;citation-label&quot;:&quot;16054414&quot;},{&quot;title&quot;:&quot;Analysis of vaccination campaign effectiveness and population immunity to support and sustain polio elimination in Nigeria.&quot;,&quot;page&quot;:&quot;60&quot;,&quot;volume&quot;:&quot;14&quot;,&quot;journalAbbreviation&quot;:&quot;BMC Med.&quot;,&quot;id&quot;:&quot;4257268&quot;,&quot;type&quot;:&quot;article-journal&quot;,&quot;container-title&quot;:&quot;BMC Medicine&quot;,&quot;container-title-short&quot;:&quot;BMC Med.&quot;,&quot;abstract&quot;:&quot;BACKGROUND: The world is closer than ever to a polio-free Africa. In this end-stage, it is important to ensure high levels of population immunity to prevent polio outbreaks. Here, we introduce a new method of assessing vaccination campaign effectiveness and estimating immunity at the district-level. We demonstrate how this approach can be used to plan the vaccination campaigns prospectively to better manage population immunity in Northern Nigeria.METHODS: Using Nigerian acute flaccid paralysis surveillance data from 2004-2014, we developed a Bayesian hierarchical model of campaign effectiveness and compared it to lot-quality assurance sampling data. We then used reconstructed sero-specific population immunity based on campaign history and compared district estimates of immunity to the occurrence of confirmed poliovirus cases.RESULTS: Estimated campaign effectiveness has improved across northern Nigeria since 2004, with Kano state experiencing an increase of 40 % (95 % CI, 26-54 %) in effectiveness from 2013 to 2014. Immunity to type 1 poliovirus has increased steadily. On the other hand, type 2 immunity was low and variable until the recent use of trivalent oral polio vaccine. We find that immunity estimates are related to the occurrence of both wild and vaccine-derived poliovirus cases and that campaign effectiveness correlates with direct measurements using lot-quality assurance sampling. Future campaign schedules highlight the trade-offs involved with using different vaccine types.CONCLUSIONS: The model in this study provides a novel method for assessing vaccination campaign performance and epidemiologically-relevant estimates of population immunity. Small-area estimates of campaign effectiveness can then be used to evaluate prospective campaign plans. This modeling approach could be applied to other countries as well as other vaccine preventable diseases.&quot;,&quot;author&quot;:[{&quot;family&quot;:&quot;Upfill-Brown&quot;,&quot;given&quot;:&quot;Alexander M&quot;},{&quot;family&quot;:&quot;Voorman&quot;,&quot;given&quot;:&quot;Arend&quot;},{&quot;family&quot;:&quot;Chabot-Couture&quot;,&quot;given&quot;:&quot;Guillaume&quot;},{&quot;family&quot;:&quot;Shuaib&quot;,&quot;given&quot;:&quot;Faisal&quot;},{&quot;family&quot;:&quot;Lyons&quot;,&quot;given&quot;:&quot;Hil M&quot;}],&quot;issued&quot;:{&quot;date-parts&quot;:[[&quot;2016&quot;,&quot;3&quot;,&quot;30&quot;]]},&quot;DOI&quot;:&quot;10.1186/s12916-016-0600-z&quot;,&quot;PMID&quot;:&quot;27029535&quot;,&quot;PMCID&quot;:&quot;PMC4812602&quot;,&quot;citation-label&quot;:&quot;4257268&quot;},{&quot;title&quot;:&quot;HIV epidemiology. The early spread and epidemic ignition of HIV-1 in human populations.&quot;,&quot;page&quot;:&quot;56-61&quot;,&quot;volume&quot;:&quot;346&quot;,&quot;issue&quot;:&quot;6205&quot;,&quot;journalAbbreviation&quot;:&quot;Science&quot;,&quot;id&quot;:&quot;610298&quot;,&quot;type&quot;:&quot;article-journal&quot;,&quot;container-title&quot;:&quot;Science&quot;,&quot;container-title-short&quot;:&quot;Science&quot;,&quot;abstract&quot;:&quot;Thirty years after the discovery of HIV-1, the early transmission, dissemination, and establishment of the virus in human populations remain unclear. Using statistical approaches applied to HIV-1 sequence data from central Africa, we show that from the 1920s Kinshasa (in what is now the Democratic Republic of Congo) was the focus of early transmission and the source of pre-1960 pandemic viruses elsewhere. Location and dating estimates were validated using the earliest HIV-1 archival sample, also from Kinshasa. The epidemic histories of HIV-1 group M and nonpandemic group O were similar until ~1960, after which group M underwent an epidemiological transition and outpaced regional population growth. Our results reconstruct the early dynamics of HIV-1 and emphasize the role of social changes and transport networks in the establishment of this virus in human populations.Copyright © 2014, American Association for the Advancement of Science.&quot;,&quot;author&quot;:[{&quot;family&quot;:&quot;Faria&quot;,&quot;given&quot;:&quot;Nuno R&quot;},{&quot;family&quot;:&quot;Rambaut&quot;,&quot;given&quot;:&quot;Andrew&quot;},{&quot;family&quot;:&quot;Suchard&quot;,&quot;given&quot;:&quot;Marc A&quot;},{&quot;family&quot;:&quot;Baele&quot;,&quot;given&quot;:&quot;Guy&quot;},{&quot;family&quot;:&quot;Bedford&quot;,&quot;given&quot;:&quot;Trevor&quot;},{&quot;family&quot;:&quot;Ward&quot;,&quot;given&quot;:&quot;Melissa J&quot;},{&quot;family&quot;:&quot;Tatem&quot;,&quot;given&quot;:&quot;Andrew J&quot;},{&quot;family&quot;:&quot;Sousa&quot;,&quot;given&quot;:&quot;João D&quot;},{&quot;family&quot;:&quot;Arinaminpathy&quot;,&quot;given&quot;:&quot;Nimalan&quot;},{&quot;family&quot;:&quot;Pépin&quot;,&quot;given&quot;:&quot;Jacques&quot;},{&quot;family&quot;:&quot;Posada&quot;,&quot;given&quot;:&quot;David&quot;},{&quot;family&quot;:&quot;Peeters&quot;,&quot;given&quot;:&quot;Martine&quot;},{&quot;family&quot;:&quot;Pybus&quot;,&quot;given&quot;:&quot;Oliver G&quot;},{&quot;family&quot;:&quot;Lemey&quot;,&quot;given&quot;:&quot;Philippe&quot;}],&quot;issued&quot;:{&quot;date-parts&quot;:[[&quot;2014&quot;,&quot;10&quot;,&quot;3&quot;]]},&quot;DOI&quot;:&quot;10.1126/science.1256739&quot;,&quot;PMID&quot;:&quot;25278604&quot;,&quot;PMCID&quot;:&quot;PMC4254776&quot;,&quot;citation-label&quot;:&quot;610298&quot;},{&quot;title&quot;:&quot;Bayes Factors&quot;,&quot;page&quot;:&quot;773-795&quot;,&quot;volume&quot;:&quot;90&quot;,&quot;issue&quot;:&quot;430&quot;,&quot;journalAbbreviation&quot;:&quot;J. Am. Stat. Assoc.&quot;,&quot;id&quot;:&quot;948471&quot;,&quot;type&quot;:&quot;article-journal&quot;,&quot;container-title&quot;:&quot;Journal of the American Statistical Association&quot;,&quot;container-title-short&quot;:&quot;J. Am. Stat. Assoc.&quot;,&quot;abstract&quot;:&quot;In a 1935 paper and in his book Theory of Probability, Jeffreys developed a methodology for quantifying the evidence in favor of a scientific theory. The centerpiece was a number, now called the Bayes factor, which is the posterior odds of the null hypothesis when the prior probability on the null is one-half. Although there has been much discussion of Bayesian hypothesis testing in the context of criticism of P-values, less attention has been given to the Bayes factor as a practical tool of applied statistics. In this article we review and discuss the uses of Bayes factors in the context of five scientific applications in genetics, sports, ecology, sociology, and psychology. We emphasize the following points: •From Jeffreys' Bayesian viewpoint, the purpose of hypothesis testing is to evaluate the evidence in favor of a scientific theory.•Bayes factors offer a way of evaluating evidence in favor of a null hypothesis.•Bayes factors provide a way of incorporating external information into the evaluation of evidence about a hypothesis.•Bayes factors are very general and do not require alternative models to be nested.•Several techniques are available for computing Bayes factors, including asymptotic approximations that are easy to compute using the output from standard packages that maximize likelihoods.•In “nonstandard” statistical models that do not satisfy common regularity conditions, it can be technically simpler to calculate Bayes factors than to derive non-Bayesian significance tests.•The Schwarz criterion (or BIC) gives a rough approximation to the logarithm of the Bayes factor, which is easy to use and does not require evaluation of prior distributions.•When one is interested in estimation or prediction, Bayes factors may be converted to weights to be attached to various models so that a composite estimate or prediction may be obtained that takes account of structural or model uncertainty.•Algorithms have been proposed that allow model uncertainty to be taken into account when the class of models initially considered is very large.•Bayes factors are useful for guiding an evolutionary model-building process.•It is important, and feasible, to assess the sensitivity of conclusions to the prior distributions used.&quot;,&quot;author&quot;:[{&quot;family&quot;:&quot;Kass&quot;,&quot;given&quot;:&quot;Robert E.&quot;},{&quot;family&quot;:&quot;Raftery&quot;,&quot;given&quot;:&quot;Adrian E.&quot;}],&quot;issued&quot;:{&quot;date-parts&quot;:[[&quot;1995&quot;,&quot;6&quot;]]},&quot;DOI&quot;:&quot;10.1080/01621459.1995.10476572&quot;,&quot;citation-label&quot;:&quot;948471&quot;},{&quot;title&quot;:&quot;Phylogeographic reconstruction of the emergence and spread of Powassan virus in the northeastern United States.&quot;,&quot;page&quot;:&quot;e2218012120&quot;,&quot;volume&quot;:&quot;120&quot;,&quot;issue&quot;:&quot;16&quot;,&quot;journalAbbreviation&quot;:&quot;Proc Natl Acad Sci USA&quot;,&quot;id&quot;:&quot;14718582&quot;,&quot;type&quot;:&quot;article-journal&quot;,&quot;container-title&quot;:&quot;Proceedings of the National Academy of Sciences of the United States of America&quot;,&quot;container-title-short&quot;:&quot;Proc Natl Acad Sci USA&quot;,&quot;abstract&quot;:&quot;Powassan virus is an emerging tick-borne virus of concern for public health, but very little is known about its transmission patterns and ecology. Here, we expanded the genomic dataset by sequencing 279 Powassan viruses isolated from Ixodes scapularis ticks from the northeastern United States. Our phylogeographic reconstructions revealed that Powassan virus lineage II was likely introduced or emerged from a relict population in the Northeast between 1940 and 1975. Sequences strongly clustered by sampling location, suggesting a highly focal geographical distribution. Our analyses further indicated that Powassan virus lineage II emerged in the northeastern United States mostly following a south-to-north pattern, with a weighted lineage dispersal velocity of ~3 km/y. Since the emergence in the Northeast, we found an overall increase in the effective population size of Powassan virus lineage II, but with growth stagnating during recent years. The cascading effect of population expansion of white-tailed deer and I. scapularis populations likely facilitated the emergence of Powassan virus in the northeastern United States.&quot;,&quot;author&quot;:[{&quot;family&quot;:&quot;Vogels&quot;,&quot;given&quot;:&quot;Chantal B F&quot;},{&quot;family&quot;:&quot;Brackney&quot;,&quot;given&quot;:&quot;Doug E&quot;},{&quot;family&quot;:&quot;Dupuis&quot;,&quot;given&quot;:&quot;Alan P&quot;},{&quot;family&quot;:&quot;Robich&quot;,&quot;given&quot;:&quot;Rebecca M&quot;},{&quot;family&quot;:&quot;Fauver&quot;,&quot;given&quot;:&quot;Joseph R&quot;},{&quot;family&quot;:&quot;Brito&quot;,&quot;given&quot;:&quot;Anderson F&quot;},{&quot;family&quot;:&quot;Williams&quot;,&quot;given&quot;:&quot;Scott C&quot;},{&quot;family&quot;:&quot;Anderson&quot;,&quot;given&quot;:&quot;John F&quot;},{&quot;family&quot;:&quot;Lubelczyk&quot;,&quot;given&quot;:&quot;Charles B&quot;},{&quot;family&quot;:&quot;Lange&quot;,&quot;given&quot;:&quot;Rachel E&quot;},{&quot;family&quot;:&quot;Prusinski&quot;,&quot;given&quot;:&quot;Melissa A&quot;},{&quot;family&quot;:&quot;Kramer&quot;,&quot;given&quot;:&quot;Laura D&quot;},{&quot;family&quot;:&quot;Gangloff-Kaufmann&quot;,&quot;given&quot;:&quot;Jody L&quot;},{&quot;family&quot;:&quot;Goodman&quot;,&quot;given&quot;:&quot;Laura B&quot;},{&quot;family&quot;:&quot;Baele&quot;,&quot;given&quot;:&quot;Guy&quot;},{&quot;family&quot;:&quot;Smith&quot;,&quot;given&quot;:&quot;Robert P&quot;},{&quot;family&quot;:&quot;Armstrong&quot;,&quot;given&quot;:&quot;Philip M&quot;},{&quot;family&quot;:&quot;Ciota&quot;,&quot;given&quot;:&quot;Alexander T&quot;},{&quot;family&quot;:&quot;Dellicour&quot;,&quot;given&quot;:&quot;Simon&quot;},{&quot;family&quot;:&quot;Grubaugh&quot;,&quot;given&quot;:&quot;Nathan D&quot;}],&quot;issued&quot;:{&quot;date-parts&quot;:[[&quot;2023&quot;,&quot;4&quot;,&quot;18&quot;]]},&quot;DOI&quot;:&quot;10.1073/pnas.2218012120&quot;,&quot;PMID&quot;:&quot;37040418&quot;,&quot;PMCID&quot;:&quot;PMC10120011&quot;,&quot;citation-label&quot;:&quot;14718582&quot;},{&quot;title&quot;:&quot;Counting labeled transitions in continuous-time Markov models of evolution.&quot;,&quot;page&quot;:&quot;391-412&quot;,&quot;volume&quot;:&quot;56&quot;,&quot;issue&quot;:&quot;3&quot;,&quot;journalAbbreviation&quot;:&quot;J. Math. Biol.&quot;,&quot;id&quot;:&quot;2066110&quot;,&quot;type&quot;:&quot;article-journal&quot;,&quot;container-title&quot;:&quot;Journal of Mathematical Biology&quot;,&quot;container-title-short&quot;:&quot;J. Math. Biol.&quot;,&quot;abstract&quot;:&quot;Counting processes that keep track of labeled changes to discrete evolutionary traits play critical roles in evolutionary hypothesis testing. If we assume that trait evolution can be described by a continuous-time Markov chain, then it suffices to study the process that counts labeled transitions of the chain. For a binary trait, we demonstrate that it is possible to obtain closed-form analytic solutions for the probability mass and probability generating functions of this evolutionary counting process. In the general, multi-state case we show how to compute moments of the counting process using an eigen decomposition of the infinitesimal generator, provided the latter is a diagonalizable matrix. We conclude with two examples that demonstrate the utility of our results.&quot;,&quot;author&quot;:[{&quot;family&quot;:&quot;Minin&quot;,&quot;given&quot;:&quot;Vladimir N&quot;},{&quot;family&quot;:&quot;Suchard&quot;,&quot;given&quot;:&quot;Marc A&quot;}],&quot;issued&quot;:{&quot;date-parts&quot;:[[&quot;2008&quot;,&quot;3&quot;]]},&quot;DOI&quot;:&quot;10.1007/s00285-007-0120-8&quot;,&quot;PMID&quot;:&quot;17874105&quot;,&quot;citation-label&quot;:&quot;2066110&quot;},{&quot;title&quot;:&quot;Posterior summarization in Bayesian phylogenetics using Tracer 1.7&quot;,&quot;page&quot;:&quot;901-904&quot;,&quot;volume&quot;:&quot;67&quot;,&quot;issue&quot;:&quot;5&quot;,&quot;journalAbbreviation&quot;:&quot;Syst. Biol.&quot;,&quot;id&quot;:&quot;5185759&quot;,&quot;type&quot;:&quot;article-journal&quot;,&quot;container-title&quot;:&quot;Systematic Biology&quot;,&quot;container-title-short&quot;:&quot;Syst. Biol.&quot;,&quot;abstract&quot;:&quot;Bayesian inference of phylogeny using Markov chain Monte Carlo (MCMC) plays a central role in understanding evolutionary history from molecular sequence data. Visualizing and analyzing the MCMC-generated samples from the posterior distribution is a key step in any non-trivial Bayesian inference. We present the software package Tracer (version 1.7) for visualizing and analyzing the MCMC trace files generated through Bayesian phylogenetic inference. Tracer provides kernel density estimation, multivariate visualization, demographic trajectory reconstruction, conditional posterior distribution summary, and more. Tracer is open-source and available at http://beast.community/tracer.&quot;,&quot;author&quot;:[{&quot;family&quot;:&quot;Rambaut&quot;,&quot;given&quot;:&quot;Andrew&quot;},{&quot;family&quot;:&quot;Drummond&quot;,&quot;given&quot;:&quot;Alexei J&quot;},{&quot;family&quot;:&quot;Xie&quot;,&quot;given&quot;:&quot;Dong&quot;},{&quot;family&quot;:&quot;Baele&quot;,&quot;given&quot;:&quot;Guy&quot;},{&quot;family&quot;:&quot;Suchard&quot;,&quot;given&quot;:&quot;Marc A&quot;}],&quot;issued&quot;:{&quot;date-parts&quot;:[[&quot;2018&quot;,&quot;9&quot;,&quot;1&quot;]]},&quot;DOI&quot;:&quot;10.1093/sysbio/syy032&quot;,&quot;PMID&quot;:&quot;29718447&quot;,&quot;PMCID&quot;:&quot;PMC6101584&quot;,&quot;citation-label&quot;:&quot;5185759&quot;},{&quot;title&quot;:&quot;BEAGLE 3: Improved Performance, Scaling, and Usability for a High-Performance Computing Library for Statistical Phylogenetics.&quot;,&quot;page&quot;:&quot;1052-1061&quot;,&quot;volume&quot;:&quot;68&quot;,&quot;issue&quot;:&quot;6&quot;,&quot;journalAbbreviation&quot;:&quot;Syst. Biol.&quot;,&quot;id&quot;:&quot;9160720&quot;,&quot;type&quot;:&quot;article-journal&quot;,&quot;container-title&quot;:&quot;Systematic Biology&quot;,&quot;container-title-short&quot;:&quot;Syst. Biol.&quot;,&quot;abstract&quot;:&quot;BEAGLE is a high-performance likelihood-calculation library for phylogenetic inference. The BEAGLE library defines a simple, but flexible, application programming interface (API), and includes a collection of efficient implementations for calculation under a variety of evolutionary models on different hardware devices. The library has been integrated into recent versions of popular phylogenetics software packages including BEAST and MrBayes and has been widely used across a diverse range of evolutionary studies. Here, we present BEAGLE 3 with new parallel implementations, increased performance for challenging data sets, improved scalability, and better usability. We have added new OpenCL and central processing unit-threaded implementations to the library, allowing the effective utilization of a wider range of modern hardware. Further, we have extended the API and library to support concurrent computation of independent partial likelihood arrays, for increased performance of nucleotide-model analyses with greater flexibility of data partitioning. For better scalability and usability, we have improved how phylogenetic software packages use BEAGLE in multi-GPU (graphics processing unit) and cluster environments, and introduced an automated method to select the fastest device given the data set, evolutionary model, and hardware. For application developers who wish to integrate the library, we also have developed an online tutorial. To evaluate the effect of the improvements, we ran a variety of benchmarks on state-of-the-art hardware. For a partitioned exemplar analysis, we observe run-time performance improvements as high as 5.9-fold over our previous GPU implementation. BEAGLE 3 is free, open-source software licensed under the Lesser GPL and available at https://beagle-dev.github.io.© The Author(s) 2019. Published by Oxford University Press, on behalf of the Society of Systematic Biologists.&quot;,&quot;author&quot;:[{&quot;family&quot;:&quot;Ayres&quot;,&quot;given&quot;:&quot;Daniel L&quot;},{&quot;family&quot;:&quot;Cummings&quot;,&quot;given&quot;:&quot;Michael P&quot;},{&quot;family&quot;:&quot;Baele&quot;,&quot;given&quot;:&quot;Guy&quot;},{&quot;family&quot;:&quot;Darling&quot;,&quot;given&quot;:&quot;Aaron E&quot;},{&quot;family&quot;:&quot;Lewis&quot;,&quot;given&quot;:&quot;Paul O&quot;},{&quot;family&quot;:&quot;Swofford&quot;,&quot;given&quot;:&quot;David L&quot;},{&quot;family&quot;:&quot;Huelsenbeck&quot;,&quot;given&quot;:&quot;John P&quot;},{&quot;family&quot;:&quot;Lemey&quot;,&quot;given&quot;:&quot;Philippe&quot;},{&quot;family&quot;:&quot;Rambaut&quot;,&quot;given&quot;:&quot;Andrew&quot;},{&quot;family&quot;:&quot;Suchard&quot;,&quot;given&quot;:&quot;Marc A&quot;}],&quot;issued&quot;:{&quot;date-parts&quot;:[[&quot;2019&quot;,&quot;11&quot;,&quot;1&quot;]]},&quot;DOI&quot;:&quot;10.1093/sysbio/syz020&quot;,&quot;PMID&quot;:&quot;31034053&quot;,&quot;PMCID&quot;:&quot;PMC6802572&quot;,&quot;citation-label&quot;:&quot;9160720&quot;},{&quot;title&quot;:&quot;Improving Bayesian population dynamics inference: a coalescent-based model for multiple loci.&quot;,&quot;page&quot;:&quot;713-724&quot;,&quot;volume&quot;:&quot;30&quot;,&quot;issue&quot;:&quot;3&quot;,&quot;journalAbbreviation&quot;:&quot;Mol. Biol. Evol.&quot;,&quot;id&quot;:&quot;387279&quot;,&quot;type&quot;:&quot;article-journal&quot;,&quot;container-title&quot;:&quot;Molecular Biology and Evolution&quot;,&quot;container-title-short&quot;:&quot;Mol. Biol. Evol.&quot;,&quot;abstract&quot;:&quot;Effective population size is fundamental in population genetics and characterizes genetic diversity. To infer past population dynamics from molecular sequence data, coalescent-based models have been developed for Bayesian nonparametric estimation of effective population size over time. Among the most successful is a Gaussian Markov random field (GMRF) model for a single gene locus. Here, we present a generalization of the GMRF model that allows for the analysis of multilocus sequence data. Using simulated data, we demonstrate the improved performance of our method to recover true population trajectories and the time to the most recent common ancestor (TMRCA). We analyze a multilocus alignment of HIV-1 CRF02_AG gene sequences sampled from Cameroon. Our results are consistent with HIV prevalence data and uncover some aspects of the population history that go undetected in Bayesian parametric estimation. Finally, we recover an older and more reconcilable TMRCA for a classic ancient DNA data set.&quot;,&quot;author&quot;:[{&quot;family&quot;:&quot;Gill&quot;,&quot;given&quot;:&quot;Mandev S&quot;},{&quot;family&quot;:&quot;Lemey&quot;,&quot;given&quot;:&quot;Philippe&quot;},{&quot;family&quot;:&quot;Faria&quot;,&quot;given&quot;:&quot;Nuno R&quot;},{&quot;family&quot;:&quot;Rambaut&quot;,&quot;given&quot;:&quot;Andrew&quot;},{&quot;family&quot;:&quot;Shapiro&quot;,&quot;given&quot;:&quot;Beth&quot;},{&quot;family&quot;:&quot;Suchard&quot;,&quot;given&quot;:&quot;Marc A&quot;}],&quot;issued&quot;:{&quot;date-parts&quot;:[[&quot;2013&quot;,&quot;3&quot;]]},&quot;DOI&quot;:&quot;10.1093/molbev/mss265&quot;,&quot;PMID&quot;:&quot;23180580&quot;,&quot;PMCID&quot;:&quot;PMC3563973&quot;,&quot;citation-label&quot;:&quot;387279&quot;},{&quot;title&quot;:&quot;BEAST 2: a software platform for Bayesian evolutionary analysis.&quot;,&quot;page&quot;:&quot;e1003537&quot;,&quot;volume&quot;:&quot;10&quot;,&quot;issue&quot;:&quot;4&quot;,&quot;journalAbbreviation&quot;:&quot;PLoS Comput. Biol.&quot;,&quot;id&quot;:&quot;387547&quot;,&quot;type&quot;:&quot;article-journal&quot;,&quot;container-title&quot;:&quot;PLoS Computational Biology&quot;,&quot;container-title-short&quot;:&quot;PLoS Comput. Biol.&quot;,&quot;abstract&quot;:&quot;We present a new open source, extensible and flexible software platform for Bayesian evolutionary analysis called BEAST 2. This software platform is a re-design of the popular BEAST 1 platform to correct structural deficiencies that became evident as the BEAST 1 software evolved. Key among those deficiencies was the lack of post-deployment extensibility. BEAST 2 now has a fully developed package management system that allows third party developers to write additional functionality that can be directly installed to the BEAST 2 analysis platform via a package manager without requiring a new software release of the platform. This package architecture is showcased with a number of recently published new models encompassing birth-death-sampling tree priors, phylodynamics and model averaging for substitution models and site partitioning. A second major improvement is the ability to read/write the entire state of the MCMC chain to/from disk allowing it to be easily shared between multiple instances of the BEAST software. This facilitates checkpointing and better support for multi-processor and high-end computing extensions. Finally, the functionality in new packages can be easily added to the user interface (BEAUti 2) by a simple XML template-based mechanism because BEAST 2 has been re-designed to provide greater integration between the analysis engine and the user interface so that, for example BEAST and BEAUti use exactly the same XML file format.&quot;,&quot;author&quot;:[{&quot;family&quot;:&quot;Bouckaert&quot;,&quot;given&quot;:&quot;Remco&quot;},{&quot;family&quot;:&quot;Heled&quot;,&quot;given&quot;:&quot;Joseph&quot;},{&quot;family&quot;:&quot;Kühnert&quot;,&quot;given&quot;:&quot;Denise&quot;},{&quot;family&quot;:&quot;Vaughan&quot;,&quot;given&quot;:&quot;Tim&quot;},{&quot;family&quot;:&quot;Wu&quot;,&quot;given&quot;:&quot;Chieh-Hsi&quot;},{&quot;family&quot;:&quot;Xie&quot;,&quot;given&quot;:&quot;Dong&quot;},{&quot;family&quot;:&quot;Suchard&quot;,&quot;given&quot;:&quot;Marc A&quot;},{&quot;family&quot;:&quot;Rambaut&quot;,&quot;given&quot;:&quot;Andrew&quot;},{&quot;family&quot;:&quot;Drummond&quot;,&quot;given&quot;:&quot;Alexei J&quot;}],&quot;issued&quot;:{&quot;date-parts&quot;:[[&quot;2014&quot;,&quot;4&quot;,&quot;10&quot;]]},&quot;DOI&quot;:&quot;10.1371/journal.pcbi.1003537&quot;,&quot;PMID&quot;:&quot;24722319&quot;,&quot;PMCID&quot;:&quot;PMC3985171&quot;,&quot;citation-label&quot;:&quot;387547&quot;},{&quot;title&quot;:&quot;RDP4: Detection and analysis of recombination patterns in virus genomes.&quot;,&quot;page&quot;:&quot;vev003&quot;,&quot;volume&quot;:&quot;1&quot;,&quot;issue&quot;:&quot;1&quot;,&quot;journalAbbreviation&quot;:&quot;Virus Evol.&quot;,&quot;id&quot;:&quot;4237582&quot;,&quot;type&quot;:&quot;article-journal&quot;,&quot;container-title&quot;:&quot;Virus evolution&quot;,&quot;container-title-short&quot;:&quot;Virus Evol.&quot;,&quot;abstract&quot;:&quot;RDP4 is the latest version of recombination detection program (RDP), a Windows computer program that implements an extensive array of methods for detecting and visualising recombination in, and stripping evidence of recombination from, virus genome sequence alignments. RDP4 is capable of analysing twice as many sequences (up to 2,500) that are up to three times longer (up to 10 Mb) than those that could be analysed by older versions of the program. RDP4 is therefore also applicable to the analysis of bacterial full-genome sequence datasets. Other novelties in RDP4 include (1) the capacity to differentiate between recombination and genome segment reassortment, (2) the estimation of recombination breakpoint confidence intervals, (3) a variety of 'recombination aware' phylogenetic tree construction and comparison tools, (4) new matrix-based visualisation tools for examining both individual recombination events and the overall phylogenetic impacts of multiple recombination events and (5) new tests to detect the influences of gene arrangements, encoded protein structure, nucleic acid secondary structure, nucleotide composition, and nucleotide diversity on recombination breakpoint patterns. The key feature of RDP4 that differentiates it from other recombination detection tools is its flexibility. It can be run either in fully automated mode from the command line interface or with a graphically rich user interface that enables detailed exploration of both individual recombination events and overall recombination patterns.&quot;,&quot;author&quot;:[{&quot;family&quot;:&quot;Martin&quot;,&quot;given&quot;:&quot;Darren P&quot;},{&quot;family&quot;:&quot;Murrell&quot;,&quot;given&quot;:&quot;Ben&quot;},{&quot;family&quot;:&quot;Golden&quot;,&quot;given&quot;:&quot;Michael&quot;},{&quot;family&quot;:&quot;Khoosal&quot;,&quot;given&quot;:&quot;Arjun&quot;},{&quot;family&quot;:&quot;Muhire&quot;,&quot;given&quot;:&quot;Brejnev&quot;}],&quot;issued&quot;:{&quot;date-parts&quot;:[[&quot;2015&quot;,&quot;5&quot;,&quot;26&quot;]]},&quot;DOI&quot;:&quot;10.1093/ve/vev003&quot;,&quot;PMID&quot;:&quot;27774277&quot;,&quot;PMCID&quot;:&quot;PMC5014473&quot;,&quot;citation-label&quot;:&quot;4237582&quot;},{&quot;title&quot;:&quot;ModelFinder: fast model selection for accurate phylogenetic estimates.&quot;,&quot;page&quot;:&quot;587-589&quot;,&quot;volume&quot;:&quot;14&quot;,&quot;issue&quot;:&quot;6&quot;,&quot;journalAbbreviation&quot;:&quot;Nat. Methods&quot;,&quot;id&quot;:&quot;3795968&quot;,&quot;type&quot;:&quot;article-journal&quot;,&quot;container-title&quot;:&quot;Nature Methods&quot;,&quot;container-title-short&quot;:&quot;Nat. Methods&quot;,&quot;abstract&quot;:&quot;Model-based molecular phylogenetics plays an important role in comparisons of genomic data, and model selection is a key step in all such analyses. We present ModelFinder, a fast model-selection method that greatly improves the accuracy of phylogenetic estimates by incorporating a model of rate heterogeneity across sites not previously considered in this context and by allowing concurrent searches of model space and tree space.&quot;,&quot;author&quot;:[{&quot;family&quot;:&quot;Kalyaanamoorthy&quot;,&quot;given&quot;:&quot;Subha&quot;},{&quot;family&quot;:&quot;Minh&quot;,&quot;given&quot;:&quot;Bui Quang&quot;},{&quot;family&quot;:&quot;Wong&quot;,&quot;given&quot;:&quot;Thomas K F&quot;},{&quot;family&quot;:&quot;von Haeseler&quot;,&quot;given&quot;:&quot;Arndt&quot;},{&quot;family&quot;:&quot;Jermiin&quot;,&quot;given&quot;:&quot;Lars S&quot;}],&quot;issued&quot;:{&quot;date-parts&quot;:[[&quot;2017&quot;,&quot;6&quot;]]},&quot;DOI&quot;:&quot;10.1038/nmeth.4285&quot;,&quot;PMID&quot;:&quot;28481363&quot;,&quot;PMCID&quot;:&quot;PMC5453245&quot;,&quot;citation-label&quot;:&quot;3795968&quot;},{&quot;title&quot;:&quot;FastTree 2 — approximately maximum-likelihood trees for large alignments.&quot;,&quot;page&quot;:&quot;e9490&quot;,&quot;volume&quot;:&quot;5&quot;,&quot;issue&quot;:&quot;3&quot;,&quot;journalAbbreviation&quot;:&quot;PLoS ONE&quot;,&quot;id&quot;:&quot;178753&quot;,&quot;type&quot;:&quot;article-journal&quot;,&quot;container-title&quot;:&quot;Plos One&quot;,&quot;container-title-short&quot;:&quot;PLoS ONE&quot;,&quot;abstract&quot;:&quot;BACKGROUND: We recently described FastTree, a tool for inferring phylogenies for alignments with up to hundreds of thousands of sequences. Here, we describe improvements to FastTree that improve its accuracy without sacrificing scalability.METHODOLOGY/PRINCIPAL FINDINGS: Where FastTree 1 used nearest-neighbor interchanges (NNIs) and the minimum-evolution criterion to improve the tree, FastTree 2 adds minimum-evolution subtree-pruning-regrafting (SPRs) and maximum-likelihood NNIs. FastTree 2 uses heuristics to restrict the search for better trees and estimates a rate of evolution for each site (the \&quot;CAT\&quot; approximation). Nevertheless, for both simulated and genuine alignments, FastTree 2 is slightly more accurate than a standard implementation of maximum-likelihood NNIs (PhyML 3 with default settings). Although FastTree 2 is not quite as accurate as methods that use maximum-likelihood SPRs, most of the splits that disagree are poorly supported, and for large alignments, FastTree 2 is 100-1,000 times faster. FastTree 2 inferred a topology and likelihood-based local support values for 237,882 distinct 16S ribosomal RNAs on a desktop computer in 22 hours and 5.8 gigabytes of memory.CONCLUSIONS/SIGNIFICANCE: FastTree 2 allows the inference of maximum-likelihood phylogenies for huge alignments. FastTree 2 is freely available at http://www.microbesonline.org/fasttree.&quot;,&quot;author&quot;:[{&quot;family&quot;:&quot;Price&quot;,&quot;given&quot;:&quot;Morgan N&quot;},{&quot;family&quot;:&quot;Dehal&quot;,&quot;given&quot;:&quot;Paramvir S&quot;},{&quot;family&quot;:&quot;Arkin&quot;,&quot;given&quot;:&quot;Adam P&quot;}],&quot;issued&quot;:{&quot;date-parts&quot;:[[&quot;2010&quot;,&quot;3&quot;,&quot;10&quot;]]},&quot;DOI&quot;:&quot;10.1371/journal.pone.0009490&quot;,&quot;PMID&quot;:&quot;20224823&quot;,&quot;PMCID&quot;:&quot;PMC2835736&quot;,&quot;citation-label&quot;:&quot;178753&quot;},{&quot;title&quot;:&quot;Exploring the temporal structure of heterochronous sequences using TempEst (formerly Path-O-Gen).&quot;,&quot;page&quot;:&quot;vew007&quot;,&quot;volume&quot;:&quot;2&quot;,&quot;issue&quot;:&quot;1&quot;,&quot;journalAbbreviation&quot;:&quot;Virus Evol.&quot;,&quot;id&quot;:&quot;1795582&quot;,&quot;type&quot;:&quot;article-journal&quot;,&quot;container-title&quot;:&quot;Virus evolution&quot;,&quot;container-title-short&quot;:&quot;Virus Evol.&quot;,&quot;abstract&quot;:&quot;Gene sequences sampled at different points in time can be used to infer molecular phylogenies on a natural timescale of months or years, provided that the sequences in question undergo measurable amounts of evolutionary change between sampling times. Data sets with this property are termed heterochronous and have become increasingly common in several fields of biology, most notably the molecular epidemiology of rapidly evolving viruses. Here we introduce the cross-platform software tool, TempEst (formerly known as Path-O-Gen), for the visualization and analysis of temporally sampled sequence data. Given a molecular phylogeny and the dates of sampling for each sequence, TempEst uses an interactive regression approach to explore the association between genetic divergence through time and sampling dates. TempEst can be used to (1) assess whether there is sufficient temporal signal in the data to proceed with phylogenetic molecular clock analysis, and (2) identify sequences whose genetic divergence and sampling date are incongruent. Examination of the latter can help identify data quality problems, including errors in data annotation, sample contamination, sequence recombination, or alignment error. We recommend that all users of the molecular clock models implemented in BEAST first check their data using TempEst prior to analysis.&quot;,&quot;author&quot;:[{&quot;family&quot;:&quot;Rambaut&quot;,&quot;given&quot;:&quot;Andrew&quot;},{&quot;family&quot;:&quot;Lam&quot;,&quot;given&quot;:&quot;Tommy T&quot;},{&quot;family&quot;:&quot;Max Carvalho&quot;,&quot;given&quot;:&quot;Luiz&quot;},{&quot;family&quot;:&quot;Pybus&quot;,&quot;given&quot;:&quot;Oliver G&quot;}],&quot;issued&quot;:{&quot;date-parts&quot;:[[&quot;2016&quot;,&quot;1&quot;]]},&quot;DOI&quot;:&quot;10.1093/ve/vew007&quot;,&quot;PMID&quot;:&quot;27774300&quot;,&quot;PMCID&quot;:&quot;PMC4989882&quot;,&quot;citation-label&quot;:&quot;1795582&quot;},{&quot;title&quot;:&quot;IQ-TREE 2: New models and efficient methods for phylogenetic inference in the genomic era&quot;,&quot;page&quot;:&quot;1530-1534&quot;,&quot;volume&quot;:&quot;37&quot;,&quot;issue&quot;:&quot;5&quot;,&quot;journalAbbreviation&quot;:&quot;Mol. Biol. Evol.&quot;,&quot;id&quot;:&quot;8188277&quot;,&quot;type&quot;:&quot;article-journal&quot;,&quot;container-title&quot;:&quot;Molecular Biology and Evolution&quot;,&quot;container-title-short&quot;:&quot;Mol. Biol. Evol.&quot;,&quot;abstract&quot;:&quot;IQ-TREE (http://www.iqtree.org, last accessed February 6, 2020) is a user-friendly and widely used software package for phylogenetic inference using maximum likelihood. Since the release of version 1 in 2014, we have continuously expanded IQ-TREE to integrate a plethora of new models of sequence evolution and efficient computational approaches of phylogenetic inference to deal with genomic data. Here, we describe notable features of IQ-TREE version 2 and highlight the key advantages over other software.© The Author(s) 2020. Published by Oxford University Press on behalf of the Society for Molecular Biology and Evolution.&quot;,&quot;author&quot;:[{&quot;family&quot;:&quot;Minh&quot;,&quot;given&quot;:&quot;Bui Quang&quot;},{&quot;family&quot;:&quot;Schmidt&quot;,&quot;given&quot;:&quot;Heiko A&quot;},{&quot;family&quot;:&quot;Chernomor&quot;,&quot;given&quot;:&quot;Olga&quot;},{&quot;family&quot;:&quot;Schrempf&quot;,&quot;given&quot;:&quot;Dominik&quot;},{&quot;family&quot;:&quot;Woodhams&quot;,&quot;given&quot;:&quot;Michael D&quot;},{&quot;family&quot;:&quot;von Haeseler&quot;,&quot;given&quot;:&quot;Arndt&quot;},{&quot;family&quot;:&quot;Lanfear&quot;,&quot;given&quot;:&quot;Robert&quot;}],&quot;issued&quot;:{&quot;date-parts&quot;:[[&quot;2020&quot;,&quot;5&quot;,&quot;1&quot;]]},&quot;DOI&quot;:&quot;10.1093/molbev/msaa015&quot;,&quot;PMID&quot;:&quot;32011700&quot;,&quot;PMCID&quot;:&quot;PMC7182206&quot;,&quot;citation-label&quot;:&quot;8188277&quot;},{&quot;title&quot;:&quot;MAFFT multiple sequence alignment software version 7: improvements in performance and usability.&quot;,&quot;page&quot;:&quot;772-780&quot;,&quot;volume&quot;:&quot;30&quot;,&quot;issue&quot;:&quot;4&quot;,&quot;journalAbbreviation&quot;:&quot;Mol. Biol. Evol.&quot;,&quot;id&quot;:&quot;387873&quot;,&quot;type&quot;:&quot;article-journal&quot;,&quot;container-title&quot;:&quot;Molecular Biology and Evolution&quot;,&quot;container-title-short&quot;:&quot;Mol. Biol. Evol.&quot;,&quot;abstract&quot;:&quot;We report a major update of the MAFFT multiple sequence alignment program. This version has several new features, including options for adding unaligned sequences into an existing alignment, adjustment of direction in nucleotide alignment, constrained alignment and parallel processing, which were implemented after the previous major update. This report shows actual examples to explain how these features work, alone and in combination. Some examples incorrectly aligned by MAFFT are also shown to clarify its limitations. We discuss how to avoid misalignments, and our ongoing efforts to overcome such limitations.&quot;,&quot;author&quot;:[{&quot;family&quot;:&quot;Katoh&quot;,&quot;given&quot;:&quot;Kazutaka&quot;},{&quot;family&quot;:&quot;Standley&quot;,&quot;given&quot;:&quot;Daron M&quot;}],&quot;issued&quot;:{&quot;date-parts&quot;:[[&quot;2013&quot;,&quot;4&quot;]]},&quot;DOI&quot;:&quot;10.1093/molbev/mst010&quot;,&quot;PMID&quot;:&quot;23329690&quot;,&quot;PMCID&quot;:&quot;PMC3603318&quot;,&quot;citation-label&quot;:&quot;387873&quot;},{&quot;title&quot;:&quot;AliView: a fast and lightweight alignment viewer and editor for large datasets.&quot;,&quot;page&quot;:&quot;3276-3278&quot;,&quot;volume&quot;:&quot;30&quot;,&quot;issue&quot;:&quot;22&quot;,&quot;journalAbbreviation&quot;:&quot;Bioinformatics&quot;,&quot;id&quot;:&quot;807097&quot;,&quot;type&quot;:&quot;article-journal&quot;,&quot;container-title&quot;:&quot;Bioinformatics&quot;,&quot;container-title-short&quot;:&quot;Bioinformatics&quot;,&quot;abstract&quot;:&quot;SUMMARY: AliView is an alignment viewer and editor designed to meet the requirements of next-generation sequencing era phylogenetic datasets. AliView handles alignments of unlimited size in the formats most commonly used, i.e. FASTA, Phylip, Nexus, Clustal and MSF. The intuitive graphical interface makes it easy to inspect, sort, delete, merge and realign sequences as part of the manual filtering process of large datasets. AliView also works as an easy-to-use alignment editor for small as well as large datasets.AVAILABILITY AND IMPLEMENTATION: AliView is released as open-source software under the GNU General Public License, version 3.0 (GPLv3), and is available at GitHub (www.github.com/AliView). The program is cross-platform and extensively tested on Linux, Mac OS X and Windows systems. Downloads and help are available at http://ormbunkar.se/aliviewCONTACT: anders.larsson@ebc.uu.seSUPPLEMENTARY INFORMATION: Supplementary data are available at Bioinformatics online.© The Author 2014. Published by Oxford University Press.&quot;,&quot;author&quot;:[{&quot;family&quot;:&quot;Larsson&quot;,&quot;given&quot;:&quot;Anders&quot;}],&quot;issued&quot;:{&quot;date-parts&quot;:[[&quot;2014&quot;,&quot;11&quot;,&quot;15&quot;]]},&quot;DOI&quot;:&quot;10.1093/bioinformatics/btu531&quot;,&quot;PMID&quot;:&quot;25095880&quot;,&quot;PMCID&quot;:&quot;PMC4221126&quot;,&quot;citation-label&quot;:&quot;807097&quot;},{&quot;title&quot;:&quot;Evaluating methods to quantify spatial variation in the velocity of biological invasions&quot;,&quot;page&quot;:&quot;409-418&quot;,&quot;volume&quot;:&quot;39&quot;,&quot;issue&quot;:&quot;5&quot;,&quot;journalAbbreviation&quot;:&quot;Ecography&quot;,&quot;id&quot;:&quot;5046186&quot;,&quot;type&quot;:&quot;article-journal&quot;,&quot;container-title&quot;:&quot;Ecography&quot;,&quot;container-title-short&quot;:&quot;Ecography&quot;,&quot;abstract&quot;:&quot;Invading species rarely spread homogeneously through a landscape and invasion patterns typically display irregular frontal boundaries as the invasion progresses through space. Those irregular patterns are generally produced by local environmental factors that may slow or accelerate movement of the frontal boundary. While there is an abundant literature on species distribution modelling methods that quantify local suitability for species establishment, comparatively few studies have examined methods for measuring the local velocity of invasions that can then be statistically analysed in relation to spatially variable environmental factors. Previous studies have used simulations to compare different methods for estimating the overall rate of spread of an invasion. We adopted a similar approach of simulating invasions that resemble two real case studies, both in terms of their spatial resolution (i.e. considering the size of one cell as one km) and their spatial extent (&gt;600 000 km2). Simulations were sampled to compare how different methods used to measure local spread rate, namely the neighbouring, nearest distance and Delaunay methods, perform for spatio-temporal comparisons. We varied the assessment using three levels of complexity of the spatio-temporal pattern of invasion, three sample sizes (500, 1000 and 2000 points), three different spatial sampling patterns (stratified, random, aggregated), three interpolation methods (generalized linear model, kriging, thin plate spline regression) and two spatio-temporal modelling structures (trend surface analysis and boundary displacement), resulting in a total of 486 different scenarios. The thin plate spline regression interpolation method, in combination with trend surface analysis, was found to provide the most robust local spread rate quantification as it was able to reliably accommodate different sampling conditions and invasion patterns. This best approach was successfully applied to two case-studies, the invasion of France by the horse-chestnut leafminer Cameraria ohridella and by the bluetongue virus, generally in agreement with previously published values of spread rates. Potential avenues for further research are discussed.&quot;,&quot;author&quot;:[{&quot;family&quot;:&quot;Tisseuil&quot;,&quot;given&quot;:&quot;Clément&quot;},{&quot;family&quot;:&quot;Gryspeirt&quot;,&quot;given&quot;:&quot;Aiko&quot;},{&quot;family&quot;:&quot;Lancelot&quot;,&quot;given&quot;:&quot;Renaud&quot;},{&quot;family&quot;:&quot;Pioz&quot;,&quot;given&quot;:&quot;Maryline&quot;},{&quot;family&quot;:&quot;Liebhold&quot;,&quot;given&quot;:&quot;Andrew&quot;},{&quot;family&quot;:&quot;Gilbert&quot;,&quot;given&quot;:&quot;Marius&quot;}],&quot;issued&quot;:{&quot;date-parts&quot;:[[&quot;2016&quot;,&quot;5&quot;]]},&quot;DOI&quot;:&quot;10.1111/ecog.01393&quot;,&quot;citation-label&quot;:&quot;5046186&quot;},{&quot;title&quot;:&quot;Past and future spread of the arbovirus vectors &lt;i&gt;Aedes aegypti &lt;/i&gt;and &lt;i&gt;Aedes albopictus&lt;/i&gt;.&quot;,&quot;page&quot;:&quot;854-863&quot;,&quot;volume&quot;:&quot;4&quot;,&quot;issue&quot;:&quot;5&quot;,&quot;journalAbbreviation&quot;:&quot;Nat. Microbiol.&quot;,&quot;id&quot;:&quot;6885125&quot;,&quot;type&quot;:&quot;article-journal&quot;,&quot;container-title&quot;:&quot;Nature Microbiology&quot;,&quot;container-title-short&quot;:&quot;Nat. Microbiol.&quot;,&quot;abstract&quot;:&quot;The global population at risk from mosquito-borne diseases-including dengue, yellow fever, chikungunya and Zika-is expanding in concert with changes in the distribution of two key vectors: Aedes aegypti and Aedes albopictus. The distribution of these species is largely driven by both human movement and the presence of suitable climate. Using statistical mapping techniques, we show that human movement patterns explain the spread of both species in Europe and the United States following their introduction. We find that the spread of Ae. aegypti is characterized by long distance importations, while Ae. albopictus has expanded more along the fringes of its distribution. We describe these processes and predict the future distributions of both species in response to accelerating urbanization, connectivity and climate change. Global surveillance and control efforts that aim to mitigate the spread of chikungunya, dengue, yellow fever and Zika viruses must consider the so far unabated spread of these mosquitos. Our maps and predictions offer an opportunity to strategically target surveillance and control programmes and thereby augment efforts to reduce arbovirus burden in human populations globally.&quot;,&quot;author&quot;:[{&quot;family&quot;:&quot;Kraemer&quot;,&quot;given&quot;:&quot;Moritz U G&quot;},{&quot;family&quot;:&quot;Reiner&quot;,&quot;given&quot;:&quot;Robert C&quot;},{&quot;family&quot;:&quot;Brady&quot;,&quot;given&quot;:&quot;Oliver J&quot;},{&quot;family&quot;:&quot;Messina&quot;,&quot;given&quot;:&quot;Jane P&quot;},{&quot;family&quot;:&quot;Gilbert&quot;,&quot;given&quot;:&quot;Marius&quot;},{&quot;family&quot;:&quot;Pigott&quot;,&quot;given&quot;:&quot;David M&quot;},{&quot;family&quot;:&quot;Yi&quot;,&quot;given&quot;:&quot;Dingdong&quot;},{&quot;family&quot;:&quot;Johnson&quot;,&quot;given&quot;:&quot;Kimberly&quot;},{&quot;family&quot;:&quot;Earl&quot;,&quot;given&quot;:&quot;Lucas&quot;},{&quot;family&quot;:&quot;Marczak&quot;,&quot;given&quot;:&quot;Laurie B&quot;},{&quot;family&quot;:&quot;Shirude&quot;,&quot;given&quot;:&quot;Shreya&quot;},{&quot;family&quot;:&quot;Davis Weaver&quot;,&quot;given&quot;:&quot;Nicole&quot;},{&quot;family&quot;:&quot;Bisanzio&quot;,&quot;given&quot;:&quot;Donal&quot;},{&quot;family&quot;:&quot;Perkins&quot;,&quot;given&quot;:&quot;T Alex&quot;},{&quot;family&quot;:&quot;Lai&quot;,&quot;given&quot;:&quot;Shengjie&quot;},{&quot;family&quot;:&quot;Lu&quot;,&quot;given&quot;:&quot;Xin&quot;},{&quot;family&quot;:&quot;Jones&quot;,&quot;given&quot;:&quot;Peter&quot;},{&quot;family&quot;:&quot;Coelho&quot;,&quot;given&quot;:&quot;Giovanini E&quot;},{&quot;family&quot;:&quot;Carvalho&quot;,&quot;given&quot;:&quot;Roberta G&quot;},{&quot;family&quot;:&quot;Van Bortel&quot;,&quot;given&quot;:&quot;Wim&quot;},{&quot;family&quot;:&quot;Marsboom&quot;,&quot;given&quot;:&quot;Cedric&quot;},{&quot;family&quot;:&quot;Hendrickx&quot;,&quot;given&quot;:&quot;Guy&quot;},{&quot;family&quot;:&quot;Schaffner&quot;,&quot;given&quot;:&quot;Francis&quot;},{&quot;family&quot;:&quot;Moore&quot;,&quot;given&quot;:&quot;Chester G&quot;},{&quot;family&quot;:&quot;Nax&quot;,&quot;given&quot;:&quot;Heinrich H&quot;},{&quot;family&quot;:&quot;Bengtsson&quot;,&quot;given&quot;:&quot;Linus&quot;},{&quot;family&quot;:&quot;Wetter&quot;,&quot;given&quot;:&quot;Erik&quot;},{&quot;family&quot;:&quot;Tatem&quot;,&quot;given&quot;:&quot;Andrew J&quot;},{&quot;family&quot;:&quot;Brownstein&quot;,&quot;given&quot;:&quot;John S&quot;},{&quot;family&quot;:&quot;Smith&quot;,&quot;given&quot;:&quot;David L&quot;},{&quot;family&quot;:&quot;Lambrechts&quot;,&quot;given&quot;:&quot;Louis&quot;},{&quot;family&quot;:&quot;Cauchemez&quot;,&quot;given&quot;:&quot;Simon&quot;},{&quot;family&quot;:&quot;Linard&quot;,&quot;given&quot;:&quot;Catherine&quot;},{&quot;family&quot;:&quot;Faria&quot;,&quot;given&quot;:&quot;Nuno R&quot;},{&quot;family&quot;:&quot;Pybus&quot;,&quot;given&quot;:&quot;Oliver G&quot;},{&quot;family&quot;:&quot;Scott&quot;,&quot;given&quot;:&quot;Thomas W&quot;},{&quot;family&quot;:&quot;Liu&quot;,&quot;given&quot;:&quot;Qiyong&quot;},{&quot;family&quot;:&quot;Yu&quot;,&quot;given&quot;:&quot;Hongjie&quot;},{&quot;family&quot;:&quot;Wint&quot;,&quot;given&quot;:&quot;G R William&quot;},{&quot;family&quot;:&quot;Hay&quot;,&quot;given&quot;:&quot;Simon I&quot;},{&quot;family&quot;:&quot;Golding&quot;,&quot;given&quot;:&quot;Nick&quot;}],&quot;issued&quot;:{&quot;date-parts&quot;:[[&quot;2019&quot;,&quot;5&quot;]]},&quot;DOI&quot;:&quot;10.1038/s41564-019-0376-y&quot;,&quot;PMID&quot;:&quot;30833735&quot;,&quot;PMCID&quot;:&quot;PMC6522366&quot;,&quot;citation-label&quot;:&quot;6885125&quot;},{&quot;title&quot;:&quot;Standard Operating Procedures for Responding to a Poliovirus Event or Outbreak, Version 4 | The Polio Network&quot;,&quot;accessed&quot;:{&quot;date-parts&quot;:[[&quot;2024&quot;,&quot;2&quot;,&quot;1&quot;]]},&quot;id&quot;:&quot;15971198&quot;,&quot;type&quot;:&quot;webpage&quot;,&quot;issued&quot;:{&quot;date-parts&quot;:[[]]},&quot;URL&quot;:&quot;https://www.comminit.com/polio/content/standard-operating-procedures-responding-poliovirus-event-or-outbreak-version-4&quot;,&quot;citation-label&quot;:&quot;15971198&quot;},{&quot;title&quot;:&quot;Two years since rollout of novel oral polio vaccine type 2 (nOPV2): How’s it all working out? – GPEI&quot;,&quot;accessed&quot;:{&quot;date-parts&quot;:[[&quot;2024&quot;,&quot;1&quot;,&quot;29&quot;]]},&quot;id&quot;:&quot;15949278&quot;,&quot;type&quot;:&quot;webpage&quot;,&quot;issued&quot;:{&quot;date-parts&quot;:[[]]},&quot;URL&quot;:&quot;https://polioeradication.org/news-post/two-years-since-rollout-of-novel-oral-polio-vaccine-type-2-nopv2-hows-it-all-working-out/&quot;,&quot;citation-label&quot;:&quot;15949278&quot;},{&quot;title&quot;:&quot;Risk factors for the spread of vaccine-derived type 2 polioviruses after global withdrawal of trivalent oral poliovirus vaccine and the effects of outbreak responses with monovalent vaccine: a retrospective analysis of surveillance data for 51 countries in Africa.&quot;,&quot;page&quot;:&quot;284-294&quot;,&quot;volume&quot;:&quot;22&quot;,&quot;issue&quot;:&quot;2&quot;,&quot;journalAbbreviation&quot;:&quot;Lancet Infect. Dis.&quot;,&quot;id&quot;:&quot;15949271&quot;,&quot;type&quot;:&quot;article-journal&quot;,&quot;container-title&quot;:&quot;The Lancet Infectious Diseases&quot;,&quot;container-title-short&quot;:&quot;Lancet Infect. Dis.&quot;,&quot;author&quot;:[{&quot;family&quot;:&quot;Cooper&quot;,&quot;given&quot;:&quot;Laura V&quot;},{&quot;family&quot;:&quot;Bandyopadhyay&quot;,&quot;given&quot;:&quot;Ananda S&quot;},{&quot;family&quot;:&quot;Gumede&quot;,&quot;given&quot;:&quot;Nicksy&quot;},{&quot;family&quot;:&quot;Mach&quot;,&quot;given&quot;:&quot;Ondrej&quot;},{&quot;family&quot;:&quot;Mkanda&quot;,&quot;given&quot;:&quot;Pascal&quot;},{&quot;family&quot;:&quot;Ndoutabé&quot;,&quot;given&quot;:&quot;Modjirom&quot;},{&quot;family&quot;:&quot;Okiror&quot;,&quot;given&quot;:&quot;Samuel O&quot;},{&quot;family&quot;:&quot;Ramirez-Gonzalez&quot;,&quot;given&quot;:&quot;Alejandro&quot;},{&quot;family&quot;:&quot;Touray&quot;,&quot;given&quot;:&quot;Kebba&quot;},{&quot;family&quot;:&quot;Wanyoike&quot;,&quot;given&quot;:&quot;Sarah&quot;},{&quot;family&quot;:&quot;Grassly&quot;,&quot;given&quot;:&quot;Nicholas C&quot;},{&quot;family&quot;:&quot;Blake&quot;,&quot;given&quot;:&quot;Isobel M&quot;}],&quot;issued&quot;:{&quot;date-parts&quot;:[[&quot;2022&quot;,&quot;2&quot;]]},&quot;DOI&quot;:&quot;10.1016/S1473-3099(21)00453-9&quot;,&quot;PMID&quot;:&quot;34648733&quot;,&quot;PMCID&quot;:&quot;PMC8799632&quot;,&quot;citation-label&quot;:&quot;15949271&quot;},{&quot;title&quot;:&quot;Time taken to detect and respond to polio outbreaks in africa and the potential impact of direct molecular detection and nanopore sequencing.&quot;,&quot;page&quot;:&quot;453-462&quot;,&quot;volume&quot;:&quot;226&quot;,&quot;issue&quot;:&quot;3&quot;,&quot;journalAbbreviation&quot;:&quot;J. Infect. Dis.&quot;,&quot;id&quot;:&quot;15929624&quot;,&quot;type&quot;:&quot;article-journal&quot;,&quot;container-title&quot;:&quot;The Journal of Infectious Diseases&quot;,&quot;container-title-short&quot;:&quot;J. Infect. Dis.&quot;,&quot;abstract&quot;:&quot;BACKGROUND: Detection of poliovirus outbreaks relies on a complex laboratory algorithm of cell-culture, polymerase chain reaction (PCR), and sequencing to distinguish wild-type and vaccine-derived polioviruses (VDPV) from Sabin-like strains. We investigated the potential for direct molecular detection and nanopore sequencing (DDNS) to accelerate poliovirus detection.METHODS: We analyzed laboratory data for time required to analyze and sequence serotype-2 VDPV (VDPV2) in stool collected from children with acute flaccid paralysis in Africa (May 2016-February 2020). Impact of delayed detection on VDPV2 outbreak size was assessed through negative binomial regression.RESULTS: VDPV2 confirmation in 525 stools required a median of 49 days from paralysis onset (10th-90th percentile, 29-74), comprising collection and transport (median, 16 days), cell-culture (7 days), intratypic differentiation quantitative reverse transcription PCR (3 days), and sequencing, including shipping if required (15 days). New VDPV2 outbreaks were confirmed a median of 35 days (27-60) after paralysis onset, which we estimate could be reduced to 16 days by DDNS (9-37). Because longer delays in confirmation and response were positively associated with more cases (P &lt;  .001), we estimate that DDNS could reduce the number of VDPV2 cases before a response by 28% (95% credible interval, 12%-42%).CONCLUSIONS: DDNS could accelerate poliovirus outbreak response, reducing their size and the cost of eradication.© The Author(s) 2021. Published by Oxford University Press for the Infectious Diseases Society of America.&quot;,&quot;author&quot;:[{&quot;family&quot;:&quot;Shaw&quot;,&quot;given&quot;:&quot;Alexander G&quot;},{&quot;family&quot;:&quot;Cooper&quot;,&quot;given&quot;:&quot;Laura V&quot;},{&quot;family&quot;:&quot;Gumede&quot;,&quot;given&quot;:&quot;Nicksy&quot;},{&quot;family&quot;:&quot;Bandyopadhyay&quot;,&quot;given&quot;:&quot;Ananda S&quot;},{&quot;family&quot;:&quot;Grassly&quot;,&quot;given&quot;:&quot;Nicholas C&quot;},{&quot;family&quot;:&quot;Blake&quot;,&quot;given&quot;:&quot;Isobel M&quot;}],&quot;issued&quot;:{&quot;date-parts&quot;:[[&quot;2022&quot;,&quot;8&quot;,&quot;26&quot;]]},&quot;DOI&quot;:&quot;10.1093/infdis/jiab518&quot;,&quot;PMID&quot;:&quot;34623444&quot;,&quot;PMCID&quot;:&quot;PMC9417130&quot;,&quot;citation-label&quot;:&quot;15929624&quot;},{&quot;title&quot;:&quot;Cessation of Trivalent Oral Poliovirus Vaccine and Introduction of Inactivated Poliovirus Vaccine - Worldwide, 2016.&quot;,&quot;page&quot;:&quot;934-938&quot;,&quot;volume&quot;:&quot;65&quot;,&quot;issue&quot;:&quot;35&quot;,&quot;journalAbbreviation&quot;:&quot;MMWR Morb Mortal Wkly Rep&quot;,&quot;id&quot;:&quot;15920338&quot;,&quot;type&quot;:&quot;article-journal&quot;,&quot;container-title&quot;:&quot;MMWR. Morbidity and Mortality Weekly Report&quot;,&quot;container-title-short&quot;:&quot;MMWR Morb Mortal Wkly Rep&quot;,&quot;abstract&quot;:&quot;Since the 1988 World Health Assembly resolution to eradicate poliomyelitis, transmission of the three types of wild poliovirus (WPV) has been sharply reduced (1). WPV type 2 (WPV2) has not been detected since 1999 and was declared eradicated in September 2015. Because WPV type 3 has not been detected since November 2012, WPV type 1 (WPV1) is likely the only WPV that remains in circulation (1). This marked progress has been achieved through widespread use of oral poliovirus vaccines (OPVs), most commonly trivalent OPV (tOPV), which contains types 1, 2, and 3 live, attenuated polioviruses and has been a mainstay of efforts to prevent polio since the early 1960s. However, attenuated polioviruses in OPV can undergo genetic changes during replication, and in communities with low vaccination coverage, can result in vaccine-derived polioviruses (VDPVs) that can cause paralytic polio indistinguishable from the disease caused by WPVs (2). Among the 721 polio cases caused by circulating VDPVs (cVDPVs*) detected during January 2006-May 2016, type 2 cVDPVs (cVDPV2s) accounted for &gt;94% (2). Eliminating the risk for polio caused by VDPVs will require stopping all OPV use. The first stage of OPV withdrawal involved a global, synchronized replacement of tOPV with bivalent OPV (bOPV) containing only types 1 and 3 attenuated polioviruses, planned for April 18-May 1, 2016, thereby withdrawing OPV type 2 from all immunization activities (3). Complementing the switch from tOPV to bOPV, introduction of at least 1 dose of injectable, trivalent inactivated poliovirus vaccine (IPV) into childhood immunization schedules reduces risks from and facilitates responses to cVDPV2 outbreaks. All 155 countries and territories that were still using OPV in immunization schedules in 2015 have reported that they had ceased use of tOPV by mid-May 2016.(†) As of August 31, 2016, 173 (89%) of 194 World Health Organization (WHO) countries included IPV in their immunization schedules.(§) The cessation of tOPV use is a major milestone toward the global goal of eradicating polio; however, careful surveillance for polioviruses and prompt, aggressive responses to polio outbreaks are still needed to realize a polio-free world.&quot;,&quot;author&quot;:[{&quot;family&quot;:&quot;Hampton&quot;,&quot;given&quot;:&quot;Lee M&quot;},{&quot;family&quot;:&quot;Farrell&quot;,&quot;given&quot;:&quot;Margaret&quot;},{&quot;family&quot;:&quot;Ramirez-Gonzalez&quot;,&quot;given&quot;:&quot;Alejandro&quot;},{&quot;family&quot;:&quot;Menning&quot;,&quot;given&quot;:&quot;Lisa&quot;},{&quot;family&quot;:&quot;Shendale&quot;,&quot;given&quot;:&quot;Stephanie&quot;},{&quot;family&quot;:&quot;Lewis&quot;,&quot;given&quot;:&quot;Ian&quot;},{&quot;family&quot;:&quot;Rubin&quot;,&quot;given&quot;:&quot;Jennifer&quot;},{&quot;family&quot;:&quot;Garon&quot;,&quot;given&quot;:&quot;Julie&quot;},{&quot;family&quot;:&quot;Harris&quot;,&quot;given&quot;:&quot;Jennifer&quot;},{&quot;family&quot;:&quot;Hyde&quot;,&quot;given&quot;:&quot;Terri&quot;},{&quot;family&quot;:&quot;Wassilak&quot;,&quot;given&quot;:&quot;Steven&quot;},{&quot;family&quot;:&quot;Patel&quot;,&quot;given&quot;:&quot;Manish&quot;},{&quot;family&quot;:&quot;Nandy&quot;,&quot;given&quot;:&quot;Robin&quot;},{&quot;family&quot;:&quot;Chang-Blanc&quot;,&quot;given&quot;:&quot;Diana&quot;},{&quot;family&quot;:&quot;Immunization Systems Management Group of the Global Polio Eradication Initiative&quot;}],&quot;issued&quot;:{&quot;date-parts&quot;:[[&quot;2016&quot;,&quot;9&quot;,&quot;9&quot;]]},&quot;DOI&quot;:&quot;10.15585/mmwr.mm6535a3&quot;,&quot;PMID&quot;:&quot;27606675&quot;,&quot;citation-label&quot;:&quot;15920338&quot;},{&quot;title&quot;:&quot;Enabling accelerated vaccine roll-out for Public Health Emergencies of International Concern (PHEICs): Novel Oral Polio Vaccine type 2 (nOPV2) experience.&quot;,&quot;page&quot;:&quot;A122-A127&quot;,&quot;volume&quot;:&quot;41 Suppl 1&quot;,&quot;issue&quot;:&quot;Suppl 1&quot;,&quot;journalAbbreviation&quot;:&quot;Vaccine&quot;,&quot;id&quot;:&quot;15920325&quot;,&quot;type&quot;:&quot;article-journal&quot;,&quot;container-title&quot;:&quot;Vaccine&quot;,&quot;container-title-short&quot;:&quot;Vaccine&quot;,&quot;abstract&quot;:&quot;To address the evolving risk of circulating vaccine-derived poliovirus type 2 (cVDPV2), Global Polio Eradication Initiative (GPEI) partners are working closely with countries to deploy an additional innovative tool for outbreak response - novel oral polio vaccine type 2 (nOPV2). The World Health Organization's (WHO) Prequalification program issued an Emergency Use Listing (EUL) recommendation for nOPV2 on 13 November 2020. The WHO's EUL procedure was created to assess and list unlicensed vaccines, therapeutics and diagnostics to enable their use in response to a Public Health Emergency of International Concern (PHEIC). nOPV2 was the first vaccine to receive an EUL, paving the way for other emergency vaccines. In this report, we summarise the pathway for nOPV2 roll-out under EUL.Copyright © 2022. Published by Elsevier Ltd.&quot;,&quot;author&quot;:[{&quot;family&quot;:&quot;Macklin&quot;,&quot;given&quot;:&quot;Grace R&quot;},{&quot;family&quot;:&quot;Peak&quot;,&quot;given&quot;:&quot;Corey&quot;},{&quot;family&quot;:&quot;Eisenhawer&quot;,&quot;given&quot;:&quot;Martin&quot;},{&quot;family&quot;:&quot;Kurji&quot;,&quot;given&quot;:&quot;Feyrouz&quot;},{&quot;family&quot;:&quot;Mach&quot;,&quot;given&quot;:&quot;Ondrej&quot;},{&quot;family&quot;:&quot;Konz&quot;,&quot;given&quot;:&quot;John&quot;},{&quot;family&quot;:&quot;Gast&quot;,&quot;given&quot;:&quot;Chris&quot;},{&quot;family&quot;:&quot;Bachtiar&quot;,&quot;given&quot;:&quot;Novilia Sjafri&quot;},{&quot;family&quot;:&quot;Bandyopadhyay&quot;,&quot;given&quot;:&quot;Ananda S&quot;},{&quot;family&quot;:&quot;Zipursky&quot;,&quot;given&quot;:&quot;Simona&quot;},{&quot;family&quot;:&quot;nOPV2 Working Group&quot;}],&quot;issued&quot;:{&quot;date-parts&quot;:[[&quot;2023&quot;,&quot;4&quot;,&quot;6&quot;]]},&quot;DOI&quot;:&quot;10.1016/j.vaccine.2022.02.050&quot;,&quot;PMID&quot;:&quot;35307230&quot;,&quot;PMCID&quot;:&quot;PMC10109087&quot;,&quot;citation-label&quot;:&quot;15920325&quot;},{&quot;title&quot;:&quot;Analysis of population immunity to poliovirus following cessation of trivalent oral polio vaccine.&quot;,&quot;page&quot;:&quot;A85-A92&quot;,&quot;volume&quot;:&quot;41 Suppl 1&quot;,&quot;journalAbbreviation&quot;:&quot;Vaccine&quot;,&quot;id&quot;:&quot;15919642&quot;,&quot;type&quot;:&quot;article-journal&quot;,&quot;container-title&quot;:&quot;Vaccine&quot;,&quot;container-title-short&quot;:&quot;Vaccine&quot;,&quot;abstract&quot;:&quot;BACKGROUND: The global withdrawal of trivalent oral poliovirus vaccine (OPV) (tOPV, containing Sabin poliovirus strains serotypes 1, 2 and 3) from routine immunization, and the introduction of bivalent OPV (bOPV, containing Sabin poliovirus strains serotypes 1 and 3) and trivalent inactivated poliovirus vaccine (IPV) into routine immunization was expected to improve population serologic and mucosal immunity to types 1 and 3 poliovirus, while population mucosal immunity to type 2 poliovirus would decline. However, over the period since tOPV withdrawal, the implementation of preventive bOPV supplementary immunization activities (SIAs) has decreased, while outbreaks of type 2 circulating vaccine derived poliovirus (cVDPV2) have required targeted use of monovalent type 2 OPV (mOPV2).METHODS: We develop a dynamic model of OPV-induced immunity to estimate serotype-specific, district-level immunity for countries in priority regions and characterize changes in immunity since 2016. We account for the changes in routine immunization schedules and varying implementation of preventive and outbreak response SIAs, assuming homogenous coverages of 50% and 80% for SIAs.RESULTS: In areas with strong routine immunization, the switch from tOPV to bOPV has likely resulted in gains in population immunity to types 1 and 3 poliovirus. However, we estimate that improved immunogenicity of new schedules has not compensated for declines in preventive SIAs in areas with weak routine immunization. For type 2 poliovirus, without tOPV in routine immunization or SIAs, mucosal immunity has declined nearly everywhere, while use of mOPV2 has created highly heterogeneous population immunity for which it is important to take into account when responding to cVDPV2 outbreaks.CONCLUSIONS: The withdrawal of tOPV and declining allocations of resources for preventive bOPV SIAs have resulted in reduced immunity in vulnerable areas to types 1 and 3 poliovirus and generally reduced immunity to type 2 poliovirus in the regions studied, assuming homogeneous coverages of 50% and 80% for SIAs. The very low mucosal immunity to type 2 poliovirus generates substantially greater risk for further spread of cVDPV2 outbreaks. Emerging gaps in immunity to all serotypes will require judicious targeting of limited resources to the most vulnerable populations by the Global Polio Eradication Initiative (GPEI).Copyright © 2022. Published by Elsevier Ltd.&quot;,&quot;author&quot;:[{&quot;family&quot;:&quot;Voorman&quot;,&quot;given&quot;:&quot;Arend&quot;},{&quot;family&quot;:&quot;Lyons&quot;,&quot;given&quot;:&quot;Hil&quot;},{&quot;family&quot;:&quot;Bennette&quot;,&quot;given&quot;:&quot;Caroline&quot;},{&quot;family&quot;:&quot;Kovacs&quot;,&quot;given&quot;:&quot;Stephanie&quot;},{&quot;family&quot;:&quot;Makam&quot;,&quot;given&quot;:&quot;Jeevan K&quot;},{&quot;family&quot;:&quot;F Vertefeuille&quot;,&quot;given&quot;:&quot;John&quot;},{&quot;family&quot;:&quot;Tallis&quot;,&quot;given&quot;:&quot;Graham&quot;}],&quot;issued&quot;:{&quot;date-parts&quot;:[[&quot;2023&quot;,&quot;4&quot;,&quot;6&quot;]]},&quot;DOI&quot;:&quot;10.1016/j.vaccine.2022.03.013&quot;,&quot;PMID&quot;:&quot;35339308&quot;,&quot;PMCID&quot;:&quot;PMC10973941&quot;,&quot;citation-label&quot;:&quot;15919642&quot;},{&quot;title&quot;:&quot;Explaining the geographic spread of emerging epidemics: a framework for comparing viral phylogenies and environmental landscape data.&quot;,&quot;page&quot;:&quot;82&quot;,&quot;volume&quot;:&quot;17&quot;,&quot;journalAbbreviation&quot;:&quot;BMC Bioinformatics&quot;,&quot;id&quot;:&quot;4207384&quot;,&quot;type&quot;:&quot;article-journal&quot;,&quot;container-title&quot;:&quot;BMC Bioinformatics&quot;,&quot;container-title-short&quot;:&quot;BMC Bioinformatics&quot;,&quot;abstract&quot;:&quot;BACKGROUND: Phylogenetic analysis is now an important tool in the study of viral outbreaks. It can reconstruct epidemic history when surveillance epidemiology data are sparse, and can indicate transmission linkages among infections that may not otherwise be evident. However, a remaining challenge is to develop an analytical framework that can test hypotheses about the effect of environmental variables on pathogen spatial spread. Recent phylogeographic approaches can reconstruct the history of virus dispersal from sampled viral genomes and infer the locations of ancestral infections. Such methods provide a unique source of spatio-temporal information, and are exploited here.RESULTS: We present and apply a new statistical framework that combines genomic and geographic data to test the impact of environmental variables on the mode and tempo of pathogen dispersal during emerging epidemics. First, the spatial history of an emerging pathogen is estimated using standard phylogeographic methods. The inferred dispersal path for each phylogenetic lineage is then assigned a \&quot;weight\&quot; using environmental data (e.g. altitude, land cover). Next, tests measure the association between each environmental variable and lineage movement. A randomisation procedure is used to assess statistical confidence and we validate this approach using simulated data. We apply our new framework to a set of gene sequences from an epidemic of rabies virus in North American raccoons. We test the impact of six different environmental variables on this epidemic and demonstrate that elevation is associated with a slower rabies spread in a natural population.CONCLUSION: This study shows that it is possible to integrate genomic and environmental data in order to test hypotheses concerning the mode and tempo of virus dispersal during emerging epidemics.&quot;,&quot;author&quot;:[{&quot;family&quot;:&quot;Dellicour&quot;,&quot;given&quot;:&quot;Simon&quot;},{&quot;family&quot;:&quot;Rose&quot;,&quot;given&quot;:&quot;Rebecca&quot;},{&quot;family&quot;:&quot;Pybus&quot;,&quot;given&quot;:&quot;Oliver G&quot;}],&quot;issued&quot;:{&quot;date-parts&quot;:[[&quot;2016&quot;,&quot;2&quot;,&quot;11&quot;]]},&quot;DOI&quot;:&quot;10.1186/s12859-016-0924-x&quot;,&quot;PMID&quot;:&quot;26864798&quot;,&quot;PMCID&quot;:&quot;PMC4750353&quot;,&quot;citation-label&quot;:&quot;4207384&quot;},{&quot;title&quot;:&quot;Unravelling the dispersal dynamics and ecological drivers of the African swine fever outbreak in Belgium&quot;,&quot;page&quot;:&quot;1619-1629&quot;,&quot;volume&quot;:&quot;57&quot;,&quot;issue&quot;:&quot;8&quot;,&quot;journalAbbreviation&quot;:&quot;J. Appl. Ecol.&quot;,&quot;id&quot;:&quot;13747155&quot;,&quot;type&quot;:&quot;article-journal&quot;,&quot;container-title&quot;:&quot;Journal of Applied Ecology&quot;,&quot;container-title-short&quot;:&quot;J. Appl. Ecol.&quot;,&quot;author&quot;:[{&quot;family&quot;:&quot;Dellicour&quot;,&quot;given&quot;:&quot;Simon&quot;},{&quot;family&quot;:&quot;Desmecht&quot;,&quot;given&quot;:&quot;Daniel&quot;},{&quot;family&quot;:&quot;Paternostre&quot;,&quot;given&quot;:&quot;Julien&quot;},{&quot;family&quot;:&quot;Malengreaux&quot;,&quot;given&quot;:&quot;Céline&quot;},{&quot;family&quot;:&quot;Licoppe&quot;,&quot;given&quot;:&quot;Alain&quot;},{&quot;family&quot;:&quot;Gilbert&quot;,&quot;given&quot;:&quot;Marius&quot;},{&quot;family&quot;:&quot;Linden&quot;,&quot;given&quot;:&quot;Annick&quot;}],&quot;issued&quot;:{&quot;date-parts&quot;:[[&quot;2020&quot;,&quot;8&quot;]]},&quot;DOI&quot;:&quot;10.1111/1365-2664.13649&quot;,&quot;citation-label&quot;:&quot;13747155&quot;},{&quot;title&quot;:&quot;Lessons learned from managing the planning and implementation of inactivated polio vaccine introduction in support of the polio endgame.&quot;,&quot;page&quot;:&quot;S15-S23&quot;,&quot;volume&quot;:&quot;216&quot;,&quot;issue&quot;:&quot;suppl_1&quot;,&quot;journalAbbreviation&quot;:&quot;J. Infect. Dis.&quot;,&quot;id&quot;:&quot;6088691&quot;,&quot;type&quot;:&quot;article-journal&quot;,&quot;container-title&quot;:&quot;The Journal of Infectious Diseases&quot;,&quot;container-title-short&quot;:&quot;J. Infect. Dis.&quot;,&quot;abstract&quot;:&quot;The Immunization Systems Management Group (IMG) was established as a time-limited entity, responsible for the management and coordination of Objective 2 of the Polio Eradication and Endgame Strategic Plan. This objective called for the introduction of at least 1 dose of inactivated polio vaccine (IPV) into the routine immunization programs of all countries using oral polio vaccine (OPV) only. Despite global vaccine shortages, which limited countries' abilities to access IPV in a timely manner, 105 of 126 countries using OPV only introduced IPV within a 2.5-year period, making it the fastest rollout of a new vaccine in history. This achievement can be attributed to several factors, including the coordination work of the IMG; high-level engagement and advocacy across partners; the strong foundations of the Expanded Programme on Immunization at all levels; Gavi, the Vaccine Alliance's vaccine introduction experiences and mechanisms; innovative approaches; and proactive communications. In many ways, the IMG's work on IPV introduction can serve as a model for other vaccine introductions, especially in an accelerated context.© The Author 2017. Published by Oxford University Press for the Infectious Diseases Society of America.&quot;,&quot;author&quot;:[{&quot;family&quot;:&quot;Zipursky&quot;,&quot;given&quot;:&quot;Simona&quot;},{&quot;family&quot;:&quot;Patel&quot;,&quot;given&quot;:&quot;Manish&quot;},{&quot;family&quot;:&quot;Farrell&quot;,&quot;given&quot;:&quot;Margaret&quot;},{&quot;family&quot;:&quot;Gonzalez&quot;,&quot;given&quot;:&quot;Alejandro Ramirez&quot;},{&quot;family&quot;:&quot;Kachra&quot;,&quot;given&quot;:&quot;Tasleem&quot;},{&quot;family&quot;:&quot;Folly&quot;,&quot;given&quot;:&quot;Yann&quot;},{&quot;family&quot;:&quot;Kurji&quot;,&quot;given&quot;:&quot;Feyrouz&quot;},{&quot;family&quot;:&quot;Veira&quot;,&quot;given&quot;:&quot;Chantal Laroche&quot;},{&quot;family&quot;:&quot;Wootton&quot;,&quot;given&quot;:&quot;Emily&quot;},{&quot;family&quot;:&quot;Hampton&quot;,&quot;given&quot;:&quot;Lee M&quot;}],&quot;issued&quot;:{&quot;date-parts&quot;:[[&quot;2017&quot;,&quot;7&quot;,&quot;1&quot;]]},&quot;DOI&quot;:&quot;10.1093/infdis/jix185&quot;,&quot;PMID&quot;:&quot;28838203&quot;,&quot;PMCID&quot;:&quot;PMC5853318&quot;,&quot;citation-label&quot;:&quot;6088691&quot;},{&quot;title&quot;:&quot;Systematic review of mucosal immunity induced by oral and inactivated poliovirus vaccines against virus shedding following oral poliovirus challenge.&quot;,&quot;page&quot;:&quot;e1002599&quot;,&quot;volume&quot;:&quot;8&quot;,&quot;issue&quot;:&quot;4&quot;,&quot;journalAbbreviation&quot;:&quot;PLoS Pathog.&quot;,&quot;id&quot;:&quot;4257282&quot;,&quot;type&quot;:&quot;article-journal&quot;,&quot;container-title&quot;:&quot;PLoS Pathogens&quot;,&quot;container-title-short&quot;:&quot;PLoS Pathog.&quot;,&quot;abstract&quot;:&quot;Inactivated poliovirus vaccine (IPV) may be used in mass vaccination campaigns during the final stages of polio eradication. It is also likely to be adopted by many countries following the coordinated global cessation of vaccination with oral poliovirus vaccine (OPV) after eradication. The success of IPV in the control of poliomyelitis outbreaks will depend on the degree of nasopharyngeal and intestinal mucosal immunity induced against poliovirus infection. We performed a systematic review of studies published through May 2011 that recorded the prevalence of poliovirus shedding in stool samples or nasopharyngeal secretions collected 5-30 days after a \&quot;challenge\&quot; dose of OPV. Studies were combined in a meta-analysis of the odds of shedding among children vaccinated according to IPV, OPV, and combination schedules. We identified 31 studies of shedding in stool and four in nasopharyngeal samples that met the inclusion criteria. Individuals vaccinated with OPV were protected against infection and shedding of poliovirus in stool samples collected after challenge compared with unvaccinated individuals (summary odds ratio [OR] for shedding 0.13 (95% confidence interval [CI] 0.08-0.24)). In contrast, IPV provided no protection against shedding compared with unvaccinated individuals (summary OR 0.81 [95% CI 0.59-1.11]) or when given in addition to OPV, compared with individuals given OPV alone (summary OR 1.14 [95% CI 0.82-1.58]). There were insufficient studies of nasopharyngeal shedding to draw a conclusion. IPV does not induce sufficient intestinal mucosal immunity to reduce the prevalence of fecal poliovirus shedding after challenge, although there was some evidence that it can reduce the quantity of virus shed. The impact of IPV on poliovirus transmission in countries where fecal-oral spread is common is unknown but is likely to be limited compared with OPV.&quot;,&quot;author&quot;:[{&quot;family&quot;:&quot;Hird&quot;,&quot;given&quot;:&quot;Thomas R&quot;},{&quot;family&quot;:&quot;Grassly&quot;,&quot;given&quot;:&quot;Nicholas C&quot;}],&quot;issued&quot;:{&quot;date-parts&quot;:[[&quot;2012&quot;,&quot;4&quot;,&quot;19&quot;]]},&quot;DOI&quot;:&quot;10.1371/journal.ppat.1002599&quot;,&quot;PMID&quot;:&quot;22532797&quot;,&quot;PMCID&quot;:&quot;PMC3330118&quot;,&quot;citation-label&quot;:&quot;4257282&quot;},{&quot;title&quot;:&quot;Global synchronisation and the switch – GPEI&quot;,&quot;accessed&quot;:{&quot;date-parts&quot;:[[&quot;2024&quot;,&quot;1&quot;,&quot;22&quot;]]},&quot;id&quot;:&quot;15909665&quot;,&quot;type&quot;:&quot;webpage&quot;,&quot;issued&quot;:{&quot;date-parts&quot;:[[]]},&quot;URL&quot;:&quot;https://polioeradication.org/news-post/global-synchronisation-and-the-switch/&quot;,&quot;citation-label&quot;:&quot;15909665&quot;},{&quot;title&quot;:&quot;The oral poliovirus vaccine-a solution and a concern for eradication.&quot;,&quot;journalAbbreviation&quot;:&quot;Lancet Infect. Dis.&quot;,&quot;id&quot;:&quot;15909301&quot;,&quot;type&quot;:&quot;article-journal&quot;,&quot;container-title&quot;:&quot;The Lancet Infectious Diseases&quot;,&quot;container-title-short&quot;:&quot;Lancet Infect. Dis.&quot;,&quot;author&quot;:[{&quot;family&quot;:&quot;Faye&quot;,&quot;given&quot;:&quot;Martin&quot;},{&quot;family&quot;:&quot;Fernandez-Garcia&quot;,&quot;given&quot;:&quot;Maria Dolores&quot;}],&quot;issued&quot;:{&quot;date-parts&quot;:[[&quot;2024&quot;,&quot;1&quot;,&quot;15&quot;]]},&quot;DOI&quot;:&quot;10.1016/S1473-3099(23)00680-1&quot;,&quot;PMID&quot;:&quot;38237613&quot;,&quot;citation-label&quot;:&quot;15909301&quot;},{&quot;title&quot;:&quot;Epidemiology of type 2 vaccine-derived poliovirus outbreaks between 2016 and 2020.&quot;,&quot;page&quot;:&quot;A19-A24&quot;,&quot;volume&quot;:&quot;41 Suppl 1&quot;,&quot;journalAbbreviation&quot;:&quot;Vaccine&quot;,&quot;id&quot;:&quot;15909277&quot;,&quot;type&quot;:&quot;article-journal&quot;,&quot;container-title&quot;:&quot;Vaccine&quot;,&quot;container-title-short&quot;:&quot;Vaccine&quot;,&quot;abstract&quot;:&quot;The number and geographic breadth of circulating vaccine-derived poliovirus type 2 (cVDPV2) outbreaks detected after the withdrawal of type 2 containing oral polio vaccine (April 2016) have exceeded forecasts.Using Acute Flaccid Paralysis (AFP) investigations and environmental surveillance (ES) data from the Global Polio Laboratory Network, we summarize the epidemiology of cVDPV2 outbreaks. Between 01 January 2016 to 31 December 2020, a total of 68 unique cVDPV2 genetic emergences were detected across 34 countries. The cVDPV2 outbreaks have been associated with 1596 acute flaccid paralysis cases across four World Health Organization regions: 962/1596 (60.3%) cases occurred in African Region; 619/1596 (38.8%) in the Eastern Mediterranean Region; 14/1596 (0.9%) in Western-Pacific Region; and 1/1596 (0.1%) in the European Region. As the majority of the cVDPV2 outbreaks have been seeded through monovalent type 2 oral poliovirus vaccine (mOPV2) use in outbreak responses, the introduction of the more stable novel oral poliovirus vaccine will be instrumental in stopping emergence of new cVDPV2 lineages.Copyright © 2022. Published by Elsevier Ltd.&quot;,&quot;author&quot;:[{&quot;family&quot;:&quot;Macklin&quot;,&quot;given&quot;:&quot;Grace R&quot;},{&quot;family&quot;:&quot;Goel&quot;,&quot;given&quot;:&quot;Ajay K&quot;},{&quot;family&quot;:&quot;Mach&quot;,&quot;given&quot;:&quot;Ondrej&quot;},{&quot;family&quot;:&quot;Tallis&quot;,&quot;given&quot;:&quot;Graham&quot;},{&quot;family&quot;:&quot;Ahmed&quot;,&quot;given&quot;:&quot;Jamal A&quot;},{&quot;family&quot;:&quot;O'Reilly&quot;,&quot;given&quot;:&quot;Kathleen M&quot;},{&quot;family&quot;:&quot;Grassly&quot;,&quot;given&quot;:&quot;Nicholas C&quot;},{&quot;family&quot;:&quot;Diop&quot;,&quot;given&quot;:&quot;Ousmane M&quot;}],&quot;issued&quot;:{&quot;date-parts&quot;:[[&quot;2023&quot;,&quot;4&quot;,&quot;6&quot;]]},&quot;DOI&quot;:&quot;10.1016/j.vaccine.2022.08.008&quot;,&quot;PMID&quot;:&quot;36008232&quot;,&quot;citation-label&quot;:&quot;15909277&quot;},{&quot;title&quot;:&quot;Outbreak of poliomyelitis in Hispaniola associated with circulating type 1 vaccine-derived poliovirus.&quot;,&quot;page&quot;:&quot;356-359&quot;,&quot;volume&quot;:&quot;296&quot;,&quot;issue&quot;:&quot;5566&quot;,&quot;journalAbbreviation&quot;:&quot;Science&quot;,&quot;id&quot;:&quot;733109&quot;,&quot;type&quot;:&quot;article-journal&quot;,&quot;container-title&quot;:&quot;Science&quot;,&quot;container-title-short&quot;:&quot;Science&quot;,&quot;abstract&quot;:&quot;An outbreak of paralytic poliomyelitis occurred in the Dominican Republic (13 confirmed cases) and Haiti (8 confirmed cases, including 2 fatal cases) during 2000-2001. All but one of the patients were either unvaccinated or incompletely vaccinated children, and cases occurred in communities with very low (7 to 40%) rates of coverage with oral poliovirus vaccine (OPV). The outbreak was associated with the circulation of a derivative of the type 1 OPV strain, probably originating from a single OPV dose given in 1998-1999. The vaccine-derived poliovirus associated with the outbreak had biological properties indistinguishable from those of wild poliovirus.&quot;,&quot;author&quot;:[{&quot;family&quot;:&quot;Kew&quot;,&quot;given&quot;:&quot;Olen&quot;},{&quot;family&quot;:&quot;Morris-Glasgow&quot;,&quot;given&quot;:&quot;Victoria&quot;},{&quot;family&quot;:&quot;Landaverde&quot;,&quot;given&quot;:&quot;Mauricio&quot;},{&quot;family&quot;:&quot;Burns&quot;,&quot;given&quot;:&quot;Cara&quot;},{&quot;family&quot;:&quot;Shaw&quot;,&quot;given&quot;:&quot;Jing&quot;},{&quot;family&quot;:&quot;Garib&quot;,&quot;given&quot;:&quot;Zacarías&quot;},{&quot;family&quot;:&quot;André&quot;,&quot;given&quot;:&quot;Jean&quot;},{&quot;family&quot;:&quot;Blackman&quot;,&quot;given&quot;:&quot;Elizabeth&quot;},{&quot;family&quot;:&quot;Freeman&quot;,&quot;given&quot;:&quot;C Jason&quot;},{&quot;family&quot;:&quot;Jorba&quot;,&quot;given&quot;:&quot;Jaume&quot;},{&quot;family&quot;:&quot;Sutter&quot;,&quot;given&quot;:&quot;Roland&quot;},{&quot;family&quot;:&quot;Tambini&quot;,&quot;given&quot;:&quot;Gina&quot;},{&quot;family&quot;:&quot;Venczel&quot;,&quot;given&quot;:&quot;Linda&quot;},{&quot;family&quot;:&quot;Pedreira&quot;,&quot;given&quot;:&quot;Cristina&quot;},{&quot;family&quot;:&quot;Laender&quot;,&quot;given&quot;:&quot;Fernando&quot;},{&quot;family&quot;:&quot;Shimizu&quot;,&quot;given&quot;:&quot;Hiroyuki&quot;},{&quot;family&quot;:&quot;Yoneyama&quot;,&quot;given&quot;:&quot;Tetsuo&quot;},{&quot;family&quot;:&quot;Miyamura&quot;,&quot;given&quot;:&quot;Tatsuo&quot;},{&quot;family&quot;:&quot;van Der Avoort&quot;,&quot;given&quot;:&quot;Harrie&quot;},{&quot;family&quot;:&quot;Oberste&quot;,&quot;given&quot;:&quot;M Steven&quot;},{&quot;family&quot;:&quot;Kilpatrick&quot;,&quot;given&quot;:&quot;David&quot;},{&quot;family&quot;:&quot;Cochi&quot;,&quot;given&quot;:&quot;Stephen&quot;},{&quot;family&quot;:&quot;Pallansch&quot;,&quot;given&quot;:&quot;Mark&quot;},{&quot;family&quot;:&quot;de Quadros&quot;,&quot;given&quot;:&quot;Ciro&quot;}],&quot;issued&quot;:{&quot;date-parts&quot;:[[&quot;2002&quot;,&quot;4&quot;,&quot;12&quot;]]},&quot;DOI&quot;:&quot;10.1126/science.1068284&quot;,&quot;PMID&quot;:&quot;11896235&quot;,&quot;citation-label&quot;:&quot;733109&quot;},{&quot;title&quot;:&quot;The case for replacing live oral polio vaccine with inactivated vaccine in the Americas.&quot;,&quot;page&quot;:&quot;1163-1166&quot;,&quot;volume&quot;:&quot;395&quot;,&quot;issue&quot;:&quot;10230&quot;,&quot;journalAbbreviation&quot;:&quot;Lancet&quot;,&quot;id&quot;:&quot;10061319&quot;,&quot;type&quot;:&quot;article-journal&quot;,&quot;container-title&quot;:&quot;The Lancet&quot;,&quot;container-title-short&quot;:&quot;Lancet&quot;,&quot;author&quot;:[{&quot;family&quot;:&quot;Alfaro-Murillo&quot;,&quot;given&quot;:&quot;Jorge A&quot;},{&quot;family&quot;:&quot;Ávila-Agüero&quot;,&quot;given&quot;:&quot;Marí L&quot;},{&quot;family&quot;:&quot;Fitzpatrick&quot;,&quot;given&quot;:&quot;Meagan C&quot;},{&quot;family&quot;:&quot;Crystal&quot;,&quot;given&quot;:&quot;Caroline J&quot;},{&quot;family&quot;:&quot;Falleiros-Arlant&quot;,&quot;given&quot;:&quot;Luiza-Helena&quot;},{&quot;family&quot;:&quot;Galvani&quot;,&quot;given&quot;:&quot;Alison P&quot;}],&quot;issued&quot;:{&quot;date-parts&quot;:[[&quot;2020&quot;,&quot;4&quot;,&quot;4&quot;]]},&quot;DOI&quot;:&quot;10.1016/S0140-6736(20)30213-0&quot;,&quot;PMID&quot;:&quot;32247397&quot;,&quot;PMCID&quot;:&quot;PMC8572547&quot;,&quot;citation-label&quot;:&quot;10061319&quot;},{&quot;title&quot;:&quot;Circulating vaccine-derived poliovirus type 2 (cVDPV2) - Indonesia&quot;,&quot;accessed&quot;:{&quot;date-parts&quot;:[[&quot;2024&quot;,&quot;1&quot;,&quot;22&quot;]]},&quot;id&quot;:&quot;15909195&quot;,&quot;type&quot;:&quot;webpage&quot;,&quot;issued&quot;:{&quot;date-parts&quot;:[[]]},&quot;URL&quot;:&quot;https://www.who.int/emergencies/disease-outbreak-news/item/2023-DON458&quot;,&quot;citation-label&quot;:&quot;15909195&quot;},{&quot;title&quot;:&quot;Evolving epidemiology of poliovirus serotype 2 following withdrawal of the serotype 2 oral poliovirus vaccine.&quot;,&quot;page&quot;:&quot;401-405&quot;,&quot;volume&quot;:&quot;368&quot;,&quot;issue&quot;:&quot;6489&quot;,&quot;journalAbbreviation&quot;:&quot;Science&quot;,&quot;id&quot;:&quot;8759975&quot;,&quot;type&quot;:&quot;article-journal&quot;,&quot;container-title&quot;:&quot;Science&quot;,&quot;container-title-short&quot;:&quot;Science&quot;,&quot;abstract&quot;:&quot;Although there have been no cases of serotype 2 wild poliovirus for more than 20 years, transmission of serotype 2 vaccine-derived poliovirus (VDPV2) and associated paralytic cases in several continents represent a threat to eradication. The withdrawal of the serotype 2 component of oral poliovirus vaccine (OPV2) was implemented in April 2016 to stop VDPV2 emergence and secure eradication of all serotype 2 poliovirus. Globally, children born after this date have limited immunity to prevent transmission. Using a statistical model, we estimated the emergence date and source of VDPV2s detected between May 2016 and November 2019. Outbreak response campaigns with monovalent OPV2 are the only available method to induce immunity to prevent transmission. Yet our analysis shows that using monovalent OPV2 is generating more paralytic VDPV2 outbreaks with the potential for establishing endemic transmission. A novel OPV2, for which two candidates are currently in clinical trials, is urgently required, together with a contingency strategy if this vaccine does not materialize or perform as anticipated.Copyright © 2020 The Authors, some rights reserved; exclusive licensee American Association for the Advancement of Science. No claim to original U.S. Government Works.&quot;,&quot;author&quot;:[{&quot;family&quot;:&quot;Macklin&quot;,&quot;given&quot;:&quot;G R&quot;},{&quot;family&quot;:&quot;O'Reilly&quot;,&quot;given&quot;:&quot;K M&quot;},{&quot;family&quot;:&quot;Grassly&quot;,&quot;given&quot;:&quot;N C&quot;},{&quot;family&quot;:&quot;Edmunds&quot;,&quot;given&quot;:&quot;W J&quot;},{&quot;family&quot;:&quot;Mach&quot;,&quot;given&quot;:&quot;O&quot;},{&quot;family&quot;:&quot;Santhana Gopala Krishnan&quot;,&quot;given&quot;:&quot;R&quot;},{&quot;family&quot;:&quot;Voorman&quot;,&quot;given&quot;:&quot;A&quot;},{&quot;family&quot;:&quot;Vertefeuille&quot;,&quot;given&quot;:&quot;J F&quot;},{&quot;family&quot;:&quot;Abdelwahab&quot;,&quot;given&quot;:&quot;J&quot;},{&quot;family&quot;:&quot;Gumede&quot;,&quot;given&quot;:&quot;N&quot;},{&quot;family&quot;:&quot;Goel&quot;,&quot;given&quot;:&quot;A&quot;},{&quot;family&quot;:&quot;Sosler&quot;,&quot;given&quot;:&quot;S&quot;},{&quot;family&quot;:&quot;Sever&quot;,&quot;given&quot;:&quot;J&quot;},{&quot;family&quot;:&quot;Bandyopadhyay&quot;,&quot;given&quot;:&quot;A S&quot;},{&quot;family&quot;:&quot;Pallansch&quot;,&quot;given&quot;:&quot;M A&quot;},{&quot;family&quot;:&quot;Nandy&quot;,&quot;given&quot;:&quot;R&quot;},{&quot;family&quot;:&quot;Mkanda&quot;,&quot;given&quot;:&quot;P&quot;},{&quot;family&quot;:&quot;Diop&quot;,&quot;given&quot;:&quot;O M&quot;},{&quot;family&quot;:&quot;Sutter&quot;,&quot;given&quot;:&quot;R W&quot;}],&quot;issued&quot;:{&quot;date-parts&quot;:[[&quot;2020&quot;,&quot;4&quot;,&quot;24&quot;]]},&quot;DOI&quot;:&quot;10.1126/science.aba1238&quot;,&quot;PMID&quot;:&quot;32193361&quot;,&quot;PMCID&quot;:&quot;PMC10805349&quot;,&quot;citation-label&quot;:&quot;8759975&quot;},{&quot;title&quot;:&quot;Two out of three wild poliovirus strains eradicated&quot;,&quot;accessed&quot;:{&quot;date-parts&quot;:[[&quot;2024&quot;,&quot;1&quot;,&quot;22&quot;]]},&quot;id&quot;:&quot;15909184&quot;,&quot;type&quot;:&quot;webpage&quot;,&quot;issued&quot;:{&quot;date-parts&quot;:[[]]},&quot;URL&quot;:&quot;https://www.who.int/news-room/feature-stories/detail/two-out-of-three-wild-poliovirus-strains-eradicated&quot;,&quot;citation-label&quot;:&quot;15909184&quot;},{&quot;title&quot;:&quot;The growing threat of wild poliovirus 1 and vaccine-derived cases in the COVID-19 era.&quot;,&quot;page&quot;:&quot;1412-1414&quot;,&quot;volume&quot;:&quot;22&quot;,&quot;issue&quot;:&quot;10&quot;,&quot;journalAbbreviation&quot;:&quot;Lancet Infect. Dis.&quot;,&quot;id&quot;:&quot;13867484&quot;,&quot;type&quot;:&quot;article-journal&quot;,&quot;container-title&quot;:&quot;The Lancet Infectious Diseases&quot;,&quot;container-title-short&quot;:&quot;Lancet Infect. Dis.&quot;,&quot;author&quot;:[{&quot;family&quot;:&quot;Franco-Paredes&quot;,&quot;given&quot;:&quot;Carlos&quot;},{&quot;family&quot;:&quot;Rodriguez-Morales&quot;,&quot;given&quot;:&quot;Alfonso J&quot;},{&quot;family&quot;:&quot;Henao-Martínez&quot;,&quot;given&quot;:&quot;Andrés F&quot;},{&quot;family&quot;:&quot;Carrasco&quot;,&quot;given&quot;:&quot;Peter&quot;},{&quot;family&quot;:&quot;Tuells&quot;,&quot;given&quot;:&quot;Jose&quot;}],&quot;issued&quot;:{&quot;date-parts&quot;:[[&quot;2022&quot;,&quot;10&quot;]]},&quot;DOI&quot;:&quot;10.1016/S1473-3099(22)00548-5&quot;,&quot;PMID&quot;:&quot;35985345&quot;,&quot;PMCID&quot;:&quot;PMC9381021&quot;,&quot;citation-label&quot;:&quot;13867484&quot;},{&quot;title&quot;:&quot;Using circuit theory to model connectivity in ecology, evolution, and conservation.&quot;,&quot;page&quot;:&quot;2712-2724&quot;,&quot;volume&quot;:&quot;89&quot;,&quot;issue&quot;:&quot;10&quot;,&quot;journalAbbreviation&quot;:&quot;Ecology&quot;,&quot;id&quot;:&quot;201525&quot;,&quot;type&quot;:&quot;article-journal&quot;,&quot;container-title&quot;:&quot;Ecology&quot;,&quot;container-title-short&quot;:&quot;Ecology&quot;,&quot;abstract&quot;:&quot;Connectivity among populations and habitats is important for a wide range of ecological processes. Understanding, preserving, and restoring connectivity in complex landscapes requires connectivity models and metrics that are reliable, efficient, and process based. We introduce a new class of ecological connectivity models based in electrical circuit theory. Although they have been applied in other disciplines, circuit-theoretic connectivity models are new to ecology. They offer distinct advantages over common analytic connectivity models, including a theoretical basis in random walk theory and an ability to evaluate contributions of multiple dispersal pathways. Resistance, current, and voltage calculated across graphs or raster grids can be related to ecological processes (such as individual movement and gene flow) that occur across large population networks or landscapes. Efficient algorithms can quickly solve networks with millions of nodes, or landscapes with millions of raster cells. Here we review basic circuit theory, discuss relationships between circuit and random walk theories, and describe applications in ecology, evolution, and conservation. We provide examples of how circuit models can be used to predict movement patterns and fates of random walkers in complex landscapes and to identify important habitat patches and movement corridors for conservation planning.&quot;,&quot;author&quot;:[{&quot;family&quot;:&quot;McRae&quot;,&quot;given&quot;:&quot;Brad H&quot;},{&quot;family&quot;:&quot;Dickson&quot;,&quot;given&quot;:&quot;Brett G&quot;},{&quot;family&quot;:&quot;Keitt&quot;,&quot;given&quot;:&quot;Timothy H&quot;},{&quot;family&quot;:&quot;Shah&quot;,&quot;given&quot;:&quot;Viral B&quot;}],&quot;issued&quot;:{&quot;date-parts&quot;:[[&quot;2008&quot;,&quot;10&quot;]]},&quot;DOI&quot;:&quot;10.1890/07-1861.1&quot;,&quot;PMID&quot;:&quot;18959309&quot;,&quot;citation-label&quot;:&quot;201525&quot;},{&quot;title&quot;:&quot;ISOLATION BY RESISTANCE&quot;,&quot;page&quot;:&quot;1551-1561&quot;,&quot;volume&quot;:&quot;60&quot;,&quot;issue&quot;:&quot;8&quot;,&quot;journalAbbreviation&quot;:&quot;Evolution&quot;,&quot;id&quot;:&quot;2779705&quot;,&quot;type&quot;:&quot;article-journal&quot;,&quot;container-title&quot;:&quot;Evolution&quot;,&quot;container-title-short&quot;:&quot;Evolution&quot;,&quot;author&quot;:[{&quot;family&quot;:&quot;McRae&quot;,&quot;given&quot;:&quot;Brad H.&quot;}],&quot;issued&quot;:{&quot;date-parts&quot;:[[&quot;2006&quot;,&quot;8&quot;]]},&quot;DOI&quot;:&quot;10.1111/j.0014-3820.2006.tb00500.x&quot;,&quot;citation-label&quot;:&quot;2779705&quot;},{&quot;title&quot;:&quot;Using viral gene sequences to compare and explain the heterogeneous spatial dynamics of virus epidemics.&quot;,&quot;page&quot;:&quot;2563-2571&quot;,&quot;volume&quot;:&quot;34&quot;,&quot;issue&quot;:&quot;10&quot;,&quot;journalAbbreviation&quot;:&quot;Mol. Biol. Evol.&quot;,&quot;id&quot;:&quot;15496059&quot;,&quot;type&quot;:&quot;article-journal&quot;,&quot;container-title&quot;:&quot;Molecular Biology and Evolution&quot;,&quot;container-title-short&quot;:&quot;Mol. Biol. Evol.&quot;,&quot;abstract&quot;:&quot;Rabies is an important zoonotic disease distributed worldwide. A key question in rabies epidemiology is the identification of factors that impact virus dispersion. Here we apply new analytical methods, based on phylogeographic reconstructions of viral lineage movement, to undertake a comparative evolutionary-epidemiological study of the spatial dynamics of rabies virus (RABV) epidemics in different hosts and habitats. We compiled RABV data sets from skunk, raccoon, bat and domestic dog populations in order to investigate the viral diffusivity of different RABV epidemics, and to detect and compare the environmental factors that impact the velocity of viral spread in continuous spatial landscapes. We build on a recently developed statistical framework that uses spatially- and temporally-referenced phylogenies. We estimate several spatial statistics of virus spread, which reveal a higher diffusivity of RABV in domestic dogs compared with RABV in other mammals. This finding is explained by subsequent analyses of environmental heterogeneity, which indicate that factors relating to human geography play a significant role in RABV dispersion in domestic dogs. More generally, our results suggest that human-related factors are important worldwide in explaining RABV dispersion in terrestrial host species. Our study shows that phylogenetically informed viral movements can be used to elucidate the factors that impact virus dispersal, opening new opportunities for a better understanding of the impact of host species and environmental conditions on the spatial dynamics of rapidly evolving populations.© The Author 2017. Published by Oxford University Press on behalf of the Society for Molecular Biology and Evolution. All rights reserved. For permissions, please e-mail: journals.permissions@oup.com.&quot;,&quot;author&quot;:[{&quot;family&quot;:&quot;Dellicour&quot;,&quot;given&quot;:&quot;Simon&quot;},{&quot;family&quot;:&quot;Rose&quot;,&quot;given&quot;:&quot;Rebecca&quot;},{&quot;family&quot;:&quot;Faria&quot;,&quot;given&quot;:&quot;Nuno Rodrigues&quot;},{&quot;family&quot;:&quot;Vieira&quot;,&quot;given&quot;:&quot;Luiz Fernando Pereira&quot;},{&quot;family&quot;:&quot;Bourhy&quot;,&quot;given&quot;:&quot;Hervé&quot;},{&quot;family&quot;:&quot;Gilbert&quot;,&quot;given&quot;:&quot;Marius&quot;},{&quot;family&quot;:&quot;Lemey&quot;,&quot;given&quot;:&quot;Philippe&quot;},{&quot;family&quot;:&quot;Pybus&quot;,&quot;given&quot;:&quot;Oliver G&quot;}],&quot;issued&quot;:{&quot;date-parts&quot;:[[&quot;2017&quot;,&quot;10&quot;,&quot;1&quot;]]},&quot;DOI&quot;:&quot;10.1093/molbev/msx176&quot;,&quot;PMID&quot;:&quot;28651357&quot;,&quot;citation-label&quot;:&quot;15496059&quot;},{&quot;title&quot;:&quot;Unifying viral genetics and human transportation data to predict the global transmission dynamics of human influenza H3N2.&quot;,&quot;page&quot;:&quot;e1003932&quot;,&quot;volume&quot;:&quot;10&quot;,&quot;issue&quot;:&quot;2&quot;,&quot;journalAbbreviation&quot;:&quot;PLoS Pathog.&quot;,&quot;id&quot;:&quot;387399&quot;,&quot;type&quot;:&quot;article-journal&quot;,&quot;container-title&quot;:&quot;PLoS Pathogens&quot;,&quot;container-title-short&quot;:&quot;PLoS Pathog.&quot;,&quot;abstract&quot;:&quot;Information on global human movement patterns is central to spatial epidemiological models used to predict the behavior of influenza and other infectious diseases. Yet it remains difficult to test which modes of dispersal drive pathogen spread at various geographic scales using standard epidemiological data alone. Evolutionary analyses of pathogen genome sequences increasingly provide insights into the spatial dynamics of influenza viruses, but to date they have largely neglected the wealth of information on human mobility, mainly because no statistical framework exists within which viral gene sequences and empirical data on host movement can be combined. Here, we address this problem by applying a phylogeographic approach to elucidate the global spread of human influenza subtype H3N2 and assess its ability to predict the spatial spread of human influenza A viruses worldwide. Using a framework that estimates the migration history of human influenza while simultaneously testing and quantifying a range of potential predictive variables of spatial spread, we show that the global dynamics of influenza H3N2 are driven by air passenger flows, whereas at more local scales spread is also determined by processes that correlate with geographic distance. Our analyses further confirm a central role for mainland China and Southeast Asia in maintaining a source population for global influenza diversity. By comparing model output with the known pandemic expansion of H1N1 during 2009, we demonstrate that predictions of influenza spatial spread are most accurate when data on human mobility and viral evolution are integrated. In conclusion, the global dynamics of influenza viruses are best explained by combining human mobility data with the spatial information inherent in sampled viral genomes. The integrated approach introduced here offers great potential for epidemiological surveillance through phylogeographic reconstructions and for improving predictive models of disease control.&quot;,&quot;author&quot;:[{&quot;family&quot;:&quot;Lemey&quot;,&quot;given&quot;:&quot;Philippe&quot;},{&quot;family&quot;:&quot;Rambaut&quot;,&quot;given&quot;:&quot;Andrew&quot;},{&quot;family&quot;:&quot;Bedford&quot;,&quot;given&quot;:&quot;Trevor&quot;},{&quot;family&quot;:&quot;Faria&quot;,&quot;given&quot;:&quot;Nuno&quot;},{&quot;family&quot;:&quot;Bielejec&quot;,&quot;given&quot;:&quot;Filip&quot;},{&quot;family&quot;:&quot;Baele&quot;,&quot;given&quot;:&quot;Guy&quot;},{&quot;family&quot;:&quot;Russell&quot;,&quot;given&quot;:&quot;Colin A&quot;},{&quot;family&quot;:&quot;Smith&quot;,&quot;given&quot;:&quot;Derek J&quot;},{&quot;family&quot;:&quot;Pybus&quot;,&quot;given&quot;:&quot;Oliver G&quot;},{&quot;family&quot;:&quot;Brockmann&quot;,&quot;given&quot;:&quot;Dirk&quot;},{&quot;family&quot;:&quot;Suchard&quot;,&quot;given&quot;:&quot;Marc A&quot;}],&quot;issued&quot;:{&quot;date-parts&quot;:[[&quot;2014&quot;,&quot;2&quot;,&quot;20&quot;]]},&quot;DOI&quot;:&quot;10.1371/journal.ppat.1003932&quot;,&quot;PMID&quot;:&quot;24586153&quot;,&quot;PMCID&quot;:&quot;PMC3930559&quot;,&quot;citation-label&quot;:&quot;387399&quot;},{&quot;title&quot;:&quot;Dynamics and Dispersal of Local Human Immunodeficiency Virus Epidemics Within San Diego and Across the San Diego-Tijuana Border.&quot;,&quot;page&quot;:&quot;e2018-e2025&quot;,&quot;volume&quot;:&quot;73&quot;,&quot;issue&quot;:&quot;7&quot;,&quot;journalAbbreviation&quot;:&quot;Clin. Infect. Dis.&quot;,&quot;id&quot;:&quot;10071060&quot;,&quot;type&quot;:&quot;article-journal&quot;,&quot;container-title&quot;:&quot;Clinical Infectious Diseases&quot;,&quot;container-title-short&quot;:&quot;Clin. Infect. Dis.&quot;,&quot;abstract&quot;:&quot;BACKGROUND: Evolutionary analyses of well-annotated human immunodeficiency virus (HIV) sequence data can provide insights into viral transmission patterns and associated factors. Here, we explored the transmission dynamics of the HIV-1 subtype B epidemic across the San Diego (US) and Tijuana (Mexico) border region to identify factors that could help guide public health policy.METHODS: HIV pol sequences were collected from people with HIV in San Diego County and Tijuana between 1996-2018. A multistep phylogenetic approach was used to characterize the dynamics of spread. The contributions of geospatial factors and HIV risk group to the local dynamics were evaluated.RESULTS: Phylogeographic analyses of the 2034 sequences revealed an important contribution of local transmission in sustaining the epidemic, as well as a complex viral migration network across the region. Geospatial viral dispersal between San Diego communities occurred predominantly among men who have sex with men, with central San Diego being the main source (34.9%) and recipient (39.5%) of migration events. HIV migration was more frequent from San Diego county towards Tijuana than vice versa. Migrations were best explained by the driving time between locations.CONCLUSIONS: The US-Mexico border may not be a major barrier to the spread of HIV, which may stimulate coordinated transnational intervention approaches. Whereas a focus on central San Diego has the potential to avert most spread, the substantial viral migration independent of central San Diego shows that county-wide efforts will be more effective. Combined, this work shows that epidemiological information gleaned from pathogen genomes can uncover mechanisms that underlie sustained spread and, in turn, can be a building block of public health decision-making.© The Author(s) 2020. Published by Oxford University Press for the Infectious Diseases Society of America. All rights reserved. For permissions, e-mail: journals.permissions@oup.com.&quot;,&quot;author&quot;:[{&quot;family&quot;:&quot;Vrancken&quot;,&quot;given&quot;:&quot;Bram&quot;},{&quot;family&quot;:&quot;Mehta&quot;,&quot;given&quot;:&quot;Sanjay R&quot;},{&quot;family&quot;:&quot;Ávila-Ríos&quot;,&quot;given&quot;:&quot;Santiago&quot;},{&quot;family&quot;:&quot;García-Morales&quot;,&quot;given&quot;:&quot;Claudia&quot;},{&quot;family&quot;:&quot;Tapia-Trejo&quot;,&quot;given&quot;:&quot;Daniela&quot;},{&quot;family&quot;:&quot;Reyes-Terán&quot;,&quot;given&quot;:&quot;Gustavo&quot;},{&quot;family&quot;:&quot;Navarro-Álvarez&quot;,&quot;given&quot;:&quot;Samuel&quot;},{&quot;family&quot;:&quot;Little&quot;,&quot;given&quot;:&quot;Susan J&quot;},{&quot;family&quot;:&quot;Hoenigl&quot;,&quot;given&quot;:&quot;Martin&quot;},{&quot;family&quot;:&quot;Pines&quot;,&quot;given&quot;:&quot;Heather A&quot;},{&quot;family&quot;:&quot;Patterson&quot;,&quot;given&quot;:&quot;Thomas&quot;},{&quot;family&quot;:&quot;Strathdee&quot;,&quot;given&quot;:&quot;Steffanie A&quot;},{&quot;family&quot;:&quot;Smith&quot;,&quot;given&quot;:&quot;Davey M&quot;},{&quot;family&quot;:&quot;Dellicour&quot;,&quot;given&quot;:&quot;Simon&quot;},{&quot;family&quot;:&quot;Chaillon&quot;,&quot;given&quot;:&quot;Antoine&quot;}],&quot;issued&quot;:{&quot;date-parts&quot;:[[&quot;2021&quot;,&quot;10&quot;,&quot;5&quot;]]},&quot;DOI&quot;:&quot;10.1093/cid/ciaa1588&quot;,&quot;PMID&quot;:&quot;33079188&quot;,&quot;PMCID&quot;:&quot;PMC8492140&quot;,&quot;citation-label&quot;:&quot;10071060&quot;},{&quot;title&quot;:&quot;Bayesian phylogenetic and phylodynamic data integration using BEAST 1.10.&quot;,&quot;page&quot;:&quot;vey016&quot;,&quot;volume&quot;:&quot;4&quot;,&quot;issue&quot;:&quot;1&quot;,&quot;journalAbbreviation&quot;:&quot;Virus Evol.&quot;,&quot;id&quot;:&quot;5904397&quot;,&quot;type&quot;:&quot;article-journal&quot;,&quot;container-title&quot;:&quot;Virus evolution&quot;,&quot;container-title-short&quot;:&quot;Virus Evol.&quot;,&quot;abstract&quot;:&quot;The Bayesian Evolutionary Analysis by Sampling Trees (BEAST) software package has become a primary tool for Bayesian phylogenetic and phylodynamic inference from genetic sequence data. BEAST unifies molecular phylogenetic reconstruction with complex discrete and continuous trait evolution, divergence-time dating, and coalescent demographic models in an efficient statistical inference engine using Markov chain Monte Carlo integration. A convenient, cross-platform, graphical user interface allows the flexible construction of complex evolutionary analyses.&quot;,&quot;author&quot;:[{&quot;family&quot;:&quot;Suchard&quot;,&quot;given&quot;:&quot;Marc A&quot;},{&quot;family&quot;:&quot;Lemey&quot;,&quot;given&quot;:&quot;Philippe&quot;},{&quot;family&quot;:&quot;Baele&quot;,&quot;given&quot;:&quot;Guy&quot;},{&quot;family&quot;:&quot;Ayres&quot;,&quot;given&quot;:&quot;Daniel L&quot;},{&quot;family&quot;:&quot;Drummond&quot;,&quot;given&quot;:&quot;Alexei J&quot;},{&quot;family&quot;:&quot;Rambaut&quot;,&quot;given&quot;:&quot;Andrew&quot;}],&quot;issued&quot;:{&quot;date-parts&quot;:[[&quot;2018&quot;,&quot;1&quot;]]},&quot;DOI&quot;:&quot;10.1093/ve/vey016&quot;,&quot;PMID&quot;:&quot;29942656&quot;,&quot;PMCID&quot;:&quot;PMC6007674&quot;,&quot;citation-label&quot;:&quot;5904397&quot;},{&quot;title&quot;:&quot;Bayesian phylogeography finds its roots.&quot;,&quot;page&quot;:&quot;e1000520&quot;,&quot;volume&quot;:&quot;5&quot;,&quot;issue&quot;:&quot;9&quot;,&quot;journalAbbreviation&quot;:&quot;PLoS Comput. Biol.&quot;,&quot;id&quot;:&quot;386374&quot;,&quot;type&quot;:&quot;article-journal&quot;,&quot;container-title&quot;:&quot;PLoS Computational Biology&quot;,&quot;container-title-short&quot;:&quot;PLoS Comput. Biol.&quot;,&quot;abstract&quot;:&quot;As a key factor in endemic and epidemic dynamics, the geographical distribution of viruses has been frequently interpreted in the light of their genetic histories. Unfortunately, inference of historical dispersal or migration patterns of viruses has mainly been restricted to model-free heuristic approaches that provide little insight into the temporal setting of the spatial dynamics. The introduction of probabilistic models of evolution, however, offers unique opportunities to engage in this statistical endeavor. Here we introduce a Bayesian framework for inference, visualization and hypothesis testing of phylogeographic history. By implementing character mapping in a Bayesian software that samples time-scaled phylogenies, we enable the reconstruction of timed viral dispersal patterns while accommodating phylogenetic uncertainty. Standard Markov model inference is extended with a stochastic search variable selection procedure that identifies the parsimonious descriptions of the diffusion process. In addition, we propose priors that can incorporate geographical sampling distributions or characterize alternative hypotheses about the spatial dynamics. To visualize the spatial and temporal information, we summarize inferences using virtual globe software. We describe how Bayesian phylogeography compares with previous parsimony analysis in the investigation of the influenza A H5N1 origin and H5N1 epidemiological linkage among sampling localities. Analysis of rabies in West African dog populations reveals how virus diffusion may enable endemic maintenance through continuous epidemic cycles. From these analyses, we conclude that our phylogeographic framework will make an important asset in molecular epidemiology that can be easily generalized to infer biogeogeography from genetic data for many organisms.&quot;,&quot;author&quot;:[{&quot;family&quot;:&quot;Lemey&quot;,&quot;given&quot;:&quot;Philippe&quot;},{&quot;family&quot;:&quot;Rambaut&quot;,&quot;given&quot;:&quot;Andrew&quot;},{&quot;family&quot;:&quot;Drummond&quot;,&quot;given&quot;:&quot;Alexei J&quot;},{&quot;family&quot;:&quot;Suchard&quot;,&quot;given&quot;:&quot;Marc A&quot;}],&quot;issued&quot;:{&quot;date-parts&quot;:[[&quot;2009&quot;,&quot;9&quot;,&quot;25&quot;]]},&quot;DOI&quot;:&quot;10.1371/journal.pcbi.1000520&quot;,&quot;PMID&quot;:&quot;19779555&quot;,&quot;PMCID&quot;:&quot;PMC2740835&quot;,&quot;citation-label&quot;:&quot;386374&quot;},{&quot;title&quot;:&quot;Epidemiological hypothesis testing using a phylogeographic and phylodynamic framework.&quot;,&quot;page&quot;:&quot;5620&quot;,&quot;volume&quot;:&quot;11&quot;,&quot;issue&quot;:&quot;1&quot;,&quot;journalAbbreviation&quot;:&quot;Nat. Commun.&quot;,&quot;id&quot;:&quot;15463891&quot;,&quot;type&quot;:&quot;article-journal&quot;,&quot;container-title&quot;:&quot;Nature Communications&quot;,&quot;container-title-short&quot;:&quot;Nat. Commun.&quot;,&quot;abstract&quot;:&quot;Computational analyses of pathogen genomes are increasingly used to unravel the dispersal history and transmission dynamics of epidemics. Here, we show how to go beyond historical reconstructions and use spatially-explicit phylogeographic and phylodynamic approaches to formally test epidemiological hypotheses. We illustrate our approach by focusing on the West Nile virus (WNV) spread in North America that has substantially impacted public, veterinary, and wildlife health. We apply an analytical workflow to a comprehensive WNV genome collection to test the impact of environmental factors on the dispersal of viral lineages and on viral population genetic diversity through time. We find that WNV lineages tend to disperse faster in areas with higher temperatures and we identify temporal variation in temperature as a main predictor of viral genetic diversity through time. By contrasting inference with simulation, we find no evidence for viral lineages to preferentially circulate within the same migratory bird flyway, suggesting a substantial role for non-migratory birds or mosquito dispersal along the longitudinal gradient.&quot;,&quot;author&quot;:[{&quot;family&quot;:&quot;Dellicour&quot;,&quot;given&quot;:&quot;Simon&quot;},{&quot;family&quot;:&quot;Lequime&quot;,&quot;given&quot;:&quot;Sebastian&quot;},{&quot;family&quot;:&quot;Vrancken&quot;,&quot;given&quot;:&quot;Bram&quot;},{&quot;family&quot;:&quot;Gill&quot;,&quot;given&quot;:&quot;Mandev S&quot;},{&quot;family&quot;:&quot;Bastide&quot;,&quot;given&quot;:&quot;Paul&quot;},{&quot;family&quot;:&quot;Gangavarapu&quot;,&quot;given&quot;:&quot;Karthik&quot;},{&quot;family&quot;:&quot;Matteson&quot;,&quot;given&quot;:&quot;Nathaniel L&quot;},{&quot;family&quot;:&quot;Tan&quot;,&quot;given&quot;:&quot;Yi&quot;},{&quot;family&quot;:&quot;du Plessis&quot;,&quot;given&quot;:&quot;Louis&quot;},{&quot;family&quot;:&quot;Fisher&quot;,&quot;given&quot;:&quot;Alexander A&quot;},{&quot;family&quot;:&quot;Nelson&quot;,&quot;given&quot;:&quot;Martha I&quot;},{&quot;family&quot;:&quot;Gilbert&quot;,&quot;given&quot;:&quot;Marius&quot;},{&quot;family&quot;:&quot;Suchard&quot;,&quot;given&quot;:&quot;Marc A&quot;},{&quot;family&quot;:&quot;Andersen&quot;,&quot;given&quot;:&quot;Kristian G&quot;},{&quot;family&quot;:&quot;Grubaugh&quot;,&quot;given&quot;:&quot;Nathan D&quot;},{&quot;family&quot;:&quot;Pybus&quot;,&quot;given&quot;:&quot;Oliver G&quot;},{&quot;family&quot;:&quot;Lemey&quot;,&quot;given&quot;:&quot;Philippe&quot;}],&quot;issued&quot;:{&quot;date-parts&quot;:[[&quot;2020&quot;,&quot;11&quot;,&quot;6&quot;]]},&quot;DOI&quot;:&quot;10.1038/s41467-020-19122-z&quot;,&quot;PMID&quot;:&quot;33159066&quot;,&quot;PMCID&quot;:&quot;PMC7648063&quot;,&quot;citation-label&quot;:&quot;15463891&quot;},{&quot;title&quot;:&quot;Establishment and lineage dynamics of the SARS-CoV-2 epidemic in the UK.&quot;,&quot;page&quot;:&quot;708-712&quot;,&quot;volume&quot;:&quot;371&quot;,&quot;issue&quot;:&quot;6530&quot;,&quot;journalAbbreviation&quot;:&quot;Science&quot;,&quot;id&quot;:&quot;10281601&quot;,&quot;type&quot;:&quot;article-journal&quot;,&quot;container-title&quot;:&quot;Science&quot;,&quot;container-title-short&quot;:&quot;Science&quot;,&quot;abstract&quot;:&quot;The United Kingdom's COVID-19 epidemic during early 2020 was one of world's largest and was unusually well represented by virus genomic sampling. We determined the fine-scale genetic lineage structure of this epidemic through analysis of 50,887 severe acute respiratory syndrome coronavirus 2 (SARS-CoV-2) genomes, including 26,181 from the UK sampled throughout the country's first wave of infection. Using large-scale phylogenetic analyses combined with epidemiological and travel data, we quantified the size, spatiotemporal origins, and persistence of genetically distinct UK transmission lineages. Rapid fluctuations in virus importation rates resulted in &gt;1000 lineages; those introduced prior to national lockdown tended to be larger and more dispersed. Lineage importation and regional lineage diversity declined after lockdown, whereas lineage elimination was size-dependent. We discuss the implications of our genetic perspective on transmission dynamics for COVID-19 epidemiology and control.Copyright © 2021 The Authors, some rights reserved; exclusive licensee American Association for the Advancement of Science. No claim to original U.S. Government Works.&quot;,&quot;author&quot;:[{&quot;family&quot;:&quot;du Plessis&quot;,&quot;given&quot;:&quot;Louis&quot;},{&quot;family&quot;:&quot;McCrone&quot;,&quot;given&quot;:&quot;John T&quot;},{&quot;family&quot;:&quot;Zarebski&quot;,&quot;given&quot;:&quot;Alexander E&quot;},{&quot;family&quot;:&quot;Hill&quot;,&quot;given&quot;:&quot;Verity&quot;},{&quot;family&quot;:&quot;Ruis&quot;,&quot;given&quot;:&quot;Christopher&quot;},{&quot;family&quot;:&quot;Gutierrez&quot;,&quot;given&quot;:&quot;Bernardo&quot;},{&quot;family&quot;:&quot;Raghwani&quot;,&quot;given&quot;:&quot;Jayna&quot;},{&quot;family&quot;:&quot;Ashworth&quot;,&quot;given&quot;:&quot;Jordan&quot;},{&quot;family&quot;:&quot;Colquhoun&quot;,&quot;given&quot;:&quot;Rachel&quot;},{&quot;family&quot;:&quot;Connor&quot;,&quot;given&quot;:&quot;Thomas R&quot;},{&quot;family&quot;:&quot;Faria&quot;,&quot;given&quot;:&quot;Nuno R&quot;},{&quot;family&quot;:&quot;Jackson&quot;,&quot;given&quot;:&quot;Ben&quot;},{&quot;family&quot;:&quot;Loman&quot;,&quot;given&quot;:&quot;Nicholas J&quot;},{&quot;family&quot;:&quot;O'Toole&quot;,&quot;given&quot;:&quot;Áine&quot;},{&quot;family&quot;:&quot;Nicholls&quot;,&quot;given&quot;:&quot;Samuel M&quot;},{&quot;family&quot;:&quot;Parag&quot;,&quot;given&quot;:&quot;Kris V&quot;},{&quot;family&quot;:&quot;Scher&quot;,&quot;given&quot;:&quot;Emily&quot;},{&quot;family&quot;:&quot;Vasylyeva&quot;,&quot;given&quot;:&quot;Tetyana I&quot;},{&quot;family&quot;:&quot;Volz&quot;,&quot;given&quot;:&quot;Erik M&quot;},{&quot;family&quot;:&quot;Watts&quot;,&quot;given&quot;:&quot;Alexander&quot;},{&quot;family&quot;:&quot;Bogoch&quot;,&quot;given&quot;:&quot;Isaac I&quot;},{&quot;family&quot;:&quot;Khan&quot;,&quot;given&quot;:&quot;Kamran&quot;},{&quot;family&quot;:&quot;COVID-19 Genomics UK (COG-UK) Consortium&quot;},{&quot;family&quot;:&quot;Aanensen&quot;,&quot;given&quot;:&quot;David M&quot;},{&quot;family&quot;:&quot;Kraemer&quot;,&quot;given&quot;:&quot;Moritz U G&quot;},{&quot;family&quot;:&quot;Rambaut&quot;,&quot;given&quot;:&quot;Andrew&quot;},{&quot;family&quot;:&quot;Pybus&quot;,&quot;given&quot;:&quot;Oliver G&quot;}],&quot;issued&quot;:{&quot;date-parts&quot;:[[&quot;2021&quot;,&quot;2&quot;,&quot;12&quot;]]},&quot;DOI&quot;:&quot;10.1126/science.abf2946&quot;,&quot;PMID&quot;:&quot;33419936&quot;,&quot;PMCID&quot;:&quot;PMC7877493&quot;,&quot;citation-label&quot;:&quot;10281601&quot;},{&quot;title&quot;:&quot;Virus genomes reveal factors that spread and sustained the Ebola epidemic.&quot;,&quot;page&quot;:&quot;309-315&quot;,&quot;volume&quot;:&quot;544&quot;,&quot;issue&quot;:&quot;7650&quot;,&quot;journalAbbreviation&quot;:&quot;Nature&quot;,&quot;id&quot;:&quot;3539671&quot;,&quot;type&quot;:&quot;article-journal&quot;,&quot;container-title&quot;:&quot;Nature&quot;,&quot;container-title-short&quot;:&quot;Nature&quot;,&quot;abstract&quot;:&quot;The 2013-2016 West African epidemic caused by the Ebola virus was of unprecedented magnitude, duration and impact. Here we reconstruct the dispersal, proliferation and decline of Ebola virus throughout the region by analysing 1,610 Ebola virus genomes, which represent over 5% of the known cases. We test the association of geography, climate and demography with viral movement among administrative regions, inferring a classic 'gravity' model, with intense dispersal between larger and closer populations. Despite attenuation of international dispersal after border closures, cross-border transmission had already sown the seeds for an international epidemic, rendering these measures ineffective at curbing the epidemic. We address why the epidemic did not spread into neighbouring countries, showing that these countries were susceptible to substantial outbreaks but at lower risk of introductions. Finally, we reveal that this large epidemic was a heterogeneous and spatially dissociated collection of transmission clusters of varying size, duration and connectivity. These insights will help to inform interventions in future epidemics.&quot;,&quot;author&quot;:[{&quot;family&quot;:&quot;Dudas&quot;,&quot;given&quot;:&quot;Gytis&quot;},{&quot;family&quot;:&quot;Carvalho&quot;,&quot;given&quot;:&quot;Luiz Max&quot;},{&quot;family&quot;:&quot;Bedford&quot;,&quot;given&quot;:&quot;Trevor&quot;},{&quot;family&quot;:&quot;Tatem&quot;,&quot;given&quot;:&quot;Andrew J&quot;},{&quot;family&quot;:&quot;Baele&quot;,&quot;given&quot;:&quot;Guy&quot;},{&quot;family&quot;:&quot;Faria&quot;,&quot;given&quot;:&quot;Nuno R&quot;},{&quot;family&quot;:&quot;Park&quot;,&quot;given&quot;:&quot;Daniel J&quot;},{&quot;family&quot;:&quot;Ladner&quot;,&quot;given&quot;:&quot;Jason T&quot;},{&quot;family&quot;:&quot;Arias&quot;,&quot;given&quot;:&quot;Armando&quot;},{&quot;family&quot;:&quot;Asogun&quot;,&quot;given&quot;:&quot;Danny&quot;},{&quot;family&quot;:&quot;Bielejec&quot;,&quot;given&quot;:&quot;Filip&quot;},{&quot;family&quot;:&quot;Caddy&quot;,&quot;given&quot;:&quot;Sarah L&quot;},{&quot;family&quot;:&quot;Cotten&quot;,&quot;given&quot;:&quot;Matthew&quot;},{&quot;family&quot;:&quot;D'Ambrozio&quot;,&quot;given&quot;:&quot;Jonathan&quot;},{&quot;family&quot;:&quot;Dellicour&quot;,&quot;given&quot;:&quot;Simon&quot;},{&quot;family&quot;:&quot;Di Caro&quot;,&quot;given&quot;:&quot;Antonino&quot;},{&quot;family&quot;:&quot;Diclaro&quot;,&quot;given&quot;:&quot;Joseph W&quot;},{&quot;family&quot;:&quot;Duraffour&quot;,&quot;given&quot;:&quot;Sophie&quot;},{&quot;family&quot;:&quot;Elmore&quot;,&quot;given&quot;:&quot;Michael J&quot;},{&quot;family&quot;:&quot;Fakoli&quot;,&quot;given&quot;:&quot;Lawrence S&quot;},{&quot;family&quot;:&quot;Faye&quot;,&quot;given&quot;:&quot;Ousmane&quot;},{&quot;family&quot;:&quot;Gilbert&quot;,&quot;given&quot;:&quot;Merle L&quot;},{&quot;family&quot;:&quot;Gevao&quot;,&quot;given&quot;:&quot;Sahr M&quot;},{&quot;family&quot;:&quot;Gire&quot;,&quot;given&quot;:&quot;Stephen&quot;},{&quot;family&quot;:&quot;Gladden-Young&quot;,&quot;given&quot;:&quot;Adrianne&quot;},{&quot;family&quot;:&quot;Gnirke&quot;,&quot;given&quot;:&quot;Andreas&quot;},{&quot;family&quot;:&quot;Goba&quot;,&quot;given&quot;:&quot;Augustine&quot;},{&quot;family&quot;:&quot;Grant&quot;,&quot;given&quot;:&quot;Donald S&quot;},{&quot;family&quot;:&quot;Haagmans&quot;,&quot;given&quot;:&quot;Bart L&quot;},{&quot;family&quot;:&quot;Hiscox&quot;,&quot;given&quot;:&quot;Julian A&quot;},{&quot;family&quot;:&quot;Jah&quot;,&quot;given&quot;:&quot;Umaru&quot;},{&quot;family&quot;:&quot;Kugelman&quot;,&quot;given&quot;:&quot;Jeffrey R&quot;},{&quot;family&quot;:&quot;Liu&quot;,&quot;given&quot;:&quot;Di&quot;},{&quot;family&quot;:&quot;Lu&quot;,&quot;given&quot;:&quot;Jia&quot;},{&quot;family&quot;:&quot;Malboeuf&quot;,&quot;given&quot;:&quot;Christine M&quot;},{&quot;family&quot;:&quot;Mate&quot;,&quot;given&quot;:&quot;Suzanne&quot;},{&quot;family&quot;:&quot;Matthews&quot;,&quot;given&quot;:&quot;David A&quot;},{&quot;family&quot;:&quot;Matranga&quot;,&quot;given&quot;:&quot;Christian B&quot;},{&quot;family&quot;:&quot;Meredith&quot;,&quot;given&quot;:&quot;Luke W&quot;},{&quot;family&quot;:&quot;Qu&quot;,&quot;given&quot;:&quot;James&quot;},{&quot;family&quot;:&quot;Quick&quot;,&quot;given&quot;:&quot;Joshua&quot;},{&quot;family&quot;:&quot;Pas&quot;,&quot;given&quot;:&quot;Suzan D&quot;},{&quot;family&quot;:&quot;Phan&quot;,&quot;given&quot;:&quot;My V T&quot;},{&quot;family&quot;:&quot;Pollakis&quot;,&quot;given&quot;:&quot;Georgios&quot;},{&quot;family&quot;:&quot;Reusken&quot;,&quot;given&quot;:&quot;Chantal B&quot;},{&quot;family&quot;:&quot;Sanchez-Lockhart&quot;,&quot;given&quot;:&quot;Mariano&quot;},{&quot;family&quot;:&quot;Schaffner&quot;,&quot;given&quot;:&quot;Stephen F&quot;},{&quot;family&quot;:&quot;Schieffelin&quot;,&quot;given&quot;:&quot;John S&quot;},{&quot;family&quot;:&quot;Sealfon&quot;,&quot;given&quot;:&quot;Rachel S&quot;},{&quot;family&quot;:&quot;Simon-Loriere&quot;,&quot;given&quot;:&quot;Etienne&quot;},{&quot;family&quot;:&quot;Smits&quot;,&quot;given&quot;:&quot;Saskia L&quot;},{&quot;family&quot;:&quot;Stoecker&quot;,&quot;given&quot;:&quot;Kilian&quot;},{&quot;family&quot;:&quot;Thorne&quot;,&quot;given&quot;:&quot;Lucy&quot;},{&quot;family&quot;:&quot;Tobin&quot;,&quot;given&quot;:&quot;Ekaete Alice&quot;},{&quot;family&quot;:&quot;Vandi&quot;,&quot;given&quot;:&quot;Mohamed A&quot;},{&quot;family&quot;:&quot;Watson&quot;,&quot;given&quot;:&quot;Simon J&quot;},{&quot;family&quot;:&quot;West&quot;,&quot;given&quot;:&quot;Kendra&quot;},{&quot;family&quot;:&quot;Whitmer&quot;,&quot;given&quot;:&quot;Shannon&quot;},{&quot;family&quot;:&quot;Wiley&quot;,&quot;given&quot;:&quot;Michael R&quot;},{&quot;family&quot;:&quot;Winnicki&quot;,&quot;given&quot;:&quot;Sarah M&quot;},{&quot;family&quot;:&quot;Wohl&quot;,&quot;given&quot;:&quot;Shirlee&quot;},{&quot;family&quot;:&quot;Wölfel&quot;,&quot;given&quot;:&quot;Roman&quot;},{&quot;family&quot;:&quot;Yozwiak&quot;,&quot;given&quot;:&quot;Nathan L&quot;},{&quot;family&quot;:&quot;Andersen&quot;,&quot;given&quot;:&quot;Kristian G&quot;},{&quot;family&quot;:&quot;Blyden&quot;,&quot;given&quot;:&quot;Sylvia O&quot;},{&quot;family&quot;:&quot;Bolay&quot;,&quot;given&quot;:&quot;Fatorma&quot;},{&quot;family&quot;:&quot;Carroll&quot;,&quot;given&quot;:&quot;Miles W&quot;},{&quot;family&quot;:&quot;Dahn&quot;,&quot;given&quot;:&quot;Bernice&quot;},{&quot;family&quot;:&quot;Diallo&quot;,&quot;given&quot;:&quot;Boubacar&quot;},{&quot;family&quot;:&quot;Formenty&quot;,&quot;given&quot;:&quot;Pierre&quot;},{&quot;family&quot;:&quot;Fraser&quot;,&quot;given&quot;:&quot;Christophe&quot;},{&quot;family&quot;:&quot;Gao&quot;,&quot;given&quot;:&quot;George F&quot;},{&quot;family&quot;:&quot;Garry&quot;,&quot;given&quot;:&quot;Robert F&quot;},{&quot;family&quot;:&quot;Goodfellow&quot;,&quot;given&quot;:&quot;Ian&quot;},{&quot;family&quot;:&quot;Günther&quot;,&quot;given&quot;:&quot;Stephan&quot;},{&quot;family&quot;:&quot;Happi&quot;,&quot;given&quot;:&quot;Christian T&quot;},{&quot;family&quot;:&quot;Holmes&quot;,&quot;given&quot;:&quot;Edward C&quot;},{&quot;family&quot;:&quot;Kargbo&quot;,&quot;given&quot;:&quot;Brima&quot;},{&quot;family&quot;:&quot;Keïta&quot;,&quot;given&quot;:&quot;Sakoba&quot;},{&quot;family&quot;:&quot;Kellam&quot;,&quot;given&quot;:&quot;Paul&quot;},{&quot;family&quot;:&quot;Koopmans&quot;,&quot;given&quot;:&quot;Marion P G&quot;},{&quot;family&quot;:&quot;Kuhn&quot;,&quot;given&quot;:&quot;Jens H&quot;},{&quot;family&quot;:&quot;Loman&quot;,&quot;given&quot;:&quot;Nicholas J&quot;},{&quot;family&quot;:&quot;Magassouba&quot;,&quot;given&quot;:&quot;N'Faly&quot;},{&quot;family&quot;:&quot;Naidoo&quot;,&quot;given&quot;:&quot;Dhamari&quot;},{&quot;family&quot;:&quot;Nichol&quot;,&quot;given&quot;:&quot;Stuart T&quot;},{&quot;family&quot;:&quot;Nyenswah&quot;,&quot;given&quot;:&quot;Tolbert&quot;},{&quot;family&quot;:&quot;Palacios&quot;,&quot;given&quot;:&quot;Gustavo&quot;},{&quot;family&quot;:&quot;Pybus&quot;,&quot;given&quot;:&quot;Oliver G&quot;},{&quot;family&quot;:&quot;Sabeti&quot;,&quot;given&quot;:&quot;Pardis C&quot;},{&quot;family&quot;:&quot;Sall&quot;,&quot;given&quot;:&quot;Amadou&quot;},{&quot;family&quot;:&quot;Ströher&quot;,&quot;given&quot;:&quot;Ute&quot;},{&quot;family&quot;:&quot;Wurie&quot;,&quot;given&quot;:&quot;Isatta&quot;},{&quot;family&quot;:&quot;Suchard&quot;,&quot;given&quot;:&quot;Marc A&quot;},{&quot;family&quot;:&quot;Lemey&quot;,&quot;given&quot;:&quot;Philippe&quot;},{&quot;family&quot;:&quot;Rambaut&quot;,&quot;given&quot;:&quot;Andrew&quot;}],&quot;issued&quot;:{&quot;date-parts&quot;:[[&quot;2017&quot;,&quot;4&quot;,&quot;20&quot;]]},&quot;DOI&quot;:&quot;10.1038/nature22040&quot;,&quot;PMID&quot;:&quot;28405027&quot;,&quot;PMCID&quot;:&quot;PMC5712493&quot;,&quot;citation-label&quot;:&quot;3539671&quot;},{&quot;title&quot;:&quot;Phylodynamic assessment of intervention strategies for the West African Ebola virus outbreak.&quot;,&quot;page&quot;:&quot;2222&quot;,&quot;volume&quot;:&quot;9&quot;,&quot;issue&quot;:&quot;1&quot;,&quot;journalAbbreviation&quot;:&quot;Nat. Commun.&quot;,&quot;id&quot;:&quot;9160723&quot;,&quot;type&quot;:&quot;article-journal&quot;,&quot;container-title&quot;:&quot;Nature Communications&quot;,&quot;container-title-short&quot;:&quot;Nat. Commun.&quot;,&quot;abstract&quot;:&quot;Genetic analyses have provided important insights into Ebola virus spread during the recent West African outbreak, but their implications for specific intervention scenarios remain unclear. Here, we address this issue using a collection of phylodynamic approaches. We show that long-distance dispersal events were not crucial for epidemic expansion and that preventing viral lineage movement to any given administrative area would, in most cases, have had little impact. However, major urban areas were critical in attracting and disseminating the virus: preventing viral lineage movement to all three capitals simultaneously would have contained epidemic size to one-third. We also show that announcements of border closures were followed by a significant but transient effect on international virus dispersal. By quantifying the hypothetical impact of different intervention strategies, as well as the impact of barriers on dispersal frequency, our study illustrates how phylodynamic analyses can help to address specific epidemiological and outbreak control questions.&quot;,&quot;author&quot;:[{&quot;family&quot;:&quot;Dellicour&quot;,&quot;given&quot;:&quot;Simon&quot;},{&quot;family&quot;:&quot;Baele&quot;,&quot;given&quot;:&quot;Guy&quot;},{&quot;family&quot;:&quot;Dudas&quot;,&quot;given&quot;:&quot;Gytis&quot;},{&quot;family&quot;:&quot;Faria&quot;,&quot;given&quot;:&quot;Nuno R&quot;},{&quot;family&quot;:&quot;Pybus&quot;,&quot;given&quot;:&quot;Oliver G&quot;},{&quot;family&quot;:&quot;Suchard&quot;,&quot;given&quot;:&quot;Marc A&quot;},{&quot;family&quot;:&quot;Rambaut&quot;,&quot;given&quot;:&quot;Andrew&quot;},{&quot;family&quot;:&quot;Lemey&quot;,&quot;given&quot;:&quot;Philippe&quot;}],&quot;issued&quot;:{&quot;date-parts&quot;:[[&quot;2018&quot;,&quot;6&quot;,&quot;8&quot;]]},&quot;DOI&quot;:&quot;10.1038/s41467-018-03763-2&quot;,&quot;PMID&quot;:&quot;29884821&quot;,&quot;PMCID&quot;:&quot;PMC5993714&quot;,&quot;citation-label&quot;:&quot;9160723&quot;},{&quot;title&quot;:&quot;Evolution and epidemic spread of SARS-CoV-2 in Brazil.&quot;,&quot;page&quot;:&quot;1255-1260&quot;,&quot;volume&quot;:&quot;369&quot;,&quot;issue&quot;:&quot;6508&quot;,&quot;journalAbbreviation&quot;:&quot;Science&quot;,&quot;id&quot;:&quot;9329097&quot;,&quot;type&quot;:&quot;article-journal&quot;,&quot;container-title&quot;:&quot;Science&quot;,&quot;container-title-short&quot;:&quot;Science&quot;,&quot;abstract&quot;:&quot;Brazil currently has one of the fastest-growing severe acute respiratory syndrome coronavirus 2 (SARS-CoV-2) epidemics in the world. Because of limited available data, assessments of the impact of nonpharmaceutical interventions (NPIs) on this virus spread remain challenging. Using a mobility-driven transmission model, we show that NPIs reduced the reproduction number from &gt;3 to 1 to 1.6 in São Paulo and Rio de Janeiro. Sequencing of 427 new genomes and analysis of a geographically representative genomic dataset identified &gt;100 international virus introductions in Brazil. We estimate that most (76%) of the Brazilian strains fell in three clades that were introduced from Europe between 22 February and 11 March 2020. During the early epidemic phase, we found that SARS-CoV-2 spread mostly locally and within state borders. After this period, despite sharp decreases in air travel, we estimated multiple exportations from large urban centers that coincided with a 25% increase in average traveled distances in national flights. This study sheds new light on the epidemic transmission and evolutionary trajectories of SARS-CoV-2 lineages in Brazil and provides evidence that current interventions remain insufficient to keep virus transmission under control in this country.Copyright © 2020 The Authors, some rights reserved; exclusive licensee American Association for the Advancement of Science. No claim to original U.S. Government Works.&quot;,&quot;author&quot;:[{&quot;family&quot;:&quot;Candido&quot;,&quot;given&quot;:&quot;Darlan S&quot;},{&quot;family&quot;:&quot;Claro&quot;,&quot;given&quot;:&quot;Ingra M&quot;},{&quot;family&quot;:&quot;de Jesus&quot;,&quot;given&quot;:&quot;Jaqueline G&quot;},{&quot;family&quot;:&quot;Souza&quot;,&quot;given&quot;:&quot;William M&quot;},{&quot;family&quot;:&quot;Moreira&quot;,&quot;given&quot;:&quot;Filipe R R&quot;},{&quot;family&quot;:&quot;Dellicour&quot;,&quot;given&quot;:&quot;Simon&quot;},{&quot;family&quot;:&quot;Mellan&quot;,&quot;given&quot;:&quot;Thomas A&quot;},{&quot;family&quot;:&quot;du Plessis&quot;,&quot;given&quot;:&quot;Louis&quot;},{&quot;family&quot;:&quot;Pereira&quot;,&quot;given&quot;:&quot;Rafael H M&quot;},{&quot;family&quot;:&quot;Sales&quot;,&quot;given&quot;:&quot;Flavia C S&quot;},{&quot;family&quot;:&quot;Manuli&quot;,&quot;given&quot;:&quot;Erika R&quot;},{&quot;family&quot;:&quot;Thézé&quot;,&quot;given&quot;:&quot;Julien&quot;},{&quot;family&quot;:&quot;Almeida&quot;,&quot;given&quot;:&quot;Luiz&quot;},{&quot;family&quot;:&quot;Menezes&quot;,&quot;given&quot;:&quot;Mariane T&quot;},{&quot;family&quot;:&quot;Voloch&quot;,&quot;given&quot;:&quot;Carolina M&quot;},{&quot;family&quot;:&quot;Fumagalli&quot;,&quot;given&quot;:&quot;Marcilio J&quot;},{&quot;family&quot;:&quot;Coletti&quot;,&quot;given&quot;:&quot;Thaís M&quot;},{&quot;family&quot;:&quot;da Silva&quot;,&quot;given&quot;:&quot;Camila A M&quot;},{&quot;family&quot;:&quot;Ramundo&quot;,&quot;given&quot;:&quot;Mariana S&quot;},{&quot;family&quot;:&quot;Amorim&quot;,&quot;given&quot;:&quot;Mariene R&quot;},{&quot;family&quot;:&quot;Hoeltgebaum&quot;,&quot;given&quot;:&quot;Henrique H&quot;},{&quot;family&quot;:&quot;Mishra&quot;,&quot;given&quot;:&quot;Swapnil&quot;},{&quot;family&quot;:&quot;Gill&quot;,&quot;given&quot;:&quot;Mandev S&quot;},{&quot;family&quot;:&quot;Carvalho&quot;,&quot;given&quot;:&quot;Luiz M&quot;},{&quot;family&quot;:&quot;Buss&quot;,&quot;given&quot;:&quot;Lewis F&quot;},{&quot;family&quot;:&quot;Prete&quot;,&quot;given&quot;:&quot;Carlos A&quot;},{&quot;family&quot;:&quot;Ashworth&quot;,&quot;given&quot;:&quot;Jordan&quot;},{&quot;family&quot;:&quot;Nakaya&quot;,&quot;given&quot;:&quot;Helder I&quot;},{&quot;family&quot;:&quot;Peixoto&quot;,&quot;given&quot;:&quot;Pedro S&quot;},{&quot;family&quot;:&quot;Brady&quot;,&quot;given&quot;:&quot;Oliver J&quot;},{&quot;family&quot;:&quot;Nicholls&quot;,&quot;given&quot;:&quot;Samuel M&quot;},{&quot;family&quot;:&quot;Tanuri&quot;,&quot;given&quot;:&quot;Amilcar&quot;},{&quot;family&quot;:&quot;Rossi&quot;,&quot;given&quot;:&quot;Átila D&quot;},{&quot;family&quot;:&quot;Braga&quot;,&quot;given&quot;:&quot;Carlos K V&quot;},{&quot;family&quot;:&quot;Gerber&quot;,&quot;given&quot;:&quot;Alexandra L&quot;},{&quot;family&quot;:&quot;de C Guimarães&quot;,&quot;given&quot;:&quot;Ana Paula&quot;},{&quot;family&quot;:&quot;Gaburo&quot;,&quot;given&quot;:&quot;Nelson&quot;},{&quot;family&quot;:&quot;Alencar&quot;,&quot;given&quot;:&quot;Cecila Salete&quot;},{&quot;family&quot;:&quot;Ferreira&quot;,&quot;given&quot;:&quot;Alessandro C S&quot;},{&quot;family&quot;:&quot;Lima&quot;,&quot;given&quot;:&quot;Cristiano X&quot;},{&quot;family&quot;:&quot;Levi&quot;,&quot;given&quot;:&quot;José Eduardo&quot;},{&quot;family&quot;:&quot;Granato&quot;,&quot;given&quot;:&quot;Celso&quot;},{&quot;family&quot;:&quot;Ferreira&quot;,&quot;given&quot;:&quot;Giulia M&quot;},{&quot;family&quot;:&quot;Francisco&quot;,&quot;given&quot;:&quot;Ronaldo S&quot;},{&quot;family&quot;:&quot;Granja&quot;,&quot;given&quot;:&quot;Fabiana&quot;},{&quot;family&quot;:&quot;Garcia&quot;,&quot;given&quot;:&quot;Marcia T&quot;},{&quot;family&quot;:&quot;Moretti&quot;,&quot;given&quot;:&quot;Maria Luiza&quot;},{&quot;family&quot;:&quot;Perroud&quot;,&quot;given&quot;:&quot;Mauricio W&quot;},{&quot;family&quot;:&quot;Castiñeiras&quot;,&quot;given&quot;:&quot;Terezinha M P P&quot;},{&quot;family&quot;:&quot;Lazari&quot;,&quot;given&quot;:&quot;Carolina S&quot;},{&quot;family&quot;:&quot;Hill&quot;,&quot;given&quot;:&quot;Sarah C&quot;},{&quot;family&quot;:&quot;de Souza Santos&quot;,&quot;given&quot;:&quot;Andreza Aruska&quot;},{&quot;family&quot;:&quot;Simeoni&quot;,&quot;given&quot;:&quot;Camila L&quot;},{&quot;family&quot;:&quot;Forato&quot;,&quot;given&quot;:&quot;Julia&quot;},{&quot;family&quot;:&quot;Sposito&quot;,&quot;given&quot;:&quot;Andrei C&quot;},{&quot;family&quot;:&quot;Schreiber&quot;,&quot;given&quot;:&quot;Angelica Z&quot;},{&quot;family&quot;:&quot;Santos&quot;,&quot;given&quot;:&quot;Magnun N N&quot;},{&quot;family&quot;:&quot;de Sá&quot;,&quot;given&quot;:&quot;Camila Zolini&quot;},{&quot;family&quot;:&quot;Souza&quot;,&quot;given&quot;:&quot;Renan P&quot;},{&quot;family&quot;:&quot;Resende-Moreira&quot;,&quot;given&quot;:&quot;Luciana C&quot;},{&quot;family&quot;:&quot;Teixeira&quot;,&quot;given&quot;:&quot;Mauro M&quot;},{&quot;family&quot;:&quot;Hubner&quot;,&quot;given&quot;:&quot;Josy&quot;},{&quot;family&quot;:&quot;Leme&quot;,&quot;given&quot;:&quot;Patricia A F&quot;},{&quot;family&quot;:&quot;Moreira&quot;,&quot;given&quot;:&quot;Rennan G&quot;},{&quot;family&quot;:&quot;Nogueira&quot;,&quot;given&quot;:&quot;Maurício L&quot;},{&quot;family&quot;:&quot;Brazil-UK Centre for Arbovirus Discovery, Diagnosis, Genomics and Epidemiology (CADDE) Genomic Network&quot;},{&quot;family&quot;:&quot;Ferguson&quot;,&quot;given&quot;:&quot;Neil M&quot;},{&quot;family&quot;:&quot;Costa&quot;,&quot;given&quot;:&quot;Silvia F&quot;},{&quot;family&quot;:&quot;Proenca-Modena&quot;,&quot;given&quot;:&quot;José Luiz&quot;},{&quot;family&quot;:&quot;Vasconcelos&quot;,&quot;given&quot;:&quot;Ana Tereza R&quot;},{&quot;family&quot;:&quot;Bhatt&quot;,&quot;given&quot;:&quot;Samir&quot;},{&quot;family&quot;:&quot;Lemey&quot;,&quot;given&quot;:&quot;Philippe&quot;},{&quot;family&quot;:&quot;Wu&quot;,&quot;given&quot;:&quot;Chieh-Hsi&quot;},{&quot;family&quot;:&quot;Rambaut&quot;,&quot;given&quot;:&quot;Andrew&quot;},{&quot;family&quot;:&quot;Loman&quot;,&quot;given&quot;:&quot;Nick J&quot;},{&quot;family&quot;:&quot;Aguiar&quot;,&quot;given&quot;:&quot;Renato S&quot;},{&quot;family&quot;:&quot;Pybus&quot;,&quot;given&quot;:&quot;Oliver G&quot;},{&quot;family&quot;:&quot;Sabino&quot;,&quot;given&quot;:&quot;Ester C&quot;},{&quot;family&quot;:&quot;Faria&quot;,&quot;given&quot;:&quot;Nuno Rodrigues&quot;}],&quot;issued&quot;:{&quot;date-parts&quot;:[[&quot;2020&quot;,&quot;9&quot;,&quot;4&quot;]]},&quot;DOI&quot;:&quot;10.1126/science.abd2161&quot;,&quot;PMID&quot;:&quot;32703910&quot;,&quot;PMCID&quot;:&quot;PMC7402630&quot;,&quot;citation-label&quot;:&quot;9329097&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903C8D61E843E4D9DF578FA60DF1506" ma:contentTypeVersion="11" ma:contentTypeDescription="Create a new document." ma:contentTypeScope="" ma:versionID="6d685b447f118704fec3115e6ac20ae4">
  <xsd:schema xmlns:xsd="http://www.w3.org/2001/XMLSchema" xmlns:xs="http://www.w3.org/2001/XMLSchema" xmlns:p="http://schemas.microsoft.com/office/2006/metadata/properties" xmlns:ns3="50c290ea-29cd-45df-9437-02d90b7b4aac" xmlns:ns4="91744bfb-75cd-42c7-b4ee-8bbcd6bad11d" targetNamespace="http://schemas.microsoft.com/office/2006/metadata/properties" ma:root="true" ma:fieldsID="654b3e5fed2bbdef8a5e41c98cad6de5" ns3:_="" ns4:_="">
    <xsd:import namespace="50c290ea-29cd-45df-9437-02d90b7b4aac"/>
    <xsd:import namespace="91744bfb-75cd-42c7-b4ee-8bbcd6bad11d"/>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KeyPoints" minOccurs="0"/>
                <xsd:element ref="ns3:MediaServiceKeyPoints" minOccurs="0"/>
                <xsd:element ref="ns3:MediaServiceAuto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c290ea-29cd-45df-9437-02d90b7b4a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1744bfb-75cd-42c7-b4ee-8bbcd6bad11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SharingHintHash" ma:index="1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707CE9-56F7-4726-808F-43344647483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6618E52-4B0C-45E8-947C-1BCF05C8E346}">
  <ds:schemaRefs>
    <ds:schemaRef ds:uri="http://schemas.microsoft.com/sharepoint/v3/contenttype/forms"/>
  </ds:schemaRefs>
</ds:datastoreItem>
</file>

<file path=customXml/itemProps3.xml><?xml version="1.0" encoding="utf-8"?>
<ds:datastoreItem xmlns:ds="http://schemas.openxmlformats.org/officeDocument/2006/customXml" ds:itemID="{393D793B-73C2-432E-A274-1D6E9FD37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c290ea-29cd-45df-9437-02d90b7b4aac"/>
    <ds:schemaRef ds:uri="91744bfb-75cd-42c7-b4ee-8bbcd6bad1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0C90D9-1779-47F1-AAD3-7F428680B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375</Words>
  <Characters>2399</Characters>
  <Application>Microsoft Office Word</Application>
  <DocSecurity>0</DocSecurity>
  <Lines>62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bhanson</dc:creator>
  <cp:lastModifiedBy>Da Silva Candido, Darlan</cp:lastModifiedBy>
  <cp:revision>5</cp:revision>
  <cp:lastPrinted>2018-01-11T18:39:00Z</cp:lastPrinted>
  <dcterms:created xsi:type="dcterms:W3CDTF">2026-03-11T16:03:00Z</dcterms:created>
  <dcterms:modified xsi:type="dcterms:W3CDTF">2026-03-11T17:25:00Z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0x010100A903C8D61E843E4D9DF578FA60DF1506</vt:lpwstr>
  </property>
</Properties>
</file>