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814BA" w14:textId="77777777" w:rsidR="00855E0E" w:rsidRDefault="00855E0E" w:rsidP="00855E0E">
      <w:pPr>
        <w:spacing w:line="276" w:lineRule="auto"/>
        <w:rPr>
          <w:b/>
          <w:bCs/>
        </w:rPr>
      </w:pPr>
      <w:r w:rsidRPr="00DE74FF">
        <w:rPr>
          <w:b/>
          <w:bCs/>
        </w:rPr>
        <w:t>Table 1. Interpretation of Ecosystem Network Analysis Metrics Used in the Farmington Bay Ecopath Model</w:t>
      </w:r>
      <w:r>
        <w:rPr>
          <w:b/>
          <w:bCs/>
        </w:rPr>
        <w:t xml:space="preserve">. </w:t>
      </w:r>
    </w:p>
    <w:p w14:paraId="71202BA3" w14:textId="77777777" w:rsidR="00855E0E" w:rsidRPr="00DE74FF" w:rsidRDefault="00855E0E" w:rsidP="00855E0E">
      <w:pPr>
        <w:spacing w:line="276" w:lineRule="auto"/>
        <w:rPr>
          <w:b/>
          <w:bCs/>
        </w:rPr>
      </w:pPr>
    </w:p>
    <w:tbl>
      <w:tblPr>
        <w:tblStyle w:val="GridTable1Light"/>
        <w:tblW w:w="0" w:type="auto"/>
        <w:tblLook w:val="04A0" w:firstRow="1" w:lastRow="0" w:firstColumn="1" w:lastColumn="0" w:noHBand="0" w:noVBand="1"/>
      </w:tblPr>
      <w:tblGrid>
        <w:gridCol w:w="1832"/>
        <w:gridCol w:w="2738"/>
        <w:gridCol w:w="2864"/>
        <w:gridCol w:w="1916"/>
      </w:tblGrid>
      <w:tr w:rsidR="00855E0E" w:rsidRPr="008A32AC" w14:paraId="693C3567" w14:textId="77777777" w:rsidTr="00284E3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A37128F" w14:textId="77777777" w:rsidR="00855E0E" w:rsidRPr="008A32AC" w:rsidRDefault="00855E0E" w:rsidP="00284E35">
            <w:pPr>
              <w:spacing w:line="480" w:lineRule="auto"/>
              <w:jc w:val="center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Metric</w:t>
            </w:r>
          </w:p>
        </w:tc>
        <w:tc>
          <w:tcPr>
            <w:tcW w:w="0" w:type="auto"/>
            <w:hideMark/>
          </w:tcPr>
          <w:p w14:paraId="2DCFEC04" w14:textId="77777777" w:rsidR="00855E0E" w:rsidRPr="008A32AC" w:rsidRDefault="00855E0E" w:rsidP="00284E3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What the Metric Measures</w:t>
            </w:r>
          </w:p>
        </w:tc>
        <w:tc>
          <w:tcPr>
            <w:tcW w:w="0" w:type="auto"/>
            <w:hideMark/>
          </w:tcPr>
          <w:p w14:paraId="1C9E16DE" w14:textId="77777777" w:rsidR="00855E0E" w:rsidRPr="008A32AC" w:rsidRDefault="00855E0E" w:rsidP="00284E3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Ecological Interpretation</w:t>
            </w:r>
          </w:p>
        </w:tc>
        <w:tc>
          <w:tcPr>
            <w:tcW w:w="0" w:type="auto"/>
            <w:hideMark/>
          </w:tcPr>
          <w:p w14:paraId="77E00C13" w14:textId="77777777" w:rsidR="00855E0E" w:rsidRPr="008A32AC" w:rsidRDefault="00855E0E" w:rsidP="00284E35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Key References</w:t>
            </w:r>
          </w:p>
        </w:tc>
      </w:tr>
      <w:tr w:rsidR="00855E0E" w:rsidRPr="008A32AC" w14:paraId="1CACD5FF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5D99E0A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Total System Throughput (TST)</w:t>
            </w:r>
          </w:p>
        </w:tc>
        <w:tc>
          <w:tcPr>
            <w:tcW w:w="0" w:type="auto"/>
            <w:hideMark/>
          </w:tcPr>
          <w:p w14:paraId="4890B582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Sum of all energy or matter flows in the ecosystem network</w:t>
            </w:r>
          </w:p>
        </w:tc>
        <w:tc>
          <w:tcPr>
            <w:tcW w:w="0" w:type="auto"/>
            <w:hideMark/>
          </w:tcPr>
          <w:p w14:paraId="729007D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Indicates overall ecosystem activity and magnitude of trophic exchanges</w:t>
            </w:r>
          </w:p>
        </w:tc>
        <w:tc>
          <w:tcPr>
            <w:tcW w:w="0" w:type="auto"/>
            <w:hideMark/>
          </w:tcPr>
          <w:p w14:paraId="1A89346C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 xml:space="preserve">Ulanowicz 1986; Christensen </w:t>
            </w:r>
            <w:r>
              <w:rPr>
                <w:color w:val="000000"/>
                <w:sz w:val="20"/>
                <w:szCs w:val="20"/>
              </w:rPr>
              <w:t>and</w:t>
            </w:r>
            <w:r w:rsidRPr="008A32AC">
              <w:rPr>
                <w:color w:val="000000"/>
                <w:sz w:val="20"/>
                <w:szCs w:val="20"/>
              </w:rPr>
              <w:t xml:space="preserve"> Pauly 1992</w:t>
            </w:r>
          </w:p>
        </w:tc>
      </w:tr>
      <w:tr w:rsidR="00855E0E" w:rsidRPr="008A32AC" w14:paraId="426EE469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D9A6B68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Net Primary Production (NPP)</w:t>
            </w:r>
          </w:p>
        </w:tc>
        <w:tc>
          <w:tcPr>
            <w:tcW w:w="0" w:type="auto"/>
            <w:hideMark/>
          </w:tcPr>
          <w:p w14:paraId="18175178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Total organic matter produced by primary producers</w:t>
            </w:r>
          </w:p>
        </w:tc>
        <w:tc>
          <w:tcPr>
            <w:tcW w:w="0" w:type="auto"/>
            <w:hideMark/>
          </w:tcPr>
          <w:p w14:paraId="519D3685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Indicates basal productivity supporting higher trophic levels</w:t>
            </w:r>
          </w:p>
        </w:tc>
        <w:tc>
          <w:tcPr>
            <w:tcW w:w="0" w:type="auto"/>
            <w:hideMark/>
          </w:tcPr>
          <w:p w14:paraId="17416290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Lindeman 1942; Odum 1969</w:t>
            </w:r>
          </w:p>
        </w:tc>
      </w:tr>
      <w:tr w:rsidR="00855E0E" w:rsidRPr="008A32AC" w14:paraId="731A7ABC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33D6F88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Primary Production : Respiration (P/R)</w:t>
            </w:r>
          </w:p>
        </w:tc>
        <w:tc>
          <w:tcPr>
            <w:tcW w:w="0" w:type="auto"/>
            <w:hideMark/>
          </w:tcPr>
          <w:p w14:paraId="56EC70A6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Ratio of production to ecosystem respiration</w:t>
            </w:r>
          </w:p>
        </w:tc>
        <w:tc>
          <w:tcPr>
            <w:tcW w:w="0" w:type="auto"/>
            <w:hideMark/>
          </w:tcPr>
          <w:p w14:paraId="47AA6BA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P/R &gt; 1 indicates autotrophic systems with excess organic matter production</w:t>
            </w:r>
          </w:p>
        </w:tc>
        <w:tc>
          <w:tcPr>
            <w:tcW w:w="0" w:type="auto"/>
            <w:hideMark/>
          </w:tcPr>
          <w:p w14:paraId="6FF05C86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Odum 1969; Wetzel 2001</w:t>
            </w:r>
          </w:p>
        </w:tc>
      </w:tr>
      <w:tr w:rsidR="00855E0E" w:rsidRPr="008A32AC" w14:paraId="3852F78D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59E37A74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Trophic Transfer Efficiency (TE)</w:t>
            </w:r>
          </w:p>
        </w:tc>
        <w:tc>
          <w:tcPr>
            <w:tcW w:w="0" w:type="auto"/>
            <w:hideMark/>
          </w:tcPr>
          <w:p w14:paraId="06DD8D3C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Efficiency of energy transfer between trophic levels</w:t>
            </w:r>
          </w:p>
        </w:tc>
        <w:tc>
          <w:tcPr>
            <w:tcW w:w="0" w:type="auto"/>
            <w:hideMark/>
          </w:tcPr>
          <w:p w14:paraId="7C7FE925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Typically, ~10%; higher values suggest efficient energy transfer</w:t>
            </w:r>
          </w:p>
        </w:tc>
        <w:tc>
          <w:tcPr>
            <w:tcW w:w="0" w:type="auto"/>
            <w:hideMark/>
          </w:tcPr>
          <w:p w14:paraId="5220330A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 xml:space="preserve">Lindeman 1942; Christensen </w:t>
            </w:r>
            <w:r>
              <w:rPr>
                <w:color w:val="000000"/>
                <w:sz w:val="20"/>
                <w:szCs w:val="20"/>
              </w:rPr>
              <w:t>and</w:t>
            </w:r>
            <w:r w:rsidRPr="008A32AC">
              <w:rPr>
                <w:color w:val="000000"/>
                <w:sz w:val="20"/>
                <w:szCs w:val="20"/>
              </w:rPr>
              <w:t xml:space="preserve"> Pauly 1992</w:t>
            </w:r>
          </w:p>
        </w:tc>
      </w:tr>
      <w:tr w:rsidR="00855E0E" w:rsidRPr="008A32AC" w14:paraId="45352035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61EFABCB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Detrital Pathway Contribution</w:t>
            </w:r>
          </w:p>
        </w:tc>
        <w:tc>
          <w:tcPr>
            <w:tcW w:w="0" w:type="auto"/>
            <w:hideMark/>
          </w:tcPr>
          <w:p w14:paraId="429E873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Proportion of system throughput routed through detritus</w:t>
            </w:r>
          </w:p>
        </w:tc>
        <w:tc>
          <w:tcPr>
            <w:tcW w:w="0" w:type="auto"/>
            <w:hideMark/>
          </w:tcPr>
          <w:p w14:paraId="56B5A46A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High values indicate detritus-based food webs</w:t>
            </w:r>
          </w:p>
        </w:tc>
        <w:tc>
          <w:tcPr>
            <w:tcW w:w="0" w:type="auto"/>
            <w:hideMark/>
          </w:tcPr>
          <w:p w14:paraId="11715E23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Mann 1988; Moore et al. 2004</w:t>
            </w:r>
          </w:p>
        </w:tc>
      </w:tr>
      <w:tr w:rsidR="00855E0E" w:rsidRPr="008A32AC" w14:paraId="12562D3B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222173A3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Finn’s Cycling Index (FCI)</w:t>
            </w:r>
          </w:p>
        </w:tc>
        <w:tc>
          <w:tcPr>
            <w:tcW w:w="0" w:type="auto"/>
            <w:hideMark/>
          </w:tcPr>
          <w:p w14:paraId="785DFAA5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Proportion of total system throughput recycled through feedback loops</w:t>
            </w:r>
          </w:p>
        </w:tc>
        <w:tc>
          <w:tcPr>
            <w:tcW w:w="0" w:type="auto"/>
            <w:hideMark/>
          </w:tcPr>
          <w:p w14:paraId="48658241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Higher values indicate stronger internal recycling of organic matter</w:t>
            </w:r>
          </w:p>
        </w:tc>
        <w:tc>
          <w:tcPr>
            <w:tcW w:w="0" w:type="auto"/>
            <w:hideMark/>
          </w:tcPr>
          <w:p w14:paraId="7942CA42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Finn 1976</w:t>
            </w:r>
          </w:p>
        </w:tc>
      </w:tr>
      <w:tr w:rsidR="00855E0E" w:rsidRPr="008A32AC" w14:paraId="6703ADBE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F11EF74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Finn’s Mean Path Length (FMPL)</w:t>
            </w:r>
          </w:p>
        </w:tc>
        <w:tc>
          <w:tcPr>
            <w:tcW w:w="0" w:type="auto"/>
            <w:hideMark/>
          </w:tcPr>
          <w:p w14:paraId="3E1BDF67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Average number of trophic transfers energy undergoes before leaving the system</w:t>
            </w:r>
          </w:p>
        </w:tc>
        <w:tc>
          <w:tcPr>
            <w:tcW w:w="0" w:type="auto"/>
            <w:hideMark/>
          </w:tcPr>
          <w:p w14:paraId="4E5636FA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Longer path lengths indicate greater energy retention and repeated recycling</w:t>
            </w:r>
          </w:p>
        </w:tc>
        <w:tc>
          <w:tcPr>
            <w:tcW w:w="0" w:type="auto"/>
            <w:hideMark/>
          </w:tcPr>
          <w:p w14:paraId="5C87F660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Finn 1976; Ulanowicz 1986</w:t>
            </w:r>
          </w:p>
        </w:tc>
      </w:tr>
      <w:tr w:rsidR="00855E0E" w:rsidRPr="008A32AC" w14:paraId="5628F6A8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32D4F4E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Connectance Index (CI)</w:t>
            </w:r>
          </w:p>
        </w:tc>
        <w:tc>
          <w:tcPr>
            <w:tcW w:w="0" w:type="auto"/>
            <w:hideMark/>
          </w:tcPr>
          <w:p w14:paraId="4C4831C9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Fraction of possible trophic links that actually occur</w:t>
            </w:r>
          </w:p>
        </w:tc>
        <w:tc>
          <w:tcPr>
            <w:tcW w:w="0" w:type="auto"/>
            <w:hideMark/>
          </w:tcPr>
          <w:p w14:paraId="08AACCAE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Higher connectance suggests greater trophic interdependence</w:t>
            </w:r>
          </w:p>
        </w:tc>
        <w:tc>
          <w:tcPr>
            <w:tcW w:w="0" w:type="auto"/>
            <w:hideMark/>
          </w:tcPr>
          <w:p w14:paraId="1B7AEED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Ulanowicz 1986</w:t>
            </w:r>
          </w:p>
        </w:tc>
      </w:tr>
      <w:tr w:rsidR="00855E0E" w:rsidRPr="008A32AC" w14:paraId="1B93C475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7C8B7B58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lastRenderedPageBreak/>
              <w:t>System Omnivory Index (SOI)</w:t>
            </w:r>
          </w:p>
        </w:tc>
        <w:tc>
          <w:tcPr>
            <w:tcW w:w="0" w:type="auto"/>
            <w:hideMark/>
          </w:tcPr>
          <w:p w14:paraId="0E07E9E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Degree to which consumers feed across multiple trophic levels</w:t>
            </w:r>
          </w:p>
        </w:tc>
        <w:tc>
          <w:tcPr>
            <w:tcW w:w="0" w:type="auto"/>
            <w:hideMark/>
          </w:tcPr>
          <w:p w14:paraId="60A47A29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Higher omnivory indicates trophic flexibility and food-web stability</w:t>
            </w:r>
          </w:p>
        </w:tc>
        <w:tc>
          <w:tcPr>
            <w:tcW w:w="0" w:type="auto"/>
            <w:hideMark/>
          </w:tcPr>
          <w:p w14:paraId="20EF68CA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Christensen et al. 2005</w:t>
            </w:r>
          </w:p>
        </w:tc>
      </w:tr>
      <w:tr w:rsidR="00855E0E" w:rsidRPr="008A32AC" w14:paraId="6B7B9C2F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EE48364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Ascendency (A)</w:t>
            </w:r>
          </w:p>
        </w:tc>
        <w:tc>
          <w:tcPr>
            <w:tcW w:w="0" w:type="auto"/>
            <w:hideMark/>
          </w:tcPr>
          <w:p w14:paraId="6F91405C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Degree of organization and constraint in energy flows</w:t>
            </w:r>
          </w:p>
        </w:tc>
        <w:tc>
          <w:tcPr>
            <w:tcW w:w="0" w:type="auto"/>
            <w:hideMark/>
          </w:tcPr>
          <w:p w14:paraId="325EE9A2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Reflects how efficiently energy moves through the network</w:t>
            </w:r>
          </w:p>
        </w:tc>
        <w:tc>
          <w:tcPr>
            <w:tcW w:w="0" w:type="auto"/>
            <w:hideMark/>
          </w:tcPr>
          <w:p w14:paraId="7E35A80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Ulanowicz 1986; Ulanowicz 1997</w:t>
            </w:r>
          </w:p>
        </w:tc>
      </w:tr>
      <w:tr w:rsidR="00855E0E" w:rsidRPr="008A32AC" w14:paraId="120320BE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0023A526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Overhead (O)</w:t>
            </w:r>
          </w:p>
        </w:tc>
        <w:tc>
          <w:tcPr>
            <w:tcW w:w="0" w:type="auto"/>
            <w:hideMark/>
          </w:tcPr>
          <w:p w14:paraId="72834FD5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Remaining capacity for alternative pathways in the network</w:t>
            </w:r>
          </w:p>
        </w:tc>
        <w:tc>
          <w:tcPr>
            <w:tcW w:w="0" w:type="auto"/>
            <w:hideMark/>
          </w:tcPr>
          <w:p w14:paraId="329AA4F4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Indicates redundancy and resilience</w:t>
            </w:r>
          </w:p>
        </w:tc>
        <w:tc>
          <w:tcPr>
            <w:tcW w:w="0" w:type="auto"/>
            <w:hideMark/>
          </w:tcPr>
          <w:p w14:paraId="71B6EF31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Ulanowicz et al. 2009</w:t>
            </w:r>
          </w:p>
        </w:tc>
      </w:tr>
      <w:tr w:rsidR="00855E0E" w:rsidRPr="008A32AC" w14:paraId="1AD3B2C0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1D0BC8C1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Ascendency / Capacity (A/C)</w:t>
            </w:r>
          </w:p>
        </w:tc>
        <w:tc>
          <w:tcPr>
            <w:tcW w:w="0" w:type="auto"/>
            <w:hideMark/>
          </w:tcPr>
          <w:p w14:paraId="682162A3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Relative degree of system organization</w:t>
            </w:r>
          </w:p>
        </w:tc>
        <w:tc>
          <w:tcPr>
            <w:tcW w:w="0" w:type="auto"/>
            <w:hideMark/>
          </w:tcPr>
          <w:p w14:paraId="63D1EED7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Intermediate values indicate balanced efficiency and resilience</w:t>
            </w:r>
          </w:p>
        </w:tc>
        <w:tc>
          <w:tcPr>
            <w:tcW w:w="0" w:type="auto"/>
            <w:hideMark/>
          </w:tcPr>
          <w:p w14:paraId="07C48FF7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Ulanowicz et al. 2009</w:t>
            </w:r>
          </w:p>
        </w:tc>
      </w:tr>
      <w:tr w:rsidR="00855E0E" w:rsidRPr="008A32AC" w14:paraId="06DF3F7C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467D362F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Overhead / Capacity (O/C)</w:t>
            </w:r>
          </w:p>
        </w:tc>
        <w:tc>
          <w:tcPr>
            <w:tcW w:w="0" w:type="auto"/>
            <w:hideMark/>
          </w:tcPr>
          <w:p w14:paraId="4C947906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Fraction of system capacity available for redundancy</w:t>
            </w:r>
          </w:p>
        </w:tc>
        <w:tc>
          <w:tcPr>
            <w:tcW w:w="0" w:type="auto"/>
            <w:hideMark/>
          </w:tcPr>
          <w:p w14:paraId="76F3ADBF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High values indicate flexible and resilient networks</w:t>
            </w:r>
          </w:p>
        </w:tc>
        <w:tc>
          <w:tcPr>
            <w:tcW w:w="0" w:type="auto"/>
            <w:hideMark/>
          </w:tcPr>
          <w:p w14:paraId="7D5D7F08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Ulanowicz et al. 2009</w:t>
            </w:r>
          </w:p>
        </w:tc>
      </w:tr>
      <w:tr w:rsidR="00855E0E" w:rsidRPr="008A32AC" w14:paraId="7E61268C" w14:textId="77777777" w:rsidTr="00284E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hideMark/>
          </w:tcPr>
          <w:p w14:paraId="3D9328FA" w14:textId="77777777" w:rsidR="00855E0E" w:rsidRPr="008A32AC" w:rsidRDefault="00855E0E" w:rsidP="00284E35">
            <w:pPr>
              <w:spacing w:line="480" w:lineRule="auto"/>
              <w:rPr>
                <w:color w:val="000000"/>
                <w:sz w:val="20"/>
                <w:szCs w:val="20"/>
              </w:rPr>
            </w:pPr>
            <w:r w:rsidRPr="008A32AC">
              <w:rPr>
                <w:rStyle w:val="Strong"/>
                <w:color w:val="000000"/>
                <w:sz w:val="20"/>
                <w:szCs w:val="20"/>
              </w:rPr>
              <w:t>Shannon Network Diversity</w:t>
            </w:r>
          </w:p>
        </w:tc>
        <w:tc>
          <w:tcPr>
            <w:tcW w:w="0" w:type="auto"/>
            <w:hideMark/>
          </w:tcPr>
          <w:p w14:paraId="5197C9BF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Diversity of flows within the trophic network</w:t>
            </w:r>
          </w:p>
        </w:tc>
        <w:tc>
          <w:tcPr>
            <w:tcW w:w="0" w:type="auto"/>
            <w:hideMark/>
          </w:tcPr>
          <w:p w14:paraId="472396CD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Reflects structural complexity and trophic diversity</w:t>
            </w:r>
          </w:p>
        </w:tc>
        <w:tc>
          <w:tcPr>
            <w:tcW w:w="0" w:type="auto"/>
            <w:hideMark/>
          </w:tcPr>
          <w:p w14:paraId="3B5D1E53" w14:textId="77777777" w:rsidR="00855E0E" w:rsidRPr="008A32AC" w:rsidRDefault="00855E0E" w:rsidP="00284E35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  <w:sz w:val="20"/>
                <w:szCs w:val="20"/>
              </w:rPr>
            </w:pPr>
            <w:r w:rsidRPr="008A32AC">
              <w:rPr>
                <w:color w:val="000000"/>
                <w:sz w:val="20"/>
                <w:szCs w:val="20"/>
              </w:rPr>
              <w:t>Ulanowicz 1986</w:t>
            </w:r>
          </w:p>
        </w:tc>
      </w:tr>
    </w:tbl>
    <w:p w14:paraId="7010C53D" w14:textId="77777777" w:rsidR="00855E0E" w:rsidRPr="006E2D02" w:rsidRDefault="00855E0E" w:rsidP="00855E0E">
      <w:pPr>
        <w:spacing w:line="480" w:lineRule="auto"/>
      </w:pPr>
    </w:p>
    <w:p w14:paraId="2D9F3A8D" w14:textId="77777777" w:rsidR="00056DAD" w:rsidRDefault="00056DAD"/>
    <w:sectPr w:rsidR="00056D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E0E"/>
    <w:rsid w:val="00056DAD"/>
    <w:rsid w:val="002173EB"/>
    <w:rsid w:val="00526A5D"/>
    <w:rsid w:val="00684052"/>
    <w:rsid w:val="00855E0E"/>
    <w:rsid w:val="00B74063"/>
    <w:rsid w:val="00D3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456557"/>
  <w15:chartTrackingRefBased/>
  <w15:docId w15:val="{D2FFC97F-CB15-314B-B7C7-85E7775A0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E0E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5E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5E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5E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5E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5E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5E0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5E0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5E0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5E0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5E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5E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5E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5E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5E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5E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5E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5E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5E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5E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55E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5E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55E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5E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55E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5E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55E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5E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5E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5E0E"/>
    <w:rPr>
      <w:b/>
      <w:bCs/>
      <w:smallCaps/>
      <w:color w:val="0F4761" w:themeColor="accent1" w:themeShade="BF"/>
      <w:spacing w:val="5"/>
    </w:rPr>
  </w:style>
  <w:style w:type="table" w:styleId="GridTable1Light">
    <w:name w:val="Grid Table 1 Light"/>
    <w:basedOn w:val="TableNormal"/>
    <w:uiPriority w:val="46"/>
    <w:rsid w:val="00855E0E"/>
    <w:pPr>
      <w:spacing w:after="200" w:line="276" w:lineRule="auto"/>
    </w:pPr>
    <w:rPr>
      <w:rFonts w:asciiTheme="majorHAnsi" w:eastAsiaTheme="majorEastAsia" w:hAnsiTheme="majorHAnsi" w:cstheme="majorBidi"/>
      <w:kern w:val="0"/>
      <w:sz w:val="22"/>
      <w:szCs w:val="22"/>
      <w14:ligatures w14:val="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Strong">
    <w:name w:val="Strong"/>
    <w:uiPriority w:val="22"/>
    <w:qFormat/>
    <w:rsid w:val="00855E0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382</Words>
  <Characters>2182</Characters>
  <Application>Microsoft Office Word</Application>
  <DocSecurity>0</DocSecurity>
  <Lines>18</Lines>
  <Paragraphs>5</Paragraphs>
  <ScaleCrop>false</ScaleCrop>
  <Company/>
  <LinksUpToDate>false</LinksUpToDate>
  <CharactersWithSpaces>2559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Richards</dc:creator>
  <cp:keywords/>
  <dc:description/>
  <cp:lastModifiedBy>David Richards</cp:lastModifiedBy>
  <cp:revision>1</cp:revision>
  <dcterms:created xsi:type="dcterms:W3CDTF">2026-03-10T14:58:00Z</dcterms:created>
  <dcterms:modified xsi:type="dcterms:W3CDTF">2026-03-10T14:59:00Z</dcterms:modified>
</cp:coreProperties>
</file>