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B1FAC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Table 1. Baseline characteristics of enrolled patients</w:t>
      </w:r>
    </w:p>
    <w:tbl>
      <w:tblPr>
        <w:tblW w:w="0" w:type="auto"/>
        <w:jc w:val="center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5811"/>
        <w:gridCol w:w="1788"/>
        <w:gridCol w:w="2092"/>
        <w:gridCol w:w="2172"/>
        <w:gridCol w:w="2095"/>
      </w:tblGrid>
      <w:tr w:rsidR="0062727D" w14:paraId="10A7F3C0" w14:textId="77777777" w:rsidTr="00BC1061">
        <w:trPr>
          <w:trHeight w:val="508"/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BAEDD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Variables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4226B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Total (n=36)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D438B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20,000 IU group (n=6)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91609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40,000 IU group (n=24)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34121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60,000 IU group (n=6)</w:t>
            </w:r>
          </w:p>
        </w:tc>
      </w:tr>
      <w:tr w:rsidR="0062727D" w14:paraId="41C3CBD9" w14:textId="77777777" w:rsidTr="00BC1061">
        <w:trPr>
          <w:trHeight w:val="328"/>
          <w:jc w:val="center"/>
        </w:trPr>
        <w:tc>
          <w:tcPr>
            <w:tcW w:w="0" w:type="auto"/>
            <w:tcBorders>
              <w:top w:val="single" w:sz="8" w:space="0" w:color="auto"/>
            </w:tcBorders>
          </w:tcPr>
          <w:p w14:paraId="163EC0F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Age (years, mean ± SD)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07E017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60.94 ± 11.46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0A6F5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63.67 ± 10.86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45D6EC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59.58 ± 11.08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F6F094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63.67 ± 14.53</w:t>
            </w:r>
          </w:p>
        </w:tc>
      </w:tr>
      <w:tr w:rsidR="0062727D" w14:paraId="3394CC21" w14:textId="77777777" w:rsidTr="00BC1061">
        <w:trPr>
          <w:trHeight w:val="923"/>
          <w:jc w:val="center"/>
        </w:trPr>
        <w:tc>
          <w:tcPr>
            <w:tcW w:w="0" w:type="auto"/>
          </w:tcPr>
          <w:p w14:paraId="0F70229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Gender</w:t>
            </w:r>
          </w:p>
          <w:p w14:paraId="5BECD89F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Male (%)</w:t>
            </w:r>
          </w:p>
          <w:p w14:paraId="283F21B5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Female (%)</w:t>
            </w:r>
          </w:p>
        </w:tc>
        <w:tc>
          <w:tcPr>
            <w:tcW w:w="0" w:type="auto"/>
          </w:tcPr>
          <w:p w14:paraId="18FCDD58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37C4427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 (75.00%)</w:t>
            </w:r>
          </w:p>
          <w:p w14:paraId="7F36FD1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 (25.00%)</w:t>
            </w:r>
          </w:p>
        </w:tc>
        <w:tc>
          <w:tcPr>
            <w:tcW w:w="0" w:type="auto"/>
          </w:tcPr>
          <w:p w14:paraId="7B97383C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7355458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  <w:p w14:paraId="2958AC3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</w:tc>
        <w:tc>
          <w:tcPr>
            <w:tcW w:w="0" w:type="auto"/>
          </w:tcPr>
          <w:p w14:paraId="49D2F2E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CBC46C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(83.33%)</w:t>
            </w:r>
          </w:p>
          <w:p w14:paraId="1DF3299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(16.67%)</w:t>
            </w:r>
          </w:p>
        </w:tc>
        <w:tc>
          <w:tcPr>
            <w:tcW w:w="0" w:type="auto"/>
          </w:tcPr>
          <w:p w14:paraId="14903B2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C3A668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(66.67%)</w:t>
            </w:r>
          </w:p>
          <w:p w14:paraId="677CA36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(33.33%)</w:t>
            </w:r>
          </w:p>
        </w:tc>
      </w:tr>
      <w:tr w:rsidR="0062727D" w14:paraId="116F9F32" w14:textId="77777777" w:rsidTr="00BC1061">
        <w:trPr>
          <w:trHeight w:val="923"/>
          <w:jc w:val="center"/>
        </w:trPr>
        <w:tc>
          <w:tcPr>
            <w:tcW w:w="0" w:type="auto"/>
          </w:tcPr>
          <w:p w14:paraId="6E67EC8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Hypertension</w:t>
            </w:r>
          </w:p>
          <w:p w14:paraId="23EA998B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 (%)</w:t>
            </w:r>
          </w:p>
          <w:p w14:paraId="7A112583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 (%)</w:t>
            </w:r>
          </w:p>
        </w:tc>
        <w:tc>
          <w:tcPr>
            <w:tcW w:w="0" w:type="auto"/>
          </w:tcPr>
          <w:p w14:paraId="7ED8FF62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65CA48E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 (58.33%)</w:t>
            </w:r>
          </w:p>
          <w:p w14:paraId="1C5C0BA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 (41.67%)</w:t>
            </w:r>
          </w:p>
        </w:tc>
        <w:tc>
          <w:tcPr>
            <w:tcW w:w="0" w:type="auto"/>
          </w:tcPr>
          <w:p w14:paraId="1237ECE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688D8C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  <w:p w14:paraId="4AF00E5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</w:tc>
        <w:tc>
          <w:tcPr>
            <w:tcW w:w="0" w:type="auto"/>
          </w:tcPr>
          <w:p w14:paraId="76643D6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E95ACE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 (62.50%)</w:t>
            </w:r>
          </w:p>
          <w:p w14:paraId="4F1620C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 (37.50%)</w:t>
            </w:r>
          </w:p>
        </w:tc>
        <w:tc>
          <w:tcPr>
            <w:tcW w:w="0" w:type="auto"/>
          </w:tcPr>
          <w:p w14:paraId="1EF3976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2043DF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  <w:p w14:paraId="77C9BD4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</w:tc>
      </w:tr>
      <w:tr w:rsidR="0062727D" w14:paraId="5306C98B" w14:textId="77777777" w:rsidTr="00BC1061">
        <w:trPr>
          <w:trHeight w:val="923"/>
          <w:jc w:val="center"/>
        </w:trPr>
        <w:tc>
          <w:tcPr>
            <w:tcW w:w="0" w:type="auto"/>
          </w:tcPr>
          <w:p w14:paraId="023B0D8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Style w:val="Emphasis"/>
                <w:rFonts w:ascii="Times New Roman" w:hAnsi="Times New Roman"/>
                <w:b/>
                <w:bCs/>
                <w:sz w:val="24"/>
              </w:rPr>
              <w:t>Diabetes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Mellitus</w:t>
            </w:r>
          </w:p>
          <w:p w14:paraId="2E825E51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 (%)</w:t>
            </w:r>
          </w:p>
          <w:p w14:paraId="5A690957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 (%)</w:t>
            </w:r>
          </w:p>
        </w:tc>
        <w:tc>
          <w:tcPr>
            <w:tcW w:w="0" w:type="auto"/>
          </w:tcPr>
          <w:p w14:paraId="0A983D21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0D6DCB6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(8.33%)</w:t>
            </w:r>
          </w:p>
          <w:p w14:paraId="4820A23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 (91.67%)</w:t>
            </w:r>
          </w:p>
        </w:tc>
        <w:tc>
          <w:tcPr>
            <w:tcW w:w="0" w:type="auto"/>
          </w:tcPr>
          <w:p w14:paraId="26FB8DC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B7B639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67A940B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0" w:type="auto"/>
          </w:tcPr>
          <w:p w14:paraId="6324C60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4CD1B8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(12.50%)</w:t>
            </w:r>
          </w:p>
          <w:p w14:paraId="1BA6245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 (87.50%)</w:t>
            </w:r>
          </w:p>
        </w:tc>
        <w:tc>
          <w:tcPr>
            <w:tcW w:w="0" w:type="auto"/>
          </w:tcPr>
          <w:p w14:paraId="4FCC378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87C0D4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7A16AD6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13E740A6" w14:textId="77777777" w:rsidTr="00BC1061">
        <w:trPr>
          <w:trHeight w:val="923"/>
          <w:jc w:val="center"/>
        </w:trPr>
        <w:tc>
          <w:tcPr>
            <w:tcW w:w="0" w:type="auto"/>
          </w:tcPr>
          <w:p w14:paraId="466EA8D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History of stroke</w:t>
            </w:r>
          </w:p>
          <w:p w14:paraId="1E504E06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Yes (%)</w:t>
            </w:r>
          </w:p>
          <w:p w14:paraId="09CDF0B5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 (%)</w:t>
            </w:r>
          </w:p>
        </w:tc>
        <w:tc>
          <w:tcPr>
            <w:tcW w:w="0" w:type="auto"/>
          </w:tcPr>
          <w:p w14:paraId="3C980FE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0A68A4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0 (0.00%)</w:t>
            </w:r>
          </w:p>
          <w:p w14:paraId="00128CB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 (100.00%)</w:t>
            </w:r>
          </w:p>
        </w:tc>
        <w:tc>
          <w:tcPr>
            <w:tcW w:w="0" w:type="auto"/>
          </w:tcPr>
          <w:p w14:paraId="62AD560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EC9DC3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0 (0.00%)</w:t>
            </w:r>
          </w:p>
          <w:p w14:paraId="11127F7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0" w:type="auto"/>
          </w:tcPr>
          <w:p w14:paraId="0DB04B9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F50165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0 (0.00%)</w:t>
            </w:r>
          </w:p>
          <w:p w14:paraId="7E764D4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 (100.00%)</w:t>
            </w:r>
          </w:p>
        </w:tc>
        <w:tc>
          <w:tcPr>
            <w:tcW w:w="0" w:type="auto"/>
          </w:tcPr>
          <w:p w14:paraId="1B7F09F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3AEF21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0 (0.00%)</w:t>
            </w:r>
          </w:p>
          <w:p w14:paraId="198B667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2C14BF41" w14:textId="77777777" w:rsidTr="00BC1061">
        <w:trPr>
          <w:trHeight w:val="923"/>
          <w:jc w:val="center"/>
        </w:trPr>
        <w:tc>
          <w:tcPr>
            <w:tcW w:w="0" w:type="auto"/>
          </w:tcPr>
          <w:p w14:paraId="29A7CA1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bidi="ar"/>
              </w:rPr>
              <w:lastRenderedPageBreak/>
              <w:t>Antiplatelet medication</w:t>
            </w:r>
          </w:p>
          <w:p w14:paraId="2501A203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4AB12102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0" w:type="auto"/>
          </w:tcPr>
          <w:p w14:paraId="084C345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E81266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6BAA2E3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 (100.00%)</w:t>
            </w:r>
          </w:p>
        </w:tc>
        <w:tc>
          <w:tcPr>
            <w:tcW w:w="0" w:type="auto"/>
          </w:tcPr>
          <w:p w14:paraId="7ABC62E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82C01A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3B49331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0" w:type="auto"/>
          </w:tcPr>
          <w:p w14:paraId="023B0DF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E93B78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73F4F7C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 (100.00%)</w:t>
            </w:r>
          </w:p>
        </w:tc>
        <w:tc>
          <w:tcPr>
            <w:tcW w:w="0" w:type="auto"/>
          </w:tcPr>
          <w:p w14:paraId="17D3A66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DA38DF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768A20A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7DCA78E4" w14:textId="77777777" w:rsidTr="00BC1061">
        <w:trPr>
          <w:trHeight w:val="923"/>
          <w:jc w:val="center"/>
        </w:trPr>
        <w:tc>
          <w:tcPr>
            <w:tcW w:w="0" w:type="auto"/>
          </w:tcPr>
          <w:p w14:paraId="32F9E6D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kern w:val="36"/>
                <w:sz w:val="24"/>
                <w:lang w:bidi="ar"/>
              </w:rPr>
              <w:t>Anticoagulant medication</w:t>
            </w:r>
          </w:p>
          <w:p w14:paraId="3818E7B2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2E7D7699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0" w:type="auto"/>
          </w:tcPr>
          <w:p w14:paraId="1E3BAAB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21208B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38E588E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 (100.00%)</w:t>
            </w:r>
          </w:p>
        </w:tc>
        <w:tc>
          <w:tcPr>
            <w:tcW w:w="0" w:type="auto"/>
          </w:tcPr>
          <w:p w14:paraId="58C2151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8B08B1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17D3F85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0" w:type="auto"/>
          </w:tcPr>
          <w:p w14:paraId="39EB3AC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03A08C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1D70A8F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 (100.00%)</w:t>
            </w:r>
          </w:p>
        </w:tc>
        <w:tc>
          <w:tcPr>
            <w:tcW w:w="0" w:type="auto"/>
          </w:tcPr>
          <w:p w14:paraId="060FF02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C7D579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5F954D7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6FF5D7D7" w14:textId="77777777" w:rsidTr="00BC1061">
        <w:trPr>
          <w:trHeight w:val="308"/>
          <w:jc w:val="center"/>
        </w:trPr>
        <w:tc>
          <w:tcPr>
            <w:tcW w:w="0" w:type="auto"/>
          </w:tcPr>
          <w:p w14:paraId="5B8CC3C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Heart rate (beats/min, mean ± SD)</w:t>
            </w:r>
          </w:p>
        </w:tc>
        <w:tc>
          <w:tcPr>
            <w:tcW w:w="0" w:type="auto"/>
          </w:tcPr>
          <w:p w14:paraId="423F9A5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82.53 ± 13.28</w:t>
            </w:r>
          </w:p>
        </w:tc>
        <w:tc>
          <w:tcPr>
            <w:tcW w:w="0" w:type="auto"/>
          </w:tcPr>
          <w:p w14:paraId="1D1198E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80.83 ± 11.11</w:t>
            </w:r>
          </w:p>
        </w:tc>
        <w:tc>
          <w:tcPr>
            <w:tcW w:w="0" w:type="auto"/>
          </w:tcPr>
          <w:p w14:paraId="4724D6A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81.67 ± 13.57</w:t>
            </w:r>
          </w:p>
        </w:tc>
        <w:tc>
          <w:tcPr>
            <w:tcW w:w="0" w:type="auto"/>
          </w:tcPr>
          <w:p w14:paraId="6B4C7A1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87.67 ± 15.04</w:t>
            </w:r>
          </w:p>
        </w:tc>
      </w:tr>
      <w:tr w:rsidR="0062727D" w14:paraId="4700B442" w14:textId="77777777" w:rsidTr="00BC1061">
        <w:trPr>
          <w:trHeight w:val="308"/>
          <w:jc w:val="center"/>
        </w:trPr>
        <w:tc>
          <w:tcPr>
            <w:tcW w:w="0" w:type="auto"/>
          </w:tcPr>
          <w:p w14:paraId="4566588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SBP (mmHg, mean ± SD)</w:t>
            </w:r>
          </w:p>
        </w:tc>
        <w:tc>
          <w:tcPr>
            <w:tcW w:w="0" w:type="auto"/>
          </w:tcPr>
          <w:p w14:paraId="0260066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180.08 ± 30.41</w:t>
            </w:r>
          </w:p>
        </w:tc>
        <w:tc>
          <w:tcPr>
            <w:tcW w:w="0" w:type="auto"/>
          </w:tcPr>
          <w:p w14:paraId="38E21D1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156.50 ± 40.36</w:t>
            </w:r>
          </w:p>
        </w:tc>
        <w:tc>
          <w:tcPr>
            <w:tcW w:w="0" w:type="auto"/>
          </w:tcPr>
          <w:p w14:paraId="5583EC3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188.25 ± 23.66</w:t>
            </w:r>
          </w:p>
        </w:tc>
        <w:tc>
          <w:tcPr>
            <w:tcW w:w="0" w:type="auto"/>
          </w:tcPr>
          <w:p w14:paraId="410A663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171.00 ± 34.37</w:t>
            </w:r>
          </w:p>
        </w:tc>
      </w:tr>
      <w:tr w:rsidR="0062727D" w14:paraId="18D788A7" w14:textId="77777777" w:rsidTr="00BC1061">
        <w:trPr>
          <w:trHeight w:val="308"/>
          <w:jc w:val="center"/>
        </w:trPr>
        <w:tc>
          <w:tcPr>
            <w:tcW w:w="0" w:type="auto"/>
          </w:tcPr>
          <w:p w14:paraId="0110251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DBP (mmHg, mean ± SD)</w:t>
            </w:r>
          </w:p>
        </w:tc>
        <w:tc>
          <w:tcPr>
            <w:tcW w:w="0" w:type="auto"/>
          </w:tcPr>
          <w:p w14:paraId="636C9AE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103.94 ± 23.52</w:t>
            </w:r>
          </w:p>
        </w:tc>
        <w:tc>
          <w:tcPr>
            <w:tcW w:w="0" w:type="auto"/>
          </w:tcPr>
          <w:p w14:paraId="587F9A2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88.67 ± 18.08</w:t>
            </w:r>
          </w:p>
        </w:tc>
        <w:tc>
          <w:tcPr>
            <w:tcW w:w="0" w:type="auto"/>
          </w:tcPr>
          <w:p w14:paraId="324A011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109.67 ± 23.49</w:t>
            </w:r>
          </w:p>
        </w:tc>
        <w:tc>
          <w:tcPr>
            <w:tcW w:w="0" w:type="auto"/>
          </w:tcPr>
          <w:p w14:paraId="5C17D1C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96.33 ± 22.36</w:t>
            </w:r>
          </w:p>
        </w:tc>
      </w:tr>
      <w:tr w:rsidR="0062727D" w14:paraId="26217A96" w14:textId="77777777" w:rsidTr="00BC1061">
        <w:trPr>
          <w:trHeight w:val="308"/>
          <w:jc w:val="center"/>
        </w:trPr>
        <w:tc>
          <w:tcPr>
            <w:tcW w:w="0" w:type="auto"/>
          </w:tcPr>
          <w:p w14:paraId="1FA21B7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Platelet count (10</w:t>
            </w:r>
            <w:r>
              <w:rPr>
                <w:rFonts w:ascii="Times New Roman" w:hAnsi="Times New Roman"/>
                <w:b/>
                <w:bCs/>
                <w:sz w:val="24"/>
                <w:vertAlign w:val="superscript"/>
              </w:rPr>
              <w:t>9</w:t>
            </w:r>
            <w:r>
              <w:rPr>
                <w:rFonts w:ascii="Times New Roman" w:hAnsi="Times New Roman"/>
                <w:b/>
                <w:bCs/>
                <w:sz w:val="24"/>
              </w:rPr>
              <w:t>/L, mean ± SD)</w:t>
            </w:r>
          </w:p>
        </w:tc>
        <w:tc>
          <w:tcPr>
            <w:tcW w:w="0" w:type="auto"/>
          </w:tcPr>
          <w:p w14:paraId="2904E2A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224.84 ± 69.74</w:t>
            </w:r>
          </w:p>
        </w:tc>
        <w:tc>
          <w:tcPr>
            <w:tcW w:w="0" w:type="auto"/>
          </w:tcPr>
          <w:p w14:paraId="3B76DCA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273.17 ± 51.03</w:t>
            </w:r>
          </w:p>
        </w:tc>
        <w:tc>
          <w:tcPr>
            <w:tcW w:w="0" w:type="auto"/>
          </w:tcPr>
          <w:p w14:paraId="59FBEC4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206.86 ± 67.61</w:t>
            </w:r>
          </w:p>
        </w:tc>
        <w:tc>
          <w:tcPr>
            <w:tcW w:w="0" w:type="auto"/>
          </w:tcPr>
          <w:p w14:paraId="30A4321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242.40 ± 77.45</w:t>
            </w:r>
          </w:p>
        </w:tc>
      </w:tr>
      <w:tr w:rsidR="0062727D" w14:paraId="2E4F0821" w14:textId="77777777" w:rsidTr="00BC1061">
        <w:trPr>
          <w:trHeight w:val="308"/>
          <w:jc w:val="center"/>
        </w:trPr>
        <w:tc>
          <w:tcPr>
            <w:tcW w:w="0" w:type="auto"/>
          </w:tcPr>
          <w:p w14:paraId="6D68A01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Prothrombin time (s, mean ± SD)</w:t>
            </w:r>
          </w:p>
        </w:tc>
        <w:tc>
          <w:tcPr>
            <w:tcW w:w="0" w:type="auto"/>
          </w:tcPr>
          <w:p w14:paraId="61D3474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11.37 ± 0.94</w:t>
            </w:r>
          </w:p>
        </w:tc>
        <w:tc>
          <w:tcPr>
            <w:tcW w:w="0" w:type="auto"/>
          </w:tcPr>
          <w:p w14:paraId="016291C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10.87 ± 0.67</w:t>
            </w:r>
          </w:p>
        </w:tc>
        <w:tc>
          <w:tcPr>
            <w:tcW w:w="0" w:type="auto"/>
          </w:tcPr>
          <w:p w14:paraId="3D7EC24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11.53 ± 1.00</w:t>
            </w:r>
          </w:p>
        </w:tc>
        <w:tc>
          <w:tcPr>
            <w:tcW w:w="0" w:type="auto"/>
          </w:tcPr>
          <w:p w14:paraId="42F0E35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11.28 ± 0.87</w:t>
            </w:r>
          </w:p>
        </w:tc>
      </w:tr>
      <w:tr w:rsidR="0062727D" w14:paraId="26146369" w14:textId="77777777" w:rsidTr="00BC1061">
        <w:trPr>
          <w:trHeight w:val="308"/>
          <w:jc w:val="center"/>
        </w:trPr>
        <w:tc>
          <w:tcPr>
            <w:tcW w:w="0" w:type="auto"/>
          </w:tcPr>
          <w:p w14:paraId="28F7AD4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International normalized ratio (mean ± SD)</w:t>
            </w:r>
          </w:p>
        </w:tc>
        <w:tc>
          <w:tcPr>
            <w:tcW w:w="0" w:type="auto"/>
          </w:tcPr>
          <w:p w14:paraId="40C088F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0.99 ± 0.08</w:t>
            </w:r>
          </w:p>
        </w:tc>
        <w:tc>
          <w:tcPr>
            <w:tcW w:w="0" w:type="auto"/>
          </w:tcPr>
          <w:p w14:paraId="355245D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0.95 ± 0.07</w:t>
            </w:r>
          </w:p>
        </w:tc>
        <w:tc>
          <w:tcPr>
            <w:tcW w:w="0" w:type="auto"/>
          </w:tcPr>
          <w:p w14:paraId="304E1D1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1.00 ± 0.08</w:t>
            </w:r>
          </w:p>
        </w:tc>
        <w:tc>
          <w:tcPr>
            <w:tcW w:w="0" w:type="auto"/>
          </w:tcPr>
          <w:p w14:paraId="3FBF39A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0.99 ± 0.08</w:t>
            </w:r>
          </w:p>
        </w:tc>
      </w:tr>
      <w:tr w:rsidR="0062727D" w14:paraId="4B3DB2E3" w14:textId="77777777" w:rsidTr="00BC1061">
        <w:trPr>
          <w:trHeight w:val="448"/>
          <w:jc w:val="center"/>
        </w:trPr>
        <w:tc>
          <w:tcPr>
            <w:tcW w:w="0" w:type="auto"/>
          </w:tcPr>
          <w:p w14:paraId="77368A8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Affected side upper limb muscle strength at admission </w:t>
            </w: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>(median, Q1; Q3)</w:t>
            </w:r>
          </w:p>
        </w:tc>
        <w:tc>
          <w:tcPr>
            <w:tcW w:w="0" w:type="auto"/>
            <w:vAlign w:val="center"/>
          </w:tcPr>
          <w:p w14:paraId="026C957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lastRenderedPageBreak/>
              <w:t>1.00 (0.00;2.00)</w:t>
            </w:r>
          </w:p>
        </w:tc>
        <w:tc>
          <w:tcPr>
            <w:tcW w:w="0" w:type="auto"/>
            <w:vAlign w:val="center"/>
          </w:tcPr>
          <w:p w14:paraId="1AAFA46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(0.00;1.00)</w:t>
            </w:r>
          </w:p>
        </w:tc>
        <w:tc>
          <w:tcPr>
            <w:tcW w:w="0" w:type="auto"/>
            <w:vAlign w:val="center"/>
          </w:tcPr>
          <w:p w14:paraId="5F4365B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(0.00;1.50)</w:t>
            </w:r>
          </w:p>
        </w:tc>
        <w:tc>
          <w:tcPr>
            <w:tcW w:w="0" w:type="auto"/>
            <w:vAlign w:val="center"/>
          </w:tcPr>
          <w:p w14:paraId="37A18A2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1.50 (1.00;2.00)</w:t>
            </w:r>
          </w:p>
        </w:tc>
      </w:tr>
      <w:tr w:rsidR="0062727D" w14:paraId="7C54982B" w14:textId="77777777" w:rsidTr="00BC1061">
        <w:trPr>
          <w:trHeight w:val="308"/>
          <w:jc w:val="center"/>
        </w:trPr>
        <w:tc>
          <w:tcPr>
            <w:tcW w:w="0" w:type="auto"/>
          </w:tcPr>
          <w:p w14:paraId="19049B9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Affected side lower limb muscle strength at admission (median, Q1; Q3)</w:t>
            </w:r>
          </w:p>
        </w:tc>
        <w:tc>
          <w:tcPr>
            <w:tcW w:w="0" w:type="auto"/>
            <w:vAlign w:val="center"/>
          </w:tcPr>
          <w:p w14:paraId="60D0A8C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(1.00;2.00)</w:t>
            </w:r>
          </w:p>
        </w:tc>
        <w:tc>
          <w:tcPr>
            <w:tcW w:w="0" w:type="auto"/>
            <w:vAlign w:val="center"/>
          </w:tcPr>
          <w:p w14:paraId="3FE7760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(1.00;2.00)</w:t>
            </w:r>
          </w:p>
        </w:tc>
        <w:tc>
          <w:tcPr>
            <w:tcW w:w="0" w:type="auto"/>
            <w:vAlign w:val="center"/>
          </w:tcPr>
          <w:p w14:paraId="2DA7593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(0.50;2.00)</w:t>
            </w:r>
          </w:p>
        </w:tc>
        <w:tc>
          <w:tcPr>
            <w:tcW w:w="0" w:type="auto"/>
            <w:vAlign w:val="center"/>
          </w:tcPr>
          <w:p w14:paraId="08172E3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2.00 (1.00;2.00)</w:t>
            </w:r>
          </w:p>
        </w:tc>
      </w:tr>
      <w:tr w:rsidR="0062727D" w14:paraId="4CA801E6" w14:textId="77777777" w:rsidTr="00BC1061">
        <w:trPr>
          <w:trHeight w:val="308"/>
          <w:jc w:val="center"/>
        </w:trPr>
        <w:tc>
          <w:tcPr>
            <w:tcW w:w="0" w:type="auto"/>
          </w:tcPr>
          <w:p w14:paraId="545E9F8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GCS score at admission (median, Q1; Q3)</w:t>
            </w:r>
          </w:p>
        </w:tc>
        <w:tc>
          <w:tcPr>
            <w:tcW w:w="0" w:type="auto"/>
          </w:tcPr>
          <w:p w14:paraId="4D1C073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10.00 (9.00;12.50)</w:t>
            </w:r>
          </w:p>
        </w:tc>
        <w:tc>
          <w:tcPr>
            <w:tcW w:w="0" w:type="auto"/>
          </w:tcPr>
          <w:p w14:paraId="474CBF4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9.50 (9.00;11.00)</w:t>
            </w:r>
          </w:p>
        </w:tc>
        <w:tc>
          <w:tcPr>
            <w:tcW w:w="0" w:type="auto"/>
          </w:tcPr>
          <w:p w14:paraId="66524CB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11.00 (9.50;13.00)</w:t>
            </w:r>
          </w:p>
        </w:tc>
        <w:tc>
          <w:tcPr>
            <w:tcW w:w="0" w:type="auto"/>
          </w:tcPr>
          <w:p w14:paraId="7E5637C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10.00 (9.00;12.00)</w:t>
            </w:r>
          </w:p>
        </w:tc>
      </w:tr>
      <w:tr w:rsidR="0062727D" w14:paraId="46605210" w14:textId="77777777" w:rsidTr="00BC1061">
        <w:trPr>
          <w:trHeight w:val="328"/>
          <w:jc w:val="center"/>
        </w:trPr>
        <w:tc>
          <w:tcPr>
            <w:tcW w:w="0" w:type="auto"/>
          </w:tcPr>
          <w:p w14:paraId="645DBE9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NIHSS score at admission (mean ± SD)</w:t>
            </w:r>
          </w:p>
        </w:tc>
        <w:tc>
          <w:tcPr>
            <w:tcW w:w="0" w:type="auto"/>
          </w:tcPr>
          <w:p w14:paraId="7B650E6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15.28 ± 5.40</w:t>
            </w:r>
          </w:p>
        </w:tc>
        <w:tc>
          <w:tcPr>
            <w:tcW w:w="0" w:type="auto"/>
          </w:tcPr>
          <w:p w14:paraId="6EE7638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19.33 ± 8.02</w:t>
            </w:r>
          </w:p>
        </w:tc>
        <w:tc>
          <w:tcPr>
            <w:tcW w:w="0" w:type="auto"/>
          </w:tcPr>
          <w:p w14:paraId="3DE3377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14.29 ± 4.18</w:t>
            </w:r>
          </w:p>
        </w:tc>
        <w:tc>
          <w:tcPr>
            <w:tcW w:w="0" w:type="auto"/>
          </w:tcPr>
          <w:p w14:paraId="50D2E9C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15.17 ± 5.91</w:t>
            </w:r>
          </w:p>
        </w:tc>
      </w:tr>
      <w:tr w:rsidR="0062727D" w14:paraId="5F42069A" w14:textId="77777777" w:rsidTr="00BC1061">
        <w:trPr>
          <w:trHeight w:val="328"/>
          <w:jc w:val="center"/>
        </w:trPr>
        <w:tc>
          <w:tcPr>
            <w:tcW w:w="0" w:type="auto"/>
            <w:tcBorders>
              <w:bottom w:val="nil"/>
            </w:tcBorders>
          </w:tcPr>
          <w:p w14:paraId="7838FB9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Interval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from onset to CTA (hours, median, Q1; Q3)</w:t>
            </w:r>
          </w:p>
        </w:tc>
        <w:tc>
          <w:tcPr>
            <w:tcW w:w="0" w:type="auto"/>
            <w:tcBorders>
              <w:bottom w:val="nil"/>
            </w:tcBorders>
          </w:tcPr>
          <w:p w14:paraId="3D17B5A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6.90 (4.50;12.60)</w:t>
            </w:r>
          </w:p>
        </w:tc>
        <w:tc>
          <w:tcPr>
            <w:tcW w:w="0" w:type="auto"/>
            <w:tcBorders>
              <w:bottom w:val="nil"/>
            </w:tcBorders>
          </w:tcPr>
          <w:p w14:paraId="51A0A8B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6.20 (4.70;7.90)</w:t>
            </w:r>
          </w:p>
        </w:tc>
        <w:tc>
          <w:tcPr>
            <w:tcW w:w="0" w:type="auto"/>
            <w:tcBorders>
              <w:bottom w:val="nil"/>
            </w:tcBorders>
          </w:tcPr>
          <w:p w14:paraId="1B74BD7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7.25 (6.15;13.35)</w:t>
            </w:r>
          </w:p>
        </w:tc>
        <w:tc>
          <w:tcPr>
            <w:tcW w:w="0" w:type="auto"/>
            <w:tcBorders>
              <w:bottom w:val="nil"/>
            </w:tcBorders>
          </w:tcPr>
          <w:p w14:paraId="68960B7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4.25 (2.30;12.50)</w:t>
            </w:r>
          </w:p>
        </w:tc>
      </w:tr>
      <w:tr w:rsidR="0062727D" w14:paraId="7D5F6A2D" w14:textId="77777777" w:rsidTr="00BC1061">
        <w:trPr>
          <w:trHeight w:val="328"/>
          <w:jc w:val="center"/>
        </w:trPr>
        <w:tc>
          <w:tcPr>
            <w:tcW w:w="0" w:type="auto"/>
            <w:tcBorders>
              <w:top w:val="nil"/>
            </w:tcBorders>
          </w:tcPr>
          <w:p w14:paraId="03043B4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Side of intracerebral hemorrhage</w:t>
            </w:r>
          </w:p>
          <w:p w14:paraId="54620960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Left (%)</w:t>
            </w:r>
          </w:p>
          <w:p w14:paraId="500E7CC5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Right (%)</w:t>
            </w:r>
          </w:p>
        </w:tc>
        <w:tc>
          <w:tcPr>
            <w:tcW w:w="0" w:type="auto"/>
            <w:tcBorders>
              <w:top w:val="nil"/>
            </w:tcBorders>
          </w:tcPr>
          <w:p w14:paraId="56D57AB1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56D0AC1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(55.56%)</w:t>
            </w:r>
          </w:p>
          <w:p w14:paraId="1E660B3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 (44.44%)</w:t>
            </w:r>
          </w:p>
        </w:tc>
        <w:tc>
          <w:tcPr>
            <w:tcW w:w="0" w:type="auto"/>
            <w:tcBorders>
              <w:top w:val="nil"/>
            </w:tcBorders>
          </w:tcPr>
          <w:p w14:paraId="4BC97DFF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0BF375E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(66.67%)</w:t>
            </w:r>
          </w:p>
          <w:p w14:paraId="15FE153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(33.33%)</w:t>
            </w:r>
          </w:p>
        </w:tc>
        <w:tc>
          <w:tcPr>
            <w:tcW w:w="0" w:type="auto"/>
            <w:tcBorders>
              <w:top w:val="nil"/>
            </w:tcBorders>
          </w:tcPr>
          <w:p w14:paraId="4F8024E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214E14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 (54.17%)</w:t>
            </w:r>
          </w:p>
          <w:p w14:paraId="76122F9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 (45.83%)</w:t>
            </w:r>
          </w:p>
        </w:tc>
        <w:tc>
          <w:tcPr>
            <w:tcW w:w="0" w:type="auto"/>
            <w:tcBorders>
              <w:top w:val="nil"/>
            </w:tcBorders>
          </w:tcPr>
          <w:p w14:paraId="32B8777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9CB14D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  <w:p w14:paraId="2EEAB64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</w:tc>
      </w:tr>
      <w:tr w:rsidR="0062727D" w14:paraId="447E9694" w14:textId="77777777" w:rsidTr="00BC1061">
        <w:trPr>
          <w:trHeight w:val="328"/>
          <w:jc w:val="center"/>
        </w:trPr>
        <w:tc>
          <w:tcPr>
            <w:tcW w:w="0" w:type="auto"/>
          </w:tcPr>
          <w:p w14:paraId="50793CE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Intraventricular hemorrhage</w:t>
            </w:r>
          </w:p>
          <w:p w14:paraId="56215961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586ECFAE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0" w:type="auto"/>
          </w:tcPr>
          <w:p w14:paraId="2E222034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6E3A242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 (36.11%)</w:t>
            </w:r>
          </w:p>
          <w:p w14:paraId="478923D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 (63.89%)</w:t>
            </w:r>
          </w:p>
        </w:tc>
        <w:tc>
          <w:tcPr>
            <w:tcW w:w="0" w:type="auto"/>
          </w:tcPr>
          <w:p w14:paraId="7331A455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527A42E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(66.67%)</w:t>
            </w:r>
          </w:p>
          <w:p w14:paraId="37661CE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(33.33%)</w:t>
            </w:r>
          </w:p>
        </w:tc>
        <w:tc>
          <w:tcPr>
            <w:tcW w:w="0" w:type="auto"/>
          </w:tcPr>
          <w:p w14:paraId="636F49C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F6DD67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 (29.17%)</w:t>
            </w:r>
          </w:p>
          <w:p w14:paraId="73C9938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 (70.83%)</w:t>
            </w:r>
          </w:p>
        </w:tc>
        <w:tc>
          <w:tcPr>
            <w:tcW w:w="0" w:type="auto"/>
          </w:tcPr>
          <w:p w14:paraId="172CBADF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2A09ABF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(33.33%)</w:t>
            </w:r>
          </w:p>
          <w:p w14:paraId="501804D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(66.67%)</w:t>
            </w:r>
          </w:p>
        </w:tc>
      </w:tr>
      <w:tr w:rsidR="0062727D" w14:paraId="5BCD0D17" w14:textId="77777777" w:rsidTr="00BC1061">
        <w:trPr>
          <w:trHeight w:val="328"/>
          <w:jc w:val="center"/>
        </w:trPr>
        <w:tc>
          <w:tcPr>
            <w:tcW w:w="0" w:type="auto"/>
          </w:tcPr>
          <w:p w14:paraId="476389E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Hematoma expansion signs *</w:t>
            </w:r>
          </w:p>
          <w:p w14:paraId="50AD359C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lastRenderedPageBreak/>
              <w:t>Yes (%)</w:t>
            </w:r>
          </w:p>
          <w:p w14:paraId="1FEE7658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0" w:type="auto"/>
          </w:tcPr>
          <w:p w14:paraId="1A3ECB30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7605B34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 (11.11%)</w:t>
            </w:r>
          </w:p>
          <w:p w14:paraId="53BB5F2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 (88.89%)</w:t>
            </w:r>
          </w:p>
        </w:tc>
        <w:tc>
          <w:tcPr>
            <w:tcW w:w="0" w:type="auto"/>
          </w:tcPr>
          <w:p w14:paraId="563ECD43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4255589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0 (0.00%)</w:t>
            </w:r>
          </w:p>
          <w:p w14:paraId="5F35274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0" w:type="auto"/>
          </w:tcPr>
          <w:p w14:paraId="153070A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E5EE12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 (16.67%)</w:t>
            </w:r>
          </w:p>
          <w:p w14:paraId="18EF91B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(83.33%)</w:t>
            </w:r>
          </w:p>
        </w:tc>
        <w:tc>
          <w:tcPr>
            <w:tcW w:w="0" w:type="auto"/>
          </w:tcPr>
          <w:p w14:paraId="39B70F73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3ED8780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0 (0.00%)</w:t>
            </w:r>
          </w:p>
          <w:p w14:paraId="1182A3A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40399E79" w14:textId="77777777" w:rsidTr="00BC1061">
        <w:trPr>
          <w:trHeight w:val="328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647C19D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kern w:val="36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>Initial hematoma volume (mL, mean ± SD)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7F97D2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34.24 ± 6.33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942B4F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31.72 ± 5.01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F24DD8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35.20 ± 6.81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453DC5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32.93 ± 5.29</w:t>
            </w:r>
          </w:p>
        </w:tc>
      </w:tr>
    </w:tbl>
    <w:p w14:paraId="067B10AE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SBP, systolic blood pressure; DBP, diastolic blood pressure; GCS, Glasgow coma scale; NIHSS, National Institute of Health stroke scale; CTA, computed tomography angiography. </w:t>
      </w:r>
      <w:r>
        <w:rPr>
          <w:rFonts w:ascii="Times New Roman" w:hAnsi="Times New Roman"/>
          <w:b/>
          <w:bCs/>
          <w:sz w:val="24"/>
        </w:rPr>
        <w:t xml:space="preserve">* </w:t>
      </w:r>
      <w:r>
        <w:rPr>
          <w:rFonts w:ascii="Times New Roman" w:hAnsi="Times New Roman"/>
          <w:sz w:val="24"/>
        </w:rPr>
        <w:t>Hematoma expansion signs include spot sign, black hole sign, blend sign, swirl sign, and island sign</w:t>
      </w:r>
      <w:r>
        <w:rPr>
          <w:rFonts w:ascii="Times New Roman" w:hAnsi="Times New Roman" w:hint="eastAsia"/>
          <w:sz w:val="24"/>
        </w:rPr>
        <w:t>.</w:t>
      </w:r>
    </w:p>
    <w:p w14:paraId="0DEA8E42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</w:p>
    <w:p w14:paraId="03D4EE6C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</w:p>
    <w:p w14:paraId="28F3E515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</w:p>
    <w:p w14:paraId="309017B9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</w:p>
    <w:p w14:paraId="56B182F7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</w:p>
    <w:p w14:paraId="3611A820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Table 2. Management during hospitalization and at discharge</w:t>
      </w:r>
    </w:p>
    <w:tbl>
      <w:tblPr>
        <w:tblW w:w="14384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3"/>
        <w:gridCol w:w="2261"/>
        <w:gridCol w:w="1887"/>
        <w:gridCol w:w="2082"/>
        <w:gridCol w:w="2051"/>
      </w:tblGrid>
      <w:tr w:rsidR="0062727D" w14:paraId="431A18B9" w14:textId="77777777" w:rsidTr="00BC1061">
        <w:trPr>
          <w:trHeight w:val="508"/>
        </w:trPr>
        <w:tc>
          <w:tcPr>
            <w:tcW w:w="61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6BB0F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Variables</w:t>
            </w:r>
          </w:p>
        </w:tc>
        <w:tc>
          <w:tcPr>
            <w:tcW w:w="22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7199D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Total (n=36)</w:t>
            </w:r>
          </w:p>
        </w:tc>
        <w:tc>
          <w:tcPr>
            <w:tcW w:w="18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270B2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20,000 IU group (n=6)</w:t>
            </w:r>
          </w:p>
        </w:tc>
        <w:tc>
          <w:tcPr>
            <w:tcW w:w="20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E4507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40,000 IU group (n=24)</w:t>
            </w:r>
          </w:p>
        </w:tc>
        <w:tc>
          <w:tcPr>
            <w:tcW w:w="20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EF584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60,000 IU group (n=6)</w:t>
            </w:r>
          </w:p>
        </w:tc>
      </w:tr>
      <w:tr w:rsidR="0062727D" w14:paraId="4F81D0F3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5B3339E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>BP-lowering treatment</w:t>
            </w:r>
          </w:p>
          <w:p w14:paraId="57409AA5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Intensive (%)</w:t>
            </w:r>
          </w:p>
          <w:p w14:paraId="64799C55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Standard (%)</w:t>
            </w:r>
          </w:p>
          <w:p w14:paraId="286F5467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color w:val="5E5E5E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Individualized (%)</w:t>
            </w:r>
            <w:r>
              <w:rPr>
                <w:rFonts w:ascii="Times New Roman" w:hAnsi="Times New Roman"/>
                <w:color w:val="383330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4"/>
                <w:lang w:bidi="ar"/>
              </w:rPr>
              <w:t>*</w:t>
            </w:r>
          </w:p>
        </w:tc>
        <w:tc>
          <w:tcPr>
            <w:tcW w:w="2261" w:type="dxa"/>
            <w:vAlign w:val="center"/>
          </w:tcPr>
          <w:p w14:paraId="5205BFFE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41A3658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 (52.78%)</w:t>
            </w:r>
          </w:p>
          <w:p w14:paraId="347B390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 (41.67%)</w:t>
            </w:r>
          </w:p>
          <w:p w14:paraId="764859F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(5.56%)</w:t>
            </w:r>
          </w:p>
        </w:tc>
        <w:tc>
          <w:tcPr>
            <w:tcW w:w="1887" w:type="dxa"/>
            <w:vAlign w:val="center"/>
          </w:tcPr>
          <w:p w14:paraId="50B18745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</w:p>
          <w:p w14:paraId="459F30D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  <w:p w14:paraId="0720981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(33.33%)</w:t>
            </w:r>
          </w:p>
          <w:p w14:paraId="0877A63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(16.67%)</w:t>
            </w:r>
          </w:p>
        </w:tc>
        <w:tc>
          <w:tcPr>
            <w:tcW w:w="2082" w:type="dxa"/>
            <w:vAlign w:val="center"/>
          </w:tcPr>
          <w:p w14:paraId="7130491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4720C7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 (54.17%)</w:t>
            </w:r>
          </w:p>
          <w:p w14:paraId="06561CB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 (41.67%)</w:t>
            </w:r>
          </w:p>
          <w:p w14:paraId="30982AE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(4.17%)</w:t>
            </w:r>
          </w:p>
        </w:tc>
        <w:tc>
          <w:tcPr>
            <w:tcW w:w="2051" w:type="dxa"/>
            <w:vAlign w:val="center"/>
          </w:tcPr>
          <w:p w14:paraId="58B320B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AFAA77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  <w:p w14:paraId="2CF6F5F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(50.00%)</w:t>
            </w:r>
          </w:p>
          <w:p w14:paraId="1946E31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</w:tc>
      </w:tr>
      <w:tr w:rsidR="0062727D" w14:paraId="0E1C04C6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4239E8F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Interval from onset to surgery (hours, mean ± SD)</w:t>
            </w:r>
          </w:p>
        </w:tc>
        <w:tc>
          <w:tcPr>
            <w:tcW w:w="2261" w:type="dxa"/>
            <w:vAlign w:val="center"/>
          </w:tcPr>
          <w:p w14:paraId="42AA709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19.53 ± 8.37</w:t>
            </w:r>
          </w:p>
        </w:tc>
        <w:tc>
          <w:tcPr>
            <w:tcW w:w="1887" w:type="dxa"/>
            <w:vAlign w:val="center"/>
          </w:tcPr>
          <w:p w14:paraId="1FAF3C0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17.40 ± 8.13</w:t>
            </w:r>
          </w:p>
        </w:tc>
        <w:tc>
          <w:tcPr>
            <w:tcW w:w="2082" w:type="dxa"/>
            <w:vAlign w:val="center"/>
          </w:tcPr>
          <w:p w14:paraId="209EE88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19.31 ± 6.82</w:t>
            </w:r>
          </w:p>
        </w:tc>
        <w:tc>
          <w:tcPr>
            <w:tcW w:w="2051" w:type="dxa"/>
            <w:vAlign w:val="center"/>
          </w:tcPr>
          <w:p w14:paraId="0B4C6DC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22.53 ± 13.93</w:t>
            </w:r>
          </w:p>
        </w:tc>
      </w:tr>
      <w:tr w:rsidR="0062727D" w14:paraId="0A83E00A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63EFCA1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kern w:val="36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Surgical time (minutes, mean ± SD)</w:t>
            </w:r>
          </w:p>
        </w:tc>
        <w:tc>
          <w:tcPr>
            <w:tcW w:w="2261" w:type="dxa"/>
            <w:vAlign w:val="center"/>
          </w:tcPr>
          <w:p w14:paraId="01299E7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83.83 ± 40.72</w:t>
            </w:r>
          </w:p>
        </w:tc>
        <w:tc>
          <w:tcPr>
            <w:tcW w:w="1887" w:type="dxa"/>
            <w:vAlign w:val="center"/>
          </w:tcPr>
          <w:p w14:paraId="34B2071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74.17 ± 37.34</w:t>
            </w:r>
          </w:p>
        </w:tc>
        <w:tc>
          <w:tcPr>
            <w:tcW w:w="2082" w:type="dxa"/>
            <w:vAlign w:val="center"/>
          </w:tcPr>
          <w:p w14:paraId="2CC6C37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88.79 ± 45.17</w:t>
            </w:r>
          </w:p>
        </w:tc>
        <w:tc>
          <w:tcPr>
            <w:tcW w:w="2051" w:type="dxa"/>
            <w:vAlign w:val="center"/>
          </w:tcPr>
          <w:p w14:paraId="6046785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73.67 ± 21.79</w:t>
            </w:r>
          </w:p>
        </w:tc>
      </w:tr>
      <w:tr w:rsidR="0062727D" w14:paraId="623D579E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0036986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Residual hematoma volume after surgery </w:t>
            </w:r>
          </w:p>
          <w:p w14:paraId="498281A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kern w:val="36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(mL, median, Q1; Q3)</w:t>
            </w:r>
          </w:p>
        </w:tc>
        <w:tc>
          <w:tcPr>
            <w:tcW w:w="2261" w:type="dxa"/>
            <w:vAlign w:val="center"/>
          </w:tcPr>
          <w:p w14:paraId="2EB5181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20.85 (15.00;25.75)</w:t>
            </w:r>
          </w:p>
        </w:tc>
        <w:tc>
          <w:tcPr>
            <w:tcW w:w="1887" w:type="dxa"/>
            <w:vAlign w:val="center"/>
          </w:tcPr>
          <w:p w14:paraId="746A47E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19.05 (14.60;28.70)</w:t>
            </w:r>
          </w:p>
        </w:tc>
        <w:tc>
          <w:tcPr>
            <w:tcW w:w="2082" w:type="dxa"/>
            <w:vAlign w:val="center"/>
          </w:tcPr>
          <w:p w14:paraId="2C564EE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21.60 (15.75;25.75)</w:t>
            </w:r>
          </w:p>
        </w:tc>
        <w:tc>
          <w:tcPr>
            <w:tcW w:w="2051" w:type="dxa"/>
            <w:vAlign w:val="center"/>
          </w:tcPr>
          <w:p w14:paraId="061EAF7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14.70 (13.20;21.00)</w:t>
            </w:r>
          </w:p>
        </w:tc>
      </w:tr>
      <w:tr w:rsidR="0062727D" w14:paraId="17D6927F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665732D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Interval from onset to the first urokinase irrigation </w:t>
            </w:r>
          </w:p>
          <w:p w14:paraId="3A47731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(hours, mean ± SD)</w:t>
            </w:r>
          </w:p>
        </w:tc>
        <w:tc>
          <w:tcPr>
            <w:tcW w:w="2261" w:type="dxa"/>
            <w:vAlign w:val="center"/>
          </w:tcPr>
          <w:p w14:paraId="62184B7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28.62 ± 8.59</w:t>
            </w:r>
          </w:p>
        </w:tc>
        <w:tc>
          <w:tcPr>
            <w:tcW w:w="1887" w:type="dxa"/>
            <w:vAlign w:val="center"/>
          </w:tcPr>
          <w:p w14:paraId="59151BC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27.08 ± 9.47</w:t>
            </w:r>
          </w:p>
        </w:tc>
        <w:tc>
          <w:tcPr>
            <w:tcW w:w="2082" w:type="dxa"/>
            <w:vAlign w:val="center"/>
          </w:tcPr>
          <w:p w14:paraId="19D8916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27.44 ± 7.16</w:t>
            </w:r>
          </w:p>
        </w:tc>
        <w:tc>
          <w:tcPr>
            <w:tcW w:w="2051" w:type="dxa"/>
            <w:vAlign w:val="center"/>
          </w:tcPr>
          <w:p w14:paraId="244F78B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34.87 ± 11.58</w:t>
            </w:r>
          </w:p>
        </w:tc>
      </w:tr>
      <w:tr w:rsidR="0062727D" w14:paraId="5F03C217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1DBEC45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Number of urokinase irrigation (median, Q1; Q3)</w:t>
            </w:r>
          </w:p>
        </w:tc>
        <w:tc>
          <w:tcPr>
            <w:tcW w:w="2261" w:type="dxa"/>
            <w:vAlign w:val="center"/>
          </w:tcPr>
          <w:p w14:paraId="3A7F0BE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2.00 (2.00;4.00)</w:t>
            </w:r>
          </w:p>
        </w:tc>
        <w:tc>
          <w:tcPr>
            <w:tcW w:w="1887" w:type="dxa"/>
            <w:vAlign w:val="center"/>
          </w:tcPr>
          <w:p w14:paraId="36F8960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2.00 (2.00;3.00)</w:t>
            </w:r>
          </w:p>
        </w:tc>
        <w:tc>
          <w:tcPr>
            <w:tcW w:w="2082" w:type="dxa"/>
            <w:vAlign w:val="center"/>
          </w:tcPr>
          <w:p w14:paraId="799F6C3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2.00 (2.00;4.00)</w:t>
            </w:r>
          </w:p>
        </w:tc>
        <w:tc>
          <w:tcPr>
            <w:tcW w:w="2051" w:type="dxa"/>
            <w:vAlign w:val="center"/>
          </w:tcPr>
          <w:p w14:paraId="7407819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2.00 (2.00;3.00)</w:t>
            </w:r>
          </w:p>
        </w:tc>
      </w:tr>
      <w:tr w:rsidR="0062727D" w14:paraId="7FA7C0C0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2E39E1C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Duration of urokinase irrigation (hours, median, Q1; Q3)</w:t>
            </w:r>
          </w:p>
        </w:tc>
        <w:tc>
          <w:tcPr>
            <w:tcW w:w="2261" w:type="dxa"/>
            <w:vAlign w:val="center"/>
          </w:tcPr>
          <w:p w14:paraId="7D970E3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12.75 (12.00;35.90)</w:t>
            </w:r>
          </w:p>
        </w:tc>
        <w:tc>
          <w:tcPr>
            <w:tcW w:w="1887" w:type="dxa"/>
            <w:vAlign w:val="center"/>
          </w:tcPr>
          <w:p w14:paraId="270A4BE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12.00 (12.00;22.50)</w:t>
            </w:r>
          </w:p>
        </w:tc>
        <w:tc>
          <w:tcPr>
            <w:tcW w:w="2082" w:type="dxa"/>
            <w:vAlign w:val="center"/>
          </w:tcPr>
          <w:p w14:paraId="510E754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13.10 (12.00;36.70)</w:t>
            </w:r>
          </w:p>
        </w:tc>
        <w:tc>
          <w:tcPr>
            <w:tcW w:w="2051" w:type="dxa"/>
            <w:vAlign w:val="center"/>
          </w:tcPr>
          <w:p w14:paraId="32B5B32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13.75 (12.00;35.10)</w:t>
            </w:r>
          </w:p>
        </w:tc>
      </w:tr>
      <w:tr w:rsidR="0062727D" w14:paraId="5CD2A58F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619A8C2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Residual hematoma volume after the last urokinase irrigation</w:t>
            </w:r>
          </w:p>
          <w:p w14:paraId="010048B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>(mL, median, Q1; Q3)</w:t>
            </w:r>
          </w:p>
        </w:tc>
        <w:tc>
          <w:tcPr>
            <w:tcW w:w="2261" w:type="dxa"/>
            <w:vAlign w:val="center"/>
          </w:tcPr>
          <w:p w14:paraId="02F2F21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lastRenderedPageBreak/>
              <w:t>8.50 (7.30;9.35)</w:t>
            </w:r>
          </w:p>
        </w:tc>
        <w:tc>
          <w:tcPr>
            <w:tcW w:w="1887" w:type="dxa"/>
            <w:vAlign w:val="center"/>
          </w:tcPr>
          <w:p w14:paraId="3D3F4DF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8.85 (8.60;9.60)</w:t>
            </w:r>
          </w:p>
        </w:tc>
        <w:tc>
          <w:tcPr>
            <w:tcW w:w="2082" w:type="dxa"/>
            <w:vAlign w:val="center"/>
          </w:tcPr>
          <w:p w14:paraId="409F566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7.75 (6.15;9.15)</w:t>
            </w:r>
          </w:p>
        </w:tc>
        <w:tc>
          <w:tcPr>
            <w:tcW w:w="2051" w:type="dxa"/>
            <w:vAlign w:val="center"/>
          </w:tcPr>
          <w:p w14:paraId="3BC3AD0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8.90 (8.50;9.40)</w:t>
            </w:r>
          </w:p>
        </w:tc>
      </w:tr>
      <w:tr w:rsidR="0062727D" w14:paraId="3E959C1C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182656F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Reduction of hematoma size by urokinase irrigation</w:t>
            </w:r>
          </w:p>
          <w:p w14:paraId="11E3DAF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(%, median, Q1; Q3)</w:t>
            </w:r>
          </w:p>
        </w:tc>
        <w:tc>
          <w:tcPr>
            <w:tcW w:w="2261" w:type="dxa"/>
            <w:vAlign w:val="center"/>
          </w:tcPr>
          <w:p w14:paraId="6D52F76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58.11 (48.00;69.87)</w:t>
            </w:r>
          </w:p>
        </w:tc>
        <w:tc>
          <w:tcPr>
            <w:tcW w:w="1887" w:type="dxa"/>
            <w:vAlign w:val="center"/>
          </w:tcPr>
          <w:p w14:paraId="22EA694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53.19 (35.82;69.69)</w:t>
            </w:r>
          </w:p>
        </w:tc>
        <w:tc>
          <w:tcPr>
            <w:tcW w:w="2082" w:type="dxa"/>
            <w:vAlign w:val="center"/>
          </w:tcPr>
          <w:p w14:paraId="15D4FB6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65.48 (55.30;70.56)</w:t>
            </w:r>
          </w:p>
        </w:tc>
        <w:tc>
          <w:tcPr>
            <w:tcW w:w="2051" w:type="dxa"/>
            <w:vAlign w:val="center"/>
          </w:tcPr>
          <w:p w14:paraId="26BD132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36.17 (34.92;42.18)</w:t>
            </w:r>
          </w:p>
        </w:tc>
      </w:tr>
      <w:tr w:rsidR="0062727D" w14:paraId="1AAEC912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0C92B43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Residual hematoma volume in the re-examination </w:t>
            </w:r>
          </w:p>
          <w:p w14:paraId="7317835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(mL, median, Q1; Q3)  </w:t>
            </w:r>
          </w:p>
        </w:tc>
        <w:tc>
          <w:tcPr>
            <w:tcW w:w="2261" w:type="dxa"/>
            <w:vAlign w:val="center"/>
          </w:tcPr>
          <w:p w14:paraId="681725C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6.20 (4.70;7.60)</w:t>
            </w:r>
          </w:p>
        </w:tc>
        <w:tc>
          <w:tcPr>
            <w:tcW w:w="1887" w:type="dxa"/>
            <w:vAlign w:val="center"/>
          </w:tcPr>
          <w:p w14:paraId="5B12317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6.20 (4.40;8.00)</w:t>
            </w:r>
          </w:p>
        </w:tc>
        <w:tc>
          <w:tcPr>
            <w:tcW w:w="2082" w:type="dxa"/>
            <w:vAlign w:val="center"/>
          </w:tcPr>
          <w:p w14:paraId="6400961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5.85 (4.70;7.40)</w:t>
            </w:r>
          </w:p>
        </w:tc>
        <w:tc>
          <w:tcPr>
            <w:tcW w:w="2051" w:type="dxa"/>
            <w:vAlign w:val="center"/>
          </w:tcPr>
          <w:p w14:paraId="058A035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7.20 (6.20;7.40)</w:t>
            </w:r>
          </w:p>
        </w:tc>
      </w:tr>
      <w:tr w:rsidR="0062727D" w14:paraId="5A7CDE6A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3E646E5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Rebleeding at surgical site</w:t>
            </w:r>
          </w:p>
          <w:p w14:paraId="2DE8C470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</w:t>
            </w:r>
            <w:r>
              <w:rPr>
                <w:rFonts w:ascii="Times New Roman" w:hAnsi="Times New Roman" w:hint="eastAsia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sz w:val="24"/>
                <w:lang w:bidi="ar"/>
              </w:rPr>
              <w:t>(%)</w:t>
            </w:r>
          </w:p>
          <w:p w14:paraId="55C4BA34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</w:t>
            </w:r>
            <w:r>
              <w:rPr>
                <w:rFonts w:ascii="Times New Roman" w:hAnsi="Times New Roman" w:hint="eastAsia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sz w:val="24"/>
                <w:lang w:bidi="ar"/>
              </w:rPr>
              <w:t>(%)</w:t>
            </w:r>
          </w:p>
        </w:tc>
        <w:tc>
          <w:tcPr>
            <w:tcW w:w="2261" w:type="dxa"/>
            <w:vAlign w:val="center"/>
          </w:tcPr>
          <w:p w14:paraId="77283B9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5D834D3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(5.56%)</w:t>
            </w:r>
          </w:p>
          <w:p w14:paraId="113577A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 (94.44%)</w:t>
            </w:r>
          </w:p>
        </w:tc>
        <w:tc>
          <w:tcPr>
            <w:tcW w:w="1887" w:type="dxa"/>
            <w:vAlign w:val="center"/>
          </w:tcPr>
          <w:p w14:paraId="4B3CA24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02B533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4925413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2082" w:type="dxa"/>
            <w:vAlign w:val="center"/>
          </w:tcPr>
          <w:p w14:paraId="3544F1E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1018AA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(4.17%)</w:t>
            </w:r>
          </w:p>
          <w:p w14:paraId="2331110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 (95.83%)</w:t>
            </w:r>
          </w:p>
        </w:tc>
        <w:tc>
          <w:tcPr>
            <w:tcW w:w="2051" w:type="dxa"/>
            <w:vAlign w:val="center"/>
          </w:tcPr>
          <w:p w14:paraId="2C67ADD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083BDB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(16.67%)</w:t>
            </w:r>
          </w:p>
          <w:p w14:paraId="79129F7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 (83.33%)</w:t>
            </w:r>
          </w:p>
        </w:tc>
      </w:tr>
      <w:tr w:rsidR="0062727D" w14:paraId="16AFE9D8" w14:textId="77777777" w:rsidTr="00BC1061">
        <w:trPr>
          <w:trHeight w:val="308"/>
        </w:trPr>
        <w:tc>
          <w:tcPr>
            <w:tcW w:w="6103" w:type="dxa"/>
            <w:vAlign w:val="center"/>
          </w:tcPr>
          <w:p w14:paraId="036D734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Bleeding in the puncture tract</w:t>
            </w:r>
          </w:p>
          <w:p w14:paraId="18EC64C7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3FE2F50B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2261" w:type="dxa"/>
            <w:vAlign w:val="center"/>
          </w:tcPr>
          <w:p w14:paraId="00DF7D2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8D189C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(8.33%)</w:t>
            </w:r>
          </w:p>
          <w:p w14:paraId="399E6E4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 (91.67%)</w:t>
            </w:r>
          </w:p>
        </w:tc>
        <w:tc>
          <w:tcPr>
            <w:tcW w:w="1887" w:type="dxa"/>
            <w:vAlign w:val="center"/>
          </w:tcPr>
          <w:p w14:paraId="0DF8A15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6529A8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79FE82D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2082" w:type="dxa"/>
            <w:vAlign w:val="center"/>
          </w:tcPr>
          <w:p w14:paraId="33EF01A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31EFAF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(8.33%)</w:t>
            </w:r>
          </w:p>
          <w:p w14:paraId="068EE8B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 (91.67%)</w:t>
            </w:r>
          </w:p>
        </w:tc>
        <w:tc>
          <w:tcPr>
            <w:tcW w:w="2051" w:type="dxa"/>
            <w:vAlign w:val="center"/>
          </w:tcPr>
          <w:p w14:paraId="3383833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574C8AD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(16.67%)</w:t>
            </w:r>
          </w:p>
          <w:p w14:paraId="2E7697F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 (83.33%)</w:t>
            </w:r>
          </w:p>
        </w:tc>
      </w:tr>
      <w:tr w:rsidR="0062727D" w14:paraId="3EDB64C3" w14:textId="77777777" w:rsidTr="00BC1061">
        <w:trPr>
          <w:trHeight w:val="328"/>
        </w:trPr>
        <w:tc>
          <w:tcPr>
            <w:tcW w:w="6103" w:type="dxa"/>
            <w:vAlign w:val="center"/>
          </w:tcPr>
          <w:p w14:paraId="75AACF8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Length of hospital stay (median, Q1; Q3)</w:t>
            </w:r>
          </w:p>
        </w:tc>
        <w:tc>
          <w:tcPr>
            <w:tcW w:w="2261" w:type="dxa"/>
            <w:vAlign w:val="center"/>
          </w:tcPr>
          <w:p w14:paraId="34E8092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19.00 (15.50;24.00)</w:t>
            </w:r>
          </w:p>
        </w:tc>
        <w:tc>
          <w:tcPr>
            <w:tcW w:w="1887" w:type="dxa"/>
            <w:vAlign w:val="center"/>
          </w:tcPr>
          <w:p w14:paraId="44B4872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19.50 (10.00;20.00)</w:t>
            </w:r>
          </w:p>
        </w:tc>
        <w:tc>
          <w:tcPr>
            <w:tcW w:w="2082" w:type="dxa"/>
            <w:vAlign w:val="center"/>
          </w:tcPr>
          <w:p w14:paraId="5CB2609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18.50 (15.50;27.00)</w:t>
            </w:r>
          </w:p>
        </w:tc>
        <w:tc>
          <w:tcPr>
            <w:tcW w:w="2051" w:type="dxa"/>
            <w:vAlign w:val="center"/>
          </w:tcPr>
          <w:p w14:paraId="422FCD1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20.00 (17.00;23.00)</w:t>
            </w:r>
          </w:p>
        </w:tc>
      </w:tr>
      <w:tr w:rsidR="0062727D" w14:paraId="239ADFED" w14:textId="77777777" w:rsidTr="00BC1061">
        <w:trPr>
          <w:trHeight w:val="328"/>
        </w:trPr>
        <w:tc>
          <w:tcPr>
            <w:tcW w:w="6103" w:type="dxa"/>
            <w:vAlign w:val="center"/>
          </w:tcPr>
          <w:p w14:paraId="01B5674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Total hospital cost (Yuan, median, Q1; Q3)</w:t>
            </w:r>
          </w:p>
        </w:tc>
        <w:tc>
          <w:tcPr>
            <w:tcW w:w="2261" w:type="dxa"/>
            <w:vAlign w:val="center"/>
          </w:tcPr>
          <w:p w14:paraId="2747F1D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42172.61 (26300.04;85377.50)</w:t>
            </w:r>
          </w:p>
        </w:tc>
        <w:tc>
          <w:tcPr>
            <w:tcW w:w="1887" w:type="dxa"/>
            <w:vAlign w:val="center"/>
          </w:tcPr>
          <w:p w14:paraId="0E15F09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46766.83 (31421.78;62917</w:t>
            </w:r>
            <w:r>
              <w:rPr>
                <w:rFonts w:ascii="Times New Roman" w:hAnsi="Times New Roman"/>
                <w:sz w:val="24"/>
                <w:lang w:bidi="ar"/>
              </w:rPr>
              <w:lastRenderedPageBreak/>
              <w:t>.66)</w:t>
            </w:r>
          </w:p>
        </w:tc>
        <w:tc>
          <w:tcPr>
            <w:tcW w:w="2082" w:type="dxa"/>
            <w:vAlign w:val="center"/>
          </w:tcPr>
          <w:p w14:paraId="7ABCC59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lastRenderedPageBreak/>
              <w:t>36043.06 (23389.73;86119.9</w:t>
            </w:r>
            <w:r>
              <w:rPr>
                <w:rFonts w:ascii="Times New Roman" w:hAnsi="Times New Roman"/>
                <w:sz w:val="24"/>
                <w:lang w:bidi="ar"/>
              </w:rPr>
              <w:lastRenderedPageBreak/>
              <w:t>6)</w:t>
            </w:r>
          </w:p>
        </w:tc>
        <w:tc>
          <w:tcPr>
            <w:tcW w:w="2051" w:type="dxa"/>
            <w:vAlign w:val="center"/>
          </w:tcPr>
          <w:p w14:paraId="36F6580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lastRenderedPageBreak/>
              <w:t>54900.35 (35051.24;90586.5</w:t>
            </w:r>
            <w:r>
              <w:rPr>
                <w:rFonts w:ascii="Times New Roman" w:hAnsi="Times New Roman"/>
                <w:sz w:val="24"/>
                <w:lang w:bidi="ar"/>
              </w:rPr>
              <w:lastRenderedPageBreak/>
              <w:t>6)</w:t>
            </w:r>
          </w:p>
        </w:tc>
      </w:tr>
      <w:tr w:rsidR="0062727D" w14:paraId="74AE2479" w14:textId="77777777" w:rsidTr="00BC1061">
        <w:trPr>
          <w:trHeight w:val="328"/>
        </w:trPr>
        <w:tc>
          <w:tcPr>
            <w:tcW w:w="6103" w:type="dxa"/>
            <w:vAlign w:val="center"/>
          </w:tcPr>
          <w:p w14:paraId="078D5E7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 xml:space="preserve">Affected side upper limb muscle strength </w:t>
            </w:r>
          </w:p>
          <w:p w14:paraId="556DCD2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at discharge (median, Q1; Q3)</w:t>
            </w:r>
          </w:p>
        </w:tc>
        <w:tc>
          <w:tcPr>
            <w:tcW w:w="2261" w:type="dxa"/>
            <w:vAlign w:val="center"/>
          </w:tcPr>
          <w:p w14:paraId="706332EB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(1.00;2.00)</w:t>
            </w:r>
          </w:p>
        </w:tc>
        <w:tc>
          <w:tcPr>
            <w:tcW w:w="1887" w:type="dxa"/>
            <w:vAlign w:val="center"/>
          </w:tcPr>
          <w:p w14:paraId="28A54999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2.00 (1.00;2.00)</w:t>
            </w:r>
          </w:p>
        </w:tc>
        <w:tc>
          <w:tcPr>
            <w:tcW w:w="2082" w:type="dxa"/>
            <w:vAlign w:val="center"/>
          </w:tcPr>
          <w:p w14:paraId="68053F88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(0.00;2.00)</w:t>
            </w:r>
          </w:p>
        </w:tc>
        <w:tc>
          <w:tcPr>
            <w:tcW w:w="2051" w:type="dxa"/>
            <w:vAlign w:val="center"/>
          </w:tcPr>
          <w:p w14:paraId="2C633327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(1.00;1.00)</w:t>
            </w:r>
          </w:p>
        </w:tc>
      </w:tr>
      <w:tr w:rsidR="0062727D" w14:paraId="2C0B63A4" w14:textId="77777777" w:rsidTr="00BC1061">
        <w:trPr>
          <w:trHeight w:val="328"/>
        </w:trPr>
        <w:tc>
          <w:tcPr>
            <w:tcW w:w="6103" w:type="dxa"/>
            <w:vAlign w:val="center"/>
          </w:tcPr>
          <w:p w14:paraId="57BA36D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Affected side lower limb muscle strength </w:t>
            </w:r>
          </w:p>
          <w:p w14:paraId="1DD6736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at discharge (median, Q1; Q3)</w:t>
            </w:r>
          </w:p>
        </w:tc>
        <w:tc>
          <w:tcPr>
            <w:tcW w:w="2261" w:type="dxa"/>
            <w:vAlign w:val="center"/>
          </w:tcPr>
          <w:p w14:paraId="47161115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2.00 (1.00;3.00)</w:t>
            </w:r>
          </w:p>
        </w:tc>
        <w:tc>
          <w:tcPr>
            <w:tcW w:w="1887" w:type="dxa"/>
            <w:vAlign w:val="center"/>
          </w:tcPr>
          <w:p w14:paraId="349A243A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2.50 (2.00;4.00)</w:t>
            </w:r>
          </w:p>
        </w:tc>
        <w:tc>
          <w:tcPr>
            <w:tcW w:w="2082" w:type="dxa"/>
            <w:vAlign w:val="center"/>
          </w:tcPr>
          <w:p w14:paraId="186C977F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1.00 (1.00;3.00)</w:t>
            </w:r>
          </w:p>
        </w:tc>
        <w:tc>
          <w:tcPr>
            <w:tcW w:w="2051" w:type="dxa"/>
            <w:vAlign w:val="center"/>
          </w:tcPr>
          <w:p w14:paraId="18FC8F1F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2.00 (1.00;3.00)</w:t>
            </w:r>
          </w:p>
        </w:tc>
      </w:tr>
      <w:tr w:rsidR="0062727D" w14:paraId="7A836F0C" w14:textId="77777777" w:rsidTr="00BC1061">
        <w:trPr>
          <w:trHeight w:val="328"/>
        </w:trPr>
        <w:tc>
          <w:tcPr>
            <w:tcW w:w="6103" w:type="dxa"/>
            <w:vAlign w:val="center"/>
          </w:tcPr>
          <w:p w14:paraId="4BFA5A1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GCS score at discharge (median, Q1; Q3)</w:t>
            </w:r>
          </w:p>
        </w:tc>
        <w:tc>
          <w:tcPr>
            <w:tcW w:w="2261" w:type="dxa"/>
            <w:vAlign w:val="center"/>
          </w:tcPr>
          <w:p w14:paraId="5E5E806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15.00 (12.50;15.00)</w:t>
            </w:r>
          </w:p>
        </w:tc>
        <w:tc>
          <w:tcPr>
            <w:tcW w:w="1887" w:type="dxa"/>
            <w:vAlign w:val="center"/>
          </w:tcPr>
          <w:p w14:paraId="6A704EF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12.00 (10.00;15.00)</w:t>
            </w:r>
          </w:p>
        </w:tc>
        <w:tc>
          <w:tcPr>
            <w:tcW w:w="2082" w:type="dxa"/>
            <w:vAlign w:val="center"/>
          </w:tcPr>
          <w:p w14:paraId="71928DB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15.00 (15.00;15.00)</w:t>
            </w:r>
          </w:p>
        </w:tc>
        <w:tc>
          <w:tcPr>
            <w:tcW w:w="2051" w:type="dxa"/>
            <w:vAlign w:val="center"/>
          </w:tcPr>
          <w:p w14:paraId="1E533E2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13.50 (11.00;15.00)</w:t>
            </w:r>
          </w:p>
        </w:tc>
      </w:tr>
      <w:tr w:rsidR="0062727D" w14:paraId="49E30230" w14:textId="77777777" w:rsidTr="00BC1061">
        <w:trPr>
          <w:trHeight w:val="328"/>
        </w:trPr>
        <w:tc>
          <w:tcPr>
            <w:tcW w:w="6103" w:type="dxa"/>
            <w:vAlign w:val="center"/>
          </w:tcPr>
          <w:p w14:paraId="1F48114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NIHSS score at discharge (mean ± SD)</w:t>
            </w:r>
          </w:p>
        </w:tc>
        <w:tc>
          <w:tcPr>
            <w:tcW w:w="2261" w:type="dxa"/>
            <w:vAlign w:val="center"/>
          </w:tcPr>
          <w:p w14:paraId="2ACAA1B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9.33 ± 5.99</w:t>
            </w:r>
          </w:p>
        </w:tc>
        <w:tc>
          <w:tcPr>
            <w:tcW w:w="1887" w:type="dxa"/>
            <w:vAlign w:val="center"/>
          </w:tcPr>
          <w:p w14:paraId="3AA9A3D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14.17 ± 9.30</w:t>
            </w:r>
          </w:p>
        </w:tc>
        <w:tc>
          <w:tcPr>
            <w:tcW w:w="2082" w:type="dxa"/>
            <w:vAlign w:val="center"/>
          </w:tcPr>
          <w:p w14:paraId="18FE82B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8.04 ± 4.65</w:t>
            </w:r>
          </w:p>
        </w:tc>
        <w:tc>
          <w:tcPr>
            <w:tcW w:w="2051" w:type="dxa"/>
            <w:vAlign w:val="center"/>
          </w:tcPr>
          <w:p w14:paraId="76E853C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9.67 ± 5.39</w:t>
            </w:r>
          </w:p>
        </w:tc>
      </w:tr>
      <w:tr w:rsidR="0062727D" w14:paraId="2E7CEA79" w14:textId="77777777" w:rsidTr="00BC1061">
        <w:trPr>
          <w:trHeight w:val="328"/>
        </w:trPr>
        <w:tc>
          <w:tcPr>
            <w:tcW w:w="6103" w:type="dxa"/>
            <w:tcBorders>
              <w:bottom w:val="single" w:sz="8" w:space="0" w:color="auto"/>
            </w:tcBorders>
          </w:tcPr>
          <w:p w14:paraId="24D7BFE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mRS at discharge (median, Q1; Q3)</w:t>
            </w:r>
          </w:p>
        </w:tc>
        <w:tc>
          <w:tcPr>
            <w:tcW w:w="2261" w:type="dxa"/>
            <w:tcBorders>
              <w:bottom w:val="single" w:sz="8" w:space="0" w:color="auto"/>
            </w:tcBorders>
            <w:vAlign w:val="center"/>
          </w:tcPr>
          <w:p w14:paraId="03E90FC8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4.00 (4.00;5.00)</w:t>
            </w:r>
          </w:p>
        </w:tc>
        <w:tc>
          <w:tcPr>
            <w:tcW w:w="1887" w:type="dxa"/>
            <w:tcBorders>
              <w:bottom w:val="single" w:sz="8" w:space="0" w:color="auto"/>
            </w:tcBorders>
            <w:vAlign w:val="center"/>
          </w:tcPr>
          <w:p w14:paraId="1F0F147F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4.50 (4.00;5.00)</w:t>
            </w:r>
          </w:p>
        </w:tc>
        <w:tc>
          <w:tcPr>
            <w:tcW w:w="2082" w:type="dxa"/>
            <w:tcBorders>
              <w:bottom w:val="single" w:sz="8" w:space="0" w:color="auto"/>
            </w:tcBorders>
            <w:vAlign w:val="center"/>
          </w:tcPr>
          <w:p w14:paraId="2091FF64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4.00 (4.00;5.00)</w:t>
            </w:r>
          </w:p>
        </w:tc>
        <w:tc>
          <w:tcPr>
            <w:tcW w:w="2051" w:type="dxa"/>
            <w:tcBorders>
              <w:bottom w:val="single" w:sz="8" w:space="0" w:color="auto"/>
            </w:tcBorders>
            <w:vAlign w:val="center"/>
          </w:tcPr>
          <w:p w14:paraId="1BFF5C19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4.50 (4.00;5.00)</w:t>
            </w:r>
          </w:p>
        </w:tc>
      </w:tr>
    </w:tbl>
    <w:p w14:paraId="093BF110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GCS, Glasgow coma scale; NIHSS, National Institute of Health stroke scale; mRS, modified Rankin scale. </w:t>
      </w:r>
    </w:p>
    <w:p w14:paraId="7D8154C1" w14:textId="5B9BA2C4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  <w:sectPr w:rsidR="0062727D" w:rsidSect="0062727D">
          <w:pgSz w:w="16838" w:h="11906" w:orient="landscape"/>
          <w:pgMar w:top="1800" w:right="1440" w:bottom="1800" w:left="1440" w:header="851" w:footer="992" w:gutter="0"/>
          <w:lnNumType w:countBy="1" w:restart="continuous"/>
          <w:cols w:space="720"/>
          <w:docGrid w:type="lines" w:linePitch="312"/>
        </w:sectPr>
      </w:pPr>
      <w:r>
        <w:rPr>
          <w:rFonts w:ascii="Times New Roman" w:hAnsi="Times New Roman"/>
          <w:sz w:val="24"/>
        </w:rPr>
        <w:t>* The goal of intensive BP-lowering treatment was to achieve a systolic blood pressure (SBP) of 140 mmHg. The goal of standard BP-lowering treatment was to achieve a SBP of 160 mmHg. The goal of Individualized BP-lowering treatment was to reduce the S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/>
          <w:sz w:val="24"/>
        </w:rPr>
        <w:t>P by 15-20% compared to daily SBP</w:t>
      </w:r>
      <w:r>
        <w:rPr>
          <w:rFonts w:ascii="Times New Roman" w:hAnsi="Times New Roman" w:hint="eastAsia"/>
          <w:sz w:val="24"/>
        </w:rPr>
        <w:t>.</w:t>
      </w:r>
    </w:p>
    <w:p w14:paraId="5BFD7388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center"/>
        <w:rPr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Table 3. Complication and neurological outcome at follow-up</w:t>
      </w:r>
    </w:p>
    <w:tbl>
      <w:tblPr>
        <w:tblW w:w="12366" w:type="dxa"/>
        <w:jc w:val="center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82"/>
        <w:gridCol w:w="1871"/>
        <w:gridCol w:w="1871"/>
        <w:gridCol w:w="1871"/>
        <w:gridCol w:w="1871"/>
      </w:tblGrid>
      <w:tr w:rsidR="0062727D" w14:paraId="0F765EE3" w14:textId="77777777" w:rsidTr="00BC1061">
        <w:trPr>
          <w:trHeight w:val="508"/>
          <w:jc w:val="center"/>
        </w:trPr>
        <w:tc>
          <w:tcPr>
            <w:tcW w:w="48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45FF6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Variables</w:t>
            </w:r>
          </w:p>
        </w:tc>
        <w:tc>
          <w:tcPr>
            <w:tcW w:w="18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63C17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Total (n=36)</w:t>
            </w:r>
          </w:p>
        </w:tc>
        <w:tc>
          <w:tcPr>
            <w:tcW w:w="18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021B7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20</w:t>
            </w:r>
            <w:r>
              <w:rPr>
                <w:rFonts w:hint="eastAsia"/>
                <w:b/>
                <w:bCs/>
                <w:sz w:val="24"/>
              </w:rPr>
              <w:t>,</w:t>
            </w:r>
            <w:r>
              <w:rPr>
                <w:rFonts w:ascii="Times New Roman" w:hAnsi="Times New Roman"/>
                <w:b/>
                <w:bCs/>
                <w:sz w:val="24"/>
              </w:rPr>
              <w:t>000</w:t>
            </w:r>
            <w:r>
              <w:rPr>
                <w:rFonts w:hint="eastAsia"/>
                <w:b/>
                <w:bCs/>
                <w:sz w:val="24"/>
              </w:rPr>
              <w:t xml:space="preserve"> I</w:t>
            </w:r>
            <w:r>
              <w:rPr>
                <w:rFonts w:ascii="Times New Roman" w:hAnsi="Times New Roman"/>
                <w:b/>
                <w:bCs/>
                <w:sz w:val="24"/>
              </w:rPr>
              <w:t>U group (n=6)</w:t>
            </w:r>
          </w:p>
        </w:tc>
        <w:tc>
          <w:tcPr>
            <w:tcW w:w="18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E5972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40</w:t>
            </w:r>
            <w:r>
              <w:rPr>
                <w:rFonts w:hint="eastAsia"/>
                <w:b/>
                <w:bCs/>
                <w:sz w:val="24"/>
              </w:rPr>
              <w:t>,</w:t>
            </w:r>
            <w:r>
              <w:rPr>
                <w:rFonts w:ascii="Times New Roman" w:hAnsi="Times New Roman"/>
                <w:b/>
                <w:bCs/>
                <w:sz w:val="24"/>
              </w:rPr>
              <w:t>000</w:t>
            </w:r>
            <w:r>
              <w:rPr>
                <w:rFonts w:hint="eastAsia"/>
                <w:b/>
                <w:bCs/>
                <w:sz w:val="24"/>
              </w:rPr>
              <w:t xml:space="preserve"> I</w:t>
            </w:r>
            <w:r>
              <w:rPr>
                <w:rFonts w:ascii="Times New Roman" w:hAnsi="Times New Roman"/>
                <w:b/>
                <w:bCs/>
                <w:sz w:val="24"/>
              </w:rPr>
              <w:t>U group (n=24)</w:t>
            </w:r>
          </w:p>
        </w:tc>
        <w:tc>
          <w:tcPr>
            <w:tcW w:w="18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E3851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60</w:t>
            </w:r>
            <w:r>
              <w:rPr>
                <w:rFonts w:hint="eastAsia"/>
                <w:b/>
                <w:bCs/>
                <w:sz w:val="24"/>
              </w:rPr>
              <w:t>,</w:t>
            </w:r>
            <w:r>
              <w:rPr>
                <w:rFonts w:ascii="Times New Roman" w:hAnsi="Times New Roman"/>
                <w:b/>
                <w:bCs/>
                <w:sz w:val="24"/>
              </w:rPr>
              <w:t>000</w:t>
            </w:r>
            <w:r>
              <w:rPr>
                <w:rFonts w:hint="eastAsia"/>
                <w:b/>
                <w:bCs/>
                <w:sz w:val="24"/>
              </w:rPr>
              <w:t xml:space="preserve"> I</w:t>
            </w:r>
            <w:r>
              <w:rPr>
                <w:rFonts w:ascii="Times New Roman" w:hAnsi="Times New Roman"/>
                <w:b/>
                <w:bCs/>
                <w:sz w:val="24"/>
              </w:rPr>
              <w:t>U group (n=6)</w:t>
            </w:r>
          </w:p>
        </w:tc>
      </w:tr>
      <w:tr w:rsidR="0062727D" w14:paraId="2F0BBB8E" w14:textId="77777777" w:rsidTr="00BC1061">
        <w:trPr>
          <w:trHeight w:val="328"/>
          <w:jc w:val="center"/>
        </w:trPr>
        <w:tc>
          <w:tcPr>
            <w:tcW w:w="4882" w:type="dxa"/>
          </w:tcPr>
          <w:p w14:paraId="4B22EA8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Survival at 30 days after onset</w:t>
            </w:r>
          </w:p>
          <w:p w14:paraId="158C2280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3C1439BA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1871" w:type="dxa"/>
          </w:tcPr>
          <w:p w14:paraId="6EF77B5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744CD7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 (97.22%)</w:t>
            </w:r>
          </w:p>
          <w:p w14:paraId="158A517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(2.78%)</w:t>
            </w:r>
          </w:p>
        </w:tc>
        <w:tc>
          <w:tcPr>
            <w:tcW w:w="1871" w:type="dxa"/>
          </w:tcPr>
          <w:p w14:paraId="76647E9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859A62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  <w:p w14:paraId="7247CF4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</w:tc>
        <w:tc>
          <w:tcPr>
            <w:tcW w:w="1871" w:type="dxa"/>
          </w:tcPr>
          <w:p w14:paraId="47E8B27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45132B8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 (100.00%)</w:t>
            </w:r>
          </w:p>
          <w:p w14:paraId="0B7927D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</w:tc>
        <w:tc>
          <w:tcPr>
            <w:tcW w:w="1871" w:type="dxa"/>
          </w:tcPr>
          <w:p w14:paraId="41FA487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9BB8DA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 (83.33%)</w:t>
            </w:r>
          </w:p>
          <w:p w14:paraId="6B36C40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(16.67%)</w:t>
            </w:r>
          </w:p>
        </w:tc>
      </w:tr>
      <w:tr w:rsidR="0062727D" w14:paraId="0E3D576D" w14:textId="77777777" w:rsidTr="00BC1061">
        <w:trPr>
          <w:trHeight w:val="328"/>
          <w:jc w:val="center"/>
        </w:trPr>
        <w:tc>
          <w:tcPr>
            <w:tcW w:w="4882" w:type="dxa"/>
          </w:tcPr>
          <w:p w14:paraId="7026FD3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 Pulmonary infection within 30 days after onset</w:t>
            </w:r>
          </w:p>
          <w:p w14:paraId="22CE1861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578A0798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1871" w:type="dxa"/>
          </w:tcPr>
          <w:p w14:paraId="6552418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FAA080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 (77.78%)</w:t>
            </w:r>
          </w:p>
          <w:p w14:paraId="5901EE4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 (22.22%)</w:t>
            </w:r>
          </w:p>
        </w:tc>
        <w:tc>
          <w:tcPr>
            <w:tcW w:w="1871" w:type="dxa"/>
          </w:tcPr>
          <w:p w14:paraId="3A1EBA1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47D5C2D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(66.67%)</w:t>
            </w:r>
          </w:p>
          <w:p w14:paraId="6EA0C50A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</w:rPr>
              <w:t>2 (33.33%)</w:t>
            </w:r>
          </w:p>
        </w:tc>
        <w:tc>
          <w:tcPr>
            <w:tcW w:w="1871" w:type="dxa"/>
          </w:tcPr>
          <w:p w14:paraId="28B3F20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1A59489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 (79.17%)</w:t>
            </w:r>
          </w:p>
          <w:p w14:paraId="6E41C1D5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</w:rPr>
              <w:t>5 (20.83%)</w:t>
            </w:r>
          </w:p>
        </w:tc>
        <w:tc>
          <w:tcPr>
            <w:tcW w:w="1871" w:type="dxa"/>
          </w:tcPr>
          <w:p w14:paraId="6BB5FC7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FA262D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 (83.33%)</w:t>
            </w:r>
          </w:p>
          <w:p w14:paraId="53B6288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(16.67%)</w:t>
            </w:r>
          </w:p>
        </w:tc>
      </w:tr>
      <w:tr w:rsidR="0062727D" w14:paraId="0E8F23B2" w14:textId="77777777" w:rsidTr="00BC1061">
        <w:trPr>
          <w:trHeight w:val="328"/>
          <w:jc w:val="center"/>
        </w:trPr>
        <w:tc>
          <w:tcPr>
            <w:tcW w:w="4882" w:type="dxa"/>
          </w:tcPr>
          <w:p w14:paraId="624FB3A8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 Intracranial infection within 30 days after onset</w:t>
            </w:r>
          </w:p>
          <w:p w14:paraId="26AC23AD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34E1700D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1871" w:type="dxa"/>
          </w:tcPr>
          <w:p w14:paraId="4794722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4EBE3F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(5.56%)</w:t>
            </w:r>
          </w:p>
          <w:p w14:paraId="08952B2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 (94.44%)</w:t>
            </w:r>
          </w:p>
        </w:tc>
        <w:tc>
          <w:tcPr>
            <w:tcW w:w="1871" w:type="dxa"/>
          </w:tcPr>
          <w:p w14:paraId="5DA49E3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F56FFF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17A6B25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1871" w:type="dxa"/>
          </w:tcPr>
          <w:p w14:paraId="7113DCD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20BF0E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(8.33%)</w:t>
            </w:r>
          </w:p>
          <w:p w14:paraId="3F25D52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 (91.67%)</w:t>
            </w:r>
          </w:p>
        </w:tc>
        <w:tc>
          <w:tcPr>
            <w:tcW w:w="1871" w:type="dxa"/>
          </w:tcPr>
          <w:p w14:paraId="296F80C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5AC27F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2884ED4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15F7E208" w14:textId="77777777" w:rsidTr="00BC1061">
        <w:trPr>
          <w:trHeight w:val="328"/>
          <w:jc w:val="center"/>
        </w:trPr>
        <w:tc>
          <w:tcPr>
            <w:tcW w:w="4882" w:type="dxa"/>
          </w:tcPr>
          <w:p w14:paraId="24591CE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Urinary infection within 30 days after onset</w:t>
            </w:r>
          </w:p>
          <w:p w14:paraId="09B6E7CC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48E725B8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1871" w:type="dxa"/>
          </w:tcPr>
          <w:p w14:paraId="669EEEE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A40767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(2.78%)</w:t>
            </w:r>
          </w:p>
          <w:p w14:paraId="160EF12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 (97.22%)</w:t>
            </w:r>
          </w:p>
        </w:tc>
        <w:tc>
          <w:tcPr>
            <w:tcW w:w="1871" w:type="dxa"/>
          </w:tcPr>
          <w:p w14:paraId="564556B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D1D124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1F543A6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1871" w:type="dxa"/>
          </w:tcPr>
          <w:p w14:paraId="7D50D20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097917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(4.17%)</w:t>
            </w:r>
          </w:p>
          <w:p w14:paraId="71B38FF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 (95.83%)</w:t>
            </w:r>
          </w:p>
        </w:tc>
        <w:tc>
          <w:tcPr>
            <w:tcW w:w="1871" w:type="dxa"/>
          </w:tcPr>
          <w:p w14:paraId="10A6D07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A9962F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19776F5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0D9B4EBB" w14:textId="77777777" w:rsidTr="00BC1061">
        <w:trPr>
          <w:trHeight w:val="328"/>
          <w:jc w:val="center"/>
        </w:trPr>
        <w:tc>
          <w:tcPr>
            <w:tcW w:w="4882" w:type="dxa"/>
          </w:tcPr>
          <w:p w14:paraId="61A71CE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Seizure within 30 days after onset</w:t>
            </w:r>
          </w:p>
          <w:p w14:paraId="630DB000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1F25CC2A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1871" w:type="dxa"/>
          </w:tcPr>
          <w:p w14:paraId="08162AC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5573944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4E0CDB1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 (100.00%)</w:t>
            </w:r>
          </w:p>
        </w:tc>
        <w:tc>
          <w:tcPr>
            <w:tcW w:w="1871" w:type="dxa"/>
          </w:tcPr>
          <w:p w14:paraId="5E3DACA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7F15CF2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02B8B30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  <w:tc>
          <w:tcPr>
            <w:tcW w:w="1871" w:type="dxa"/>
          </w:tcPr>
          <w:p w14:paraId="02B905A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F1AF06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1784646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 (100.00%)</w:t>
            </w:r>
          </w:p>
        </w:tc>
        <w:tc>
          <w:tcPr>
            <w:tcW w:w="1871" w:type="dxa"/>
          </w:tcPr>
          <w:p w14:paraId="4D0C3A8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92DE11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20202E4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5E17BAD7" w14:textId="77777777" w:rsidTr="00BC1061">
        <w:trPr>
          <w:trHeight w:val="328"/>
          <w:jc w:val="center"/>
        </w:trPr>
        <w:tc>
          <w:tcPr>
            <w:tcW w:w="4882" w:type="dxa"/>
          </w:tcPr>
          <w:p w14:paraId="1A280A9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Peptic ulcer within 30 days after onset</w:t>
            </w:r>
          </w:p>
          <w:p w14:paraId="0D2C0919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Yes (%)</w:t>
            </w:r>
          </w:p>
          <w:p w14:paraId="6D65B24F" w14:textId="77777777" w:rsidR="0062727D" w:rsidRDefault="0062727D" w:rsidP="00BC1061">
            <w:pPr>
              <w:spacing w:line="480" w:lineRule="auto"/>
              <w:jc w:val="righ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No (%)</w:t>
            </w:r>
          </w:p>
        </w:tc>
        <w:tc>
          <w:tcPr>
            <w:tcW w:w="1871" w:type="dxa"/>
          </w:tcPr>
          <w:p w14:paraId="717683A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6AA64AC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(5.56%)</w:t>
            </w:r>
          </w:p>
          <w:p w14:paraId="08909B4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 (94.44%)</w:t>
            </w:r>
          </w:p>
        </w:tc>
        <w:tc>
          <w:tcPr>
            <w:tcW w:w="1871" w:type="dxa"/>
          </w:tcPr>
          <w:p w14:paraId="2EA1AF7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0BD606D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(33.33%)</w:t>
            </w:r>
          </w:p>
          <w:p w14:paraId="2CD0EA9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(66.67%)</w:t>
            </w:r>
          </w:p>
        </w:tc>
        <w:tc>
          <w:tcPr>
            <w:tcW w:w="1871" w:type="dxa"/>
          </w:tcPr>
          <w:p w14:paraId="65C4EBE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4E9A4A6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1025B46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 (100.00%)</w:t>
            </w:r>
          </w:p>
        </w:tc>
        <w:tc>
          <w:tcPr>
            <w:tcW w:w="1871" w:type="dxa"/>
          </w:tcPr>
          <w:p w14:paraId="1185A7FC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4F8A319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(0.00%)</w:t>
            </w:r>
          </w:p>
          <w:p w14:paraId="039DF6F5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 (100.00%)</w:t>
            </w:r>
          </w:p>
        </w:tc>
      </w:tr>
      <w:tr w:rsidR="0062727D" w14:paraId="7C1CA490" w14:textId="77777777" w:rsidTr="00BC1061">
        <w:trPr>
          <w:trHeight w:val="328"/>
          <w:jc w:val="center"/>
        </w:trPr>
        <w:tc>
          <w:tcPr>
            <w:tcW w:w="4882" w:type="dxa"/>
          </w:tcPr>
          <w:p w14:paraId="4F67BFE4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Affected side upper limb muscle strength </w:t>
            </w:r>
          </w:p>
          <w:p w14:paraId="5A397C59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at follow-up (median, Q1;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</w:rPr>
              <w:t>Q3)</w:t>
            </w:r>
          </w:p>
        </w:tc>
        <w:tc>
          <w:tcPr>
            <w:tcW w:w="1871" w:type="dxa"/>
            <w:vAlign w:val="center"/>
          </w:tcPr>
          <w:p w14:paraId="6A643919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2.00 (1.00</w:t>
            </w:r>
            <w:r>
              <w:rPr>
                <w:rFonts w:ascii="Times New Roman" w:hAnsi="Times New Roman"/>
                <w:sz w:val="24"/>
                <w:lang w:bidi="ar"/>
              </w:rPr>
              <w:t>;</w:t>
            </w:r>
            <w:r>
              <w:rPr>
                <w:rFonts w:ascii="Times New Roman" w:hAnsi="Times New Roman" w:hint="eastAsia"/>
                <w:sz w:val="24"/>
                <w:lang w:bidi="ar"/>
              </w:rPr>
              <w:t>3.00)</w:t>
            </w:r>
          </w:p>
        </w:tc>
        <w:tc>
          <w:tcPr>
            <w:tcW w:w="1871" w:type="dxa"/>
            <w:vAlign w:val="center"/>
          </w:tcPr>
          <w:p w14:paraId="21EF5AF6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2.00 (2.00</w:t>
            </w:r>
            <w:r>
              <w:rPr>
                <w:rFonts w:ascii="Times New Roman" w:hAnsi="Times New Roman"/>
                <w:sz w:val="24"/>
                <w:lang w:bidi="ar"/>
              </w:rPr>
              <w:t>;</w:t>
            </w:r>
            <w:r>
              <w:rPr>
                <w:rFonts w:ascii="Times New Roman" w:hAnsi="Times New Roman" w:hint="eastAsia"/>
                <w:sz w:val="24"/>
                <w:lang w:bidi="ar"/>
              </w:rPr>
              <w:t>4.00)</w:t>
            </w:r>
          </w:p>
        </w:tc>
        <w:tc>
          <w:tcPr>
            <w:tcW w:w="1871" w:type="dxa"/>
            <w:vAlign w:val="center"/>
          </w:tcPr>
          <w:p w14:paraId="768151E7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2.00 (1.00</w:t>
            </w:r>
            <w:r>
              <w:rPr>
                <w:rFonts w:ascii="Times New Roman" w:hAnsi="Times New Roman"/>
                <w:sz w:val="24"/>
                <w:lang w:bidi="ar"/>
              </w:rPr>
              <w:t>;</w:t>
            </w:r>
            <w:r>
              <w:rPr>
                <w:rFonts w:ascii="Times New Roman" w:hAnsi="Times New Roman" w:hint="eastAsia"/>
                <w:sz w:val="24"/>
                <w:lang w:bidi="ar"/>
              </w:rPr>
              <w:t>2.00)</w:t>
            </w:r>
          </w:p>
        </w:tc>
        <w:tc>
          <w:tcPr>
            <w:tcW w:w="1871" w:type="dxa"/>
            <w:vAlign w:val="center"/>
          </w:tcPr>
          <w:p w14:paraId="5A2FF025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lang w:bidi="ar"/>
              </w:rPr>
              <w:t>3.00 (2.00</w:t>
            </w:r>
            <w:r>
              <w:rPr>
                <w:rFonts w:ascii="Times New Roman" w:hAnsi="Times New Roman"/>
                <w:sz w:val="24"/>
                <w:lang w:bidi="ar"/>
              </w:rPr>
              <w:t>;</w:t>
            </w:r>
            <w:r>
              <w:rPr>
                <w:rFonts w:ascii="Times New Roman" w:hAnsi="Times New Roman" w:hint="eastAsia"/>
                <w:sz w:val="24"/>
                <w:lang w:bidi="ar"/>
              </w:rPr>
              <w:t>3.00)</w:t>
            </w:r>
          </w:p>
        </w:tc>
      </w:tr>
      <w:tr w:rsidR="0062727D" w14:paraId="6E44CDCE" w14:textId="77777777" w:rsidTr="00BC1061">
        <w:trPr>
          <w:trHeight w:val="328"/>
          <w:jc w:val="center"/>
        </w:trPr>
        <w:tc>
          <w:tcPr>
            <w:tcW w:w="4882" w:type="dxa"/>
          </w:tcPr>
          <w:p w14:paraId="71E2227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 xml:space="preserve">Affected side lower limb muscle strength </w:t>
            </w:r>
          </w:p>
          <w:p w14:paraId="0B504C4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at follow-up (median, Q1;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</w:rPr>
              <w:t>Q3)</w:t>
            </w:r>
          </w:p>
        </w:tc>
        <w:tc>
          <w:tcPr>
            <w:tcW w:w="1871" w:type="dxa"/>
            <w:vAlign w:val="center"/>
          </w:tcPr>
          <w:p w14:paraId="228A0F30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3.00 (1.00;3.50)</w:t>
            </w:r>
          </w:p>
        </w:tc>
        <w:tc>
          <w:tcPr>
            <w:tcW w:w="1871" w:type="dxa"/>
            <w:vAlign w:val="center"/>
          </w:tcPr>
          <w:p w14:paraId="25757968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2.50 (2.00;4.00)</w:t>
            </w:r>
          </w:p>
        </w:tc>
        <w:tc>
          <w:tcPr>
            <w:tcW w:w="1871" w:type="dxa"/>
            <w:vAlign w:val="center"/>
          </w:tcPr>
          <w:p w14:paraId="26BF63DF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3.00 (1.00;3.00)</w:t>
            </w:r>
          </w:p>
        </w:tc>
        <w:tc>
          <w:tcPr>
            <w:tcW w:w="1871" w:type="dxa"/>
            <w:vAlign w:val="center"/>
          </w:tcPr>
          <w:p w14:paraId="17673ABB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3.00 (2.00;3.50)</w:t>
            </w:r>
          </w:p>
        </w:tc>
      </w:tr>
      <w:tr w:rsidR="0062727D" w14:paraId="1F36E92F" w14:textId="77777777" w:rsidTr="00BC1061">
        <w:trPr>
          <w:trHeight w:val="328"/>
          <w:jc w:val="center"/>
        </w:trPr>
        <w:tc>
          <w:tcPr>
            <w:tcW w:w="4882" w:type="dxa"/>
          </w:tcPr>
          <w:p w14:paraId="609848A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GCS score at follow-up (median, Q1;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</w:rPr>
              <w:t>Q3)</w:t>
            </w:r>
          </w:p>
        </w:tc>
        <w:tc>
          <w:tcPr>
            <w:tcW w:w="1871" w:type="dxa"/>
          </w:tcPr>
          <w:p w14:paraId="4D2903F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15.00 (15.00;15.00)</w:t>
            </w:r>
          </w:p>
        </w:tc>
        <w:tc>
          <w:tcPr>
            <w:tcW w:w="1871" w:type="dxa"/>
          </w:tcPr>
          <w:p w14:paraId="398A02E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15.00 (13.00;15.00)</w:t>
            </w:r>
          </w:p>
        </w:tc>
        <w:tc>
          <w:tcPr>
            <w:tcW w:w="1871" w:type="dxa"/>
          </w:tcPr>
          <w:p w14:paraId="7E9D5E02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15.00 (15.00;15.00)</w:t>
            </w:r>
          </w:p>
        </w:tc>
        <w:tc>
          <w:tcPr>
            <w:tcW w:w="1871" w:type="dxa"/>
          </w:tcPr>
          <w:p w14:paraId="762C5E9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15.00 (15.00;15.00)</w:t>
            </w:r>
          </w:p>
        </w:tc>
      </w:tr>
      <w:tr w:rsidR="0062727D" w14:paraId="2ADB41AD" w14:textId="77777777" w:rsidTr="00BC1061">
        <w:trPr>
          <w:trHeight w:val="328"/>
          <w:jc w:val="center"/>
        </w:trPr>
        <w:tc>
          <w:tcPr>
            <w:tcW w:w="4882" w:type="dxa"/>
          </w:tcPr>
          <w:p w14:paraId="189C677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NIHSS score at follow-up (mean ± SD)</w:t>
            </w:r>
          </w:p>
        </w:tc>
        <w:tc>
          <w:tcPr>
            <w:tcW w:w="1871" w:type="dxa"/>
          </w:tcPr>
          <w:p w14:paraId="4339632B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6.58 ± 4.16</w:t>
            </w:r>
          </w:p>
        </w:tc>
        <w:tc>
          <w:tcPr>
            <w:tcW w:w="1871" w:type="dxa"/>
          </w:tcPr>
          <w:p w14:paraId="0B9E51E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8.50 ± 4.72</w:t>
            </w:r>
          </w:p>
        </w:tc>
        <w:tc>
          <w:tcPr>
            <w:tcW w:w="1871" w:type="dxa"/>
          </w:tcPr>
          <w:p w14:paraId="53B89FE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6.09 ± 4.07</w:t>
            </w:r>
          </w:p>
        </w:tc>
        <w:tc>
          <w:tcPr>
            <w:tcW w:w="1871" w:type="dxa"/>
          </w:tcPr>
          <w:p w14:paraId="6CDB0EFF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6.33 ± 4.04</w:t>
            </w:r>
          </w:p>
        </w:tc>
      </w:tr>
      <w:tr w:rsidR="0062727D" w14:paraId="3717E80B" w14:textId="77777777" w:rsidTr="00BC1061">
        <w:trPr>
          <w:trHeight w:val="328"/>
          <w:jc w:val="center"/>
        </w:trPr>
        <w:tc>
          <w:tcPr>
            <w:tcW w:w="4882" w:type="dxa"/>
          </w:tcPr>
          <w:p w14:paraId="38735933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mRS at follow-up (median, Q1;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</w:rPr>
              <w:t>Q3)</w:t>
            </w:r>
          </w:p>
        </w:tc>
        <w:tc>
          <w:tcPr>
            <w:tcW w:w="1871" w:type="dxa"/>
          </w:tcPr>
          <w:p w14:paraId="3C31BAB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4.00 (4.00;4.00)</w:t>
            </w:r>
          </w:p>
        </w:tc>
        <w:tc>
          <w:tcPr>
            <w:tcW w:w="1871" w:type="dxa"/>
          </w:tcPr>
          <w:p w14:paraId="5AD4D95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4.00 (4.00;4.00)</w:t>
            </w:r>
          </w:p>
        </w:tc>
        <w:tc>
          <w:tcPr>
            <w:tcW w:w="1871" w:type="dxa"/>
          </w:tcPr>
          <w:p w14:paraId="32A3D1A7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4.00 (4.00;4.00)</w:t>
            </w:r>
          </w:p>
        </w:tc>
        <w:tc>
          <w:tcPr>
            <w:tcW w:w="1871" w:type="dxa"/>
          </w:tcPr>
          <w:p w14:paraId="51AEB9B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4.00 (4.00;5.00)</w:t>
            </w:r>
          </w:p>
        </w:tc>
      </w:tr>
      <w:tr w:rsidR="0062727D" w14:paraId="298D931D" w14:textId="77777777" w:rsidTr="00BC1061">
        <w:trPr>
          <w:trHeight w:val="328"/>
          <w:jc w:val="center"/>
        </w:trPr>
        <w:tc>
          <w:tcPr>
            <w:tcW w:w="4882" w:type="dxa"/>
          </w:tcPr>
          <w:p w14:paraId="2B2DAED0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BI score at follow-up (mean ± SD)</w:t>
            </w:r>
          </w:p>
        </w:tc>
        <w:tc>
          <w:tcPr>
            <w:tcW w:w="1871" w:type="dxa"/>
          </w:tcPr>
          <w:p w14:paraId="1298199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47.10 ± 22.54</w:t>
            </w:r>
          </w:p>
        </w:tc>
        <w:tc>
          <w:tcPr>
            <w:tcW w:w="1871" w:type="dxa"/>
          </w:tcPr>
          <w:p w14:paraId="701B4A6A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53.33 ± 29.44</w:t>
            </w:r>
          </w:p>
        </w:tc>
        <w:tc>
          <w:tcPr>
            <w:tcW w:w="1871" w:type="dxa"/>
          </w:tcPr>
          <w:p w14:paraId="6202AF0E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45.00 ± 20.87</w:t>
            </w:r>
          </w:p>
        </w:tc>
        <w:tc>
          <w:tcPr>
            <w:tcW w:w="1871" w:type="dxa"/>
          </w:tcPr>
          <w:p w14:paraId="1C02915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50.00 ± 26.46</w:t>
            </w:r>
          </w:p>
        </w:tc>
      </w:tr>
      <w:tr w:rsidR="0062727D" w14:paraId="6A47F928" w14:textId="77777777" w:rsidTr="00BC1061">
        <w:trPr>
          <w:trHeight w:val="328"/>
          <w:jc w:val="center"/>
        </w:trPr>
        <w:tc>
          <w:tcPr>
            <w:tcW w:w="4882" w:type="dxa"/>
            <w:tcBorders>
              <w:bottom w:val="single" w:sz="8" w:space="0" w:color="auto"/>
            </w:tcBorders>
          </w:tcPr>
          <w:p w14:paraId="37518C56" w14:textId="77777777" w:rsidR="0062727D" w:rsidRDefault="0062727D" w:rsidP="00BC1061">
            <w:pPr>
              <w:wordWrap w:val="0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GOS score at follow-up (median, Q1;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</w:rPr>
              <w:t>Q3)</w:t>
            </w:r>
          </w:p>
        </w:tc>
        <w:tc>
          <w:tcPr>
            <w:tcW w:w="1871" w:type="dxa"/>
            <w:tcBorders>
              <w:bottom w:val="single" w:sz="8" w:space="0" w:color="auto"/>
            </w:tcBorders>
          </w:tcPr>
          <w:p w14:paraId="4E81A00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3.00 (3.00;3.00)</w:t>
            </w:r>
          </w:p>
        </w:tc>
        <w:tc>
          <w:tcPr>
            <w:tcW w:w="1871" w:type="dxa"/>
            <w:tcBorders>
              <w:bottom w:val="single" w:sz="8" w:space="0" w:color="auto"/>
            </w:tcBorders>
          </w:tcPr>
          <w:p w14:paraId="5DE5E046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3.00 (3.00;3.00)</w:t>
            </w:r>
          </w:p>
        </w:tc>
        <w:tc>
          <w:tcPr>
            <w:tcW w:w="1871" w:type="dxa"/>
            <w:tcBorders>
              <w:bottom w:val="single" w:sz="8" w:space="0" w:color="auto"/>
            </w:tcBorders>
          </w:tcPr>
          <w:p w14:paraId="56D9B731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3.00 (3.00;3.00)</w:t>
            </w:r>
          </w:p>
        </w:tc>
        <w:tc>
          <w:tcPr>
            <w:tcW w:w="1871" w:type="dxa"/>
            <w:tcBorders>
              <w:bottom w:val="single" w:sz="8" w:space="0" w:color="auto"/>
            </w:tcBorders>
          </w:tcPr>
          <w:p w14:paraId="7955C3DD" w14:textId="77777777" w:rsidR="0062727D" w:rsidRDefault="0062727D" w:rsidP="00BC1061">
            <w:pPr>
              <w:spacing w:line="480" w:lineRule="auto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3.00 (2.00;3.00)</w:t>
            </w:r>
          </w:p>
        </w:tc>
      </w:tr>
    </w:tbl>
    <w:p w14:paraId="662E67BE" w14:textId="77777777" w:rsidR="0062727D" w:rsidRDefault="0062727D" w:rsidP="0062727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GCS, Glasgow coma scale; NIHSS, National Institute of Health stroke scale; mRS, modified Rankin scale; BI, Barthel index; GOS, Glasgow outcome scale.</w:t>
      </w:r>
      <w:r>
        <w:rPr>
          <w:rFonts w:ascii="Times New Roman" w:hAnsi="Times New Roman" w:hint="eastAsia"/>
          <w:sz w:val="24"/>
        </w:rPr>
        <w:t xml:space="preserve"> </w:t>
      </w:r>
    </w:p>
    <w:p w14:paraId="7B32423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27D"/>
    <w:rsid w:val="000C4033"/>
    <w:rsid w:val="004B42CB"/>
    <w:rsid w:val="005F2B46"/>
    <w:rsid w:val="0062727D"/>
    <w:rsid w:val="006E1731"/>
    <w:rsid w:val="00B260B7"/>
    <w:rsid w:val="00B85331"/>
    <w:rsid w:val="00C71780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DFED1"/>
  <w15:chartTrackingRefBased/>
  <w15:docId w15:val="{2F8CF5B4-6F8C-4669-B143-38BEF60BB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27D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27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27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27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27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27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27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27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27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27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2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2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27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7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27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7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27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7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27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72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2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2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27D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uiPriority w:val="20"/>
    <w:qFormat/>
    <w:rsid w:val="0062727D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6272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1285</Words>
  <Characters>6712</Characters>
  <Application>Microsoft Office Word</Application>
  <DocSecurity>0</DocSecurity>
  <Lines>559</Lines>
  <Paragraphs>470</Paragraphs>
  <ScaleCrop>false</ScaleCrop>
  <Company/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2026-03-18T22:01:00Z</dcterms:created>
  <dcterms:modified xsi:type="dcterms:W3CDTF">2026-03-18T22:02:00Z</dcterms:modified>
</cp:coreProperties>
</file>