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6C3F" w14:textId="3F15CCDE" w:rsidR="00422086" w:rsidRPr="00422086" w:rsidRDefault="00422086" w:rsidP="00422086">
      <w:pPr>
        <w:keepNext/>
        <w:keepLines/>
        <w:spacing w:before="240" w:after="0" w:line="259" w:lineRule="auto"/>
        <w:outlineLvl w:val="0"/>
        <w:rPr>
          <w:rFonts w:ascii="Calibri Light" w:eastAsia="Yu Gothic Light" w:hAnsi="Calibri Light" w:cs="Times New Roman"/>
          <w:color w:val="2F5496"/>
          <w:kern w:val="0"/>
          <w:sz w:val="32"/>
          <w:szCs w:val="32"/>
          <w:lang w:val="en-US"/>
          <w14:ligatures w14:val="none"/>
        </w:rPr>
      </w:pPr>
      <w:r w:rsidRPr="00422086">
        <w:rPr>
          <w:rFonts w:ascii="Calibri Light" w:eastAsia="Yu Gothic Light" w:hAnsi="Calibri Light" w:cs="Times New Roman"/>
          <w:color w:val="2F5496"/>
          <w:kern w:val="0"/>
          <w:sz w:val="32"/>
          <w:szCs w:val="32"/>
          <w:lang w:val="en-US"/>
          <w14:ligatures w14:val="none"/>
        </w:rPr>
        <w:t>Supplementary m</w:t>
      </w:r>
      <w:r>
        <w:rPr>
          <w:rFonts w:ascii="Calibri Light" w:eastAsia="Yu Gothic Light" w:hAnsi="Calibri Light" w:cs="Times New Roman"/>
          <w:color w:val="2F5496"/>
          <w:kern w:val="0"/>
          <w:sz w:val="32"/>
          <w:szCs w:val="32"/>
          <w:lang w:val="en-US"/>
          <w14:ligatures w14:val="none"/>
        </w:rPr>
        <w:t>ethods</w:t>
      </w:r>
    </w:p>
    <w:p w14:paraId="767420E1" w14:textId="77777777" w:rsidR="00422086" w:rsidRPr="00DD3C6E" w:rsidRDefault="00422086">
      <w:pPr>
        <w:rPr>
          <w:lang w:val="en-US"/>
        </w:rPr>
      </w:pPr>
    </w:p>
    <w:p w14:paraId="26130E92" w14:textId="77777777" w:rsidR="00422086" w:rsidRPr="00422086" w:rsidRDefault="00422086" w:rsidP="00422086">
      <w:pPr>
        <w:keepNext/>
        <w:keepLines/>
        <w:spacing w:before="40" w:after="0" w:line="259" w:lineRule="auto"/>
        <w:outlineLvl w:val="1"/>
        <w:rPr>
          <w:rFonts w:ascii="Calibri Light" w:eastAsia="Yu Gothic Light" w:hAnsi="Calibri Light" w:cs="Times New Roman"/>
          <w:color w:val="2F5496"/>
          <w:kern w:val="0"/>
          <w:sz w:val="26"/>
          <w:szCs w:val="26"/>
          <w:lang w:val="en-US"/>
          <w14:ligatures w14:val="none"/>
        </w:rPr>
      </w:pPr>
      <w:r w:rsidRPr="00422086">
        <w:rPr>
          <w:rFonts w:ascii="Calibri Light" w:eastAsia="Yu Gothic Light" w:hAnsi="Calibri Light" w:cs="Times New Roman"/>
          <w:color w:val="2F5496"/>
          <w:kern w:val="0"/>
          <w:sz w:val="26"/>
          <w:szCs w:val="26"/>
          <w:lang w:val="en-US"/>
          <w14:ligatures w14:val="none"/>
        </w:rPr>
        <w:t xml:space="preserve">S1. DNA extraction Procedures </w:t>
      </w:r>
    </w:p>
    <w:p w14:paraId="4422CEB5" w14:textId="77777777" w:rsidR="00422086" w:rsidRPr="00422086" w:rsidRDefault="00422086" w:rsidP="00422086">
      <w:pPr>
        <w:keepNext/>
        <w:keepLines/>
        <w:spacing w:before="40" w:after="0" w:line="259" w:lineRule="auto"/>
        <w:outlineLvl w:val="1"/>
        <w:rPr>
          <w:rFonts w:ascii="Calibri Light" w:eastAsia="Yu Gothic Light" w:hAnsi="Calibri Light" w:cs="Times New Roman"/>
          <w:color w:val="2F5496"/>
          <w:kern w:val="0"/>
          <w:sz w:val="26"/>
          <w:szCs w:val="26"/>
          <w:lang w:val="en-US"/>
          <w14:ligatures w14:val="none"/>
        </w:rPr>
      </w:pPr>
    </w:p>
    <w:p w14:paraId="0660BD2A" w14:textId="77777777" w:rsidR="00422086" w:rsidRPr="00422086" w:rsidRDefault="00422086" w:rsidP="00422086">
      <w:pPr>
        <w:keepNext/>
        <w:keepLines/>
        <w:spacing w:before="40" w:after="0" w:line="259" w:lineRule="auto"/>
        <w:outlineLvl w:val="2"/>
        <w:rPr>
          <w:rFonts w:ascii="Calibri Light" w:eastAsia="Yu Gothic Light" w:hAnsi="Calibri Light" w:cs="Times New Roman"/>
          <w:color w:val="1F3763"/>
          <w:kern w:val="0"/>
          <w:lang w:val="en-US"/>
          <w14:ligatures w14:val="none"/>
        </w:rPr>
      </w:pPr>
      <w:r w:rsidRPr="00422086">
        <w:rPr>
          <w:rFonts w:ascii="Calibri Light" w:eastAsia="Yu Gothic Light" w:hAnsi="Calibri Light" w:cs="Times New Roman"/>
          <w:color w:val="1F3763"/>
          <w:kern w:val="0"/>
          <w:lang w:val="en-US"/>
          <w14:ligatures w14:val="none"/>
        </w:rPr>
        <w:t>S1.1 Pre</w:t>
      </w:r>
      <w:r w:rsidRPr="00422086">
        <w:rPr>
          <w:rFonts w:ascii="Calibri Light" w:eastAsia="Yu Gothic Light" w:hAnsi="Calibri Light" w:cs="Times New Roman"/>
          <w:color w:val="1F3763"/>
          <w:kern w:val="0"/>
          <w:lang w:val="en-US"/>
          <w14:ligatures w14:val="none"/>
        </w:rPr>
        <w:noBreakHyphen/>
        <w:t>extraction PBS wash and bead</w:t>
      </w:r>
      <w:r w:rsidRPr="00422086">
        <w:rPr>
          <w:rFonts w:ascii="Calibri Light" w:eastAsia="Yu Gothic Light" w:hAnsi="Calibri Light" w:cs="Times New Roman"/>
          <w:color w:val="1F3763"/>
          <w:kern w:val="0"/>
          <w:lang w:val="en-US"/>
          <w14:ligatures w14:val="none"/>
        </w:rPr>
        <w:noBreakHyphen/>
        <w:t>beating</w:t>
      </w:r>
    </w:p>
    <w:p w14:paraId="4845ABB4" w14:textId="77777777" w:rsidR="00422086" w:rsidRPr="00422086" w:rsidRDefault="00422086" w:rsidP="00422086">
      <w:pPr>
        <w:spacing w:line="259" w:lineRule="auto"/>
        <w:rPr>
          <w:rFonts w:ascii="Calibri" w:eastAsia="Calibri" w:hAnsi="Calibri" w:cs="Arial"/>
          <w:kern w:val="0"/>
          <w:sz w:val="22"/>
          <w:szCs w:val="22"/>
          <w:lang w:val="en-US"/>
          <w14:ligatures w14:val="none"/>
        </w:rPr>
      </w:pPr>
      <w:r w:rsidRPr="00422086">
        <w:rPr>
          <w:rFonts w:ascii="Calibri" w:eastAsia="Calibri" w:hAnsi="Calibri" w:cs="Arial"/>
          <w:kern w:val="0"/>
          <w:sz w:val="22"/>
          <w:szCs w:val="22"/>
          <w:lang w:val="en-US"/>
          <w14:ligatures w14:val="none"/>
        </w:rPr>
        <w:t>Before kit</w:t>
      </w:r>
      <w:r w:rsidRPr="00422086">
        <w:rPr>
          <w:rFonts w:ascii="Calibri" w:eastAsia="Calibri" w:hAnsi="Calibri" w:cs="Arial"/>
          <w:kern w:val="0"/>
          <w:sz w:val="22"/>
          <w:szCs w:val="22"/>
          <w:lang w:val="en-US"/>
          <w14:ligatures w14:val="none"/>
        </w:rPr>
        <w:noBreakHyphen/>
        <w:t>specific protocols, approximately 7.5 mL fecal slurry was vortexed for 5 s and transferred to a sterile 50 mL tube, followed by addition of 7.5 mL sterile 1× PBS (pH 7.4). Six sterile 4 mm steel beads were added, and tubes were vortexed at 1800 rpm for 10 min using a MULTI</w:t>
      </w:r>
      <w:r w:rsidRPr="00422086">
        <w:rPr>
          <w:rFonts w:ascii="Calibri" w:eastAsia="Calibri" w:hAnsi="Calibri" w:cs="Arial"/>
          <w:kern w:val="0"/>
          <w:sz w:val="22"/>
          <w:szCs w:val="22"/>
          <w:lang w:val="en-US"/>
          <w14:ligatures w14:val="none"/>
        </w:rPr>
        <w:noBreakHyphen/>
        <w:t>TX5 Digital Multi</w:t>
      </w:r>
      <w:r w:rsidRPr="00422086">
        <w:rPr>
          <w:rFonts w:ascii="Calibri" w:eastAsia="Calibri" w:hAnsi="Calibri" w:cs="Arial"/>
          <w:kern w:val="0"/>
          <w:sz w:val="22"/>
          <w:szCs w:val="22"/>
          <w:lang w:val="en-US"/>
          <w14:ligatures w14:val="none"/>
        </w:rPr>
        <w:noBreakHyphen/>
        <w:t>tube Vortex to improve homogenization and mechanical lysis.</w:t>
      </w:r>
    </w:p>
    <w:p w14:paraId="33D9021E" w14:textId="77777777" w:rsidR="00422086" w:rsidRPr="00422086" w:rsidRDefault="00422086" w:rsidP="00422086">
      <w:pPr>
        <w:keepNext/>
        <w:keepLines/>
        <w:spacing w:before="40" w:after="0" w:line="259" w:lineRule="auto"/>
        <w:outlineLvl w:val="2"/>
        <w:rPr>
          <w:rFonts w:ascii="Calibri Light" w:eastAsia="Yu Gothic Light" w:hAnsi="Calibri Light" w:cs="Times New Roman"/>
          <w:color w:val="1F3763"/>
          <w:kern w:val="0"/>
          <w:lang w:val="en-US"/>
          <w14:ligatures w14:val="none"/>
        </w:rPr>
      </w:pPr>
      <w:r w:rsidRPr="00422086">
        <w:rPr>
          <w:rFonts w:ascii="Calibri Light" w:eastAsia="Yu Gothic Light" w:hAnsi="Calibri Light" w:cs="Times New Roman"/>
          <w:color w:val="1F3763"/>
          <w:kern w:val="0"/>
          <w:lang w:val="en-US"/>
          <w14:ligatures w14:val="none"/>
        </w:rPr>
        <w:t>S1.2 QIAamp Fast DNA Stool Mini Kit (Fast Stool)</w:t>
      </w:r>
    </w:p>
    <w:p w14:paraId="2732F7B1" w14:textId="77777777" w:rsidR="00422086" w:rsidRPr="00422086" w:rsidRDefault="00422086" w:rsidP="00422086">
      <w:pPr>
        <w:spacing w:line="259" w:lineRule="auto"/>
        <w:rPr>
          <w:rFonts w:ascii="Calibri" w:eastAsia="Calibri" w:hAnsi="Calibri" w:cs="Arial"/>
          <w:kern w:val="0"/>
          <w:sz w:val="22"/>
          <w:szCs w:val="22"/>
          <w:lang w:val="en-US"/>
          <w14:ligatures w14:val="none"/>
        </w:rPr>
      </w:pPr>
      <w:r w:rsidRPr="00422086">
        <w:rPr>
          <w:rFonts w:ascii="Calibri" w:eastAsia="Calibri" w:hAnsi="Calibri" w:cs="Arial"/>
          <w:kern w:val="0"/>
          <w:sz w:val="22"/>
          <w:szCs w:val="22"/>
          <w:lang w:val="en-US"/>
          <w14:ligatures w14:val="none"/>
        </w:rPr>
        <w:t>One milliliter of homogenized slurry was mixed with 1 mL InhibitEX Buffer, incubated at 95 °C for 5 min, and processed following the manufacturer’s protocol with noted modifications, including overnight incubation with Proteinase K and Buffer AL. DNA was eluted in 200 µL Buffer ATE. One extract (sample ID 316, horse H2) was lost during processing</w:t>
      </w:r>
    </w:p>
    <w:p w14:paraId="6954FD04" w14:textId="77777777" w:rsidR="00422086" w:rsidRPr="00422086" w:rsidRDefault="00422086" w:rsidP="00422086">
      <w:pPr>
        <w:keepNext/>
        <w:keepLines/>
        <w:spacing w:before="40" w:after="0" w:line="259" w:lineRule="auto"/>
        <w:outlineLvl w:val="2"/>
        <w:rPr>
          <w:rFonts w:ascii="Calibri Light" w:eastAsia="Yu Gothic Light" w:hAnsi="Calibri Light" w:cs="Times New Roman"/>
          <w:color w:val="1F3763"/>
          <w:kern w:val="0"/>
          <w:lang w:val="en-US"/>
          <w14:ligatures w14:val="none"/>
        </w:rPr>
      </w:pPr>
      <w:r w:rsidRPr="00422086">
        <w:rPr>
          <w:rFonts w:ascii="Calibri Light" w:eastAsia="Yu Gothic Light" w:hAnsi="Calibri Light" w:cs="Times New Roman"/>
          <w:color w:val="1F3763"/>
          <w:kern w:val="0"/>
          <w:lang w:val="en-US"/>
          <w14:ligatures w14:val="none"/>
        </w:rPr>
        <w:t>S1.3 DNeasy PowerFecal Pro kit (PowerFecal Pro)</w:t>
      </w:r>
    </w:p>
    <w:p w14:paraId="7C7B79BC" w14:textId="77777777" w:rsidR="00422086" w:rsidRPr="00422086" w:rsidRDefault="00422086" w:rsidP="00422086">
      <w:pPr>
        <w:spacing w:line="259" w:lineRule="auto"/>
        <w:rPr>
          <w:rFonts w:ascii="Calibri" w:eastAsia="Calibri" w:hAnsi="Calibri" w:cs="Arial"/>
          <w:kern w:val="0"/>
          <w:sz w:val="22"/>
          <w:szCs w:val="22"/>
          <w:lang w:val="en-US"/>
          <w14:ligatures w14:val="none"/>
        </w:rPr>
      </w:pPr>
      <w:r w:rsidRPr="00422086">
        <w:rPr>
          <w:rFonts w:ascii="Calibri" w:eastAsia="Calibri" w:hAnsi="Calibri" w:cs="Arial"/>
          <w:kern w:val="0"/>
          <w:sz w:val="22"/>
          <w:szCs w:val="22"/>
          <w:lang w:val="en-US"/>
          <w14:ligatures w14:val="none"/>
        </w:rPr>
        <w:t>One milliliter slurry was added to a PowerBead Pro Tube with 800 µL Solution CD1 and vortexed at 1800 rpm for 10 min, followed by overnight lysis at room temperature. Subsequent steps followed the manufacturer’s protocol, including two centrifugation steps, addition of CD2 and CD3, column purification, and elution in 100 µL 10 mM Tris (pH 8.0). Extracts were stored at −20 °C until sequencing.</w:t>
      </w:r>
    </w:p>
    <w:p w14:paraId="27FA2818" w14:textId="77777777" w:rsidR="00422086" w:rsidRPr="00422086" w:rsidRDefault="00422086" w:rsidP="00422086">
      <w:pPr>
        <w:keepNext/>
        <w:keepLines/>
        <w:spacing w:before="40" w:after="0" w:line="259" w:lineRule="auto"/>
        <w:outlineLvl w:val="2"/>
        <w:rPr>
          <w:rFonts w:ascii="Calibri Light" w:eastAsia="Yu Gothic Light" w:hAnsi="Calibri Light" w:cs="Times New Roman"/>
          <w:color w:val="1F3763"/>
          <w:kern w:val="0"/>
          <w:lang w:val="en-US"/>
          <w14:ligatures w14:val="none"/>
        </w:rPr>
      </w:pPr>
      <w:r w:rsidRPr="00422086">
        <w:rPr>
          <w:rFonts w:ascii="Calibri Light" w:eastAsia="Yu Gothic Light" w:hAnsi="Calibri Light" w:cs="Times New Roman"/>
          <w:color w:val="1F3763"/>
          <w:kern w:val="0"/>
          <w:lang w:val="en-US"/>
          <w14:ligatures w14:val="none"/>
        </w:rPr>
        <w:t>S1.4 Controls and collection samples</w:t>
      </w:r>
    </w:p>
    <w:p w14:paraId="42E0F1DE" w14:textId="77777777" w:rsidR="00422086" w:rsidRPr="00422086" w:rsidRDefault="00422086" w:rsidP="00422086">
      <w:pPr>
        <w:spacing w:line="259" w:lineRule="auto"/>
        <w:rPr>
          <w:rFonts w:ascii="Calibri" w:eastAsia="Calibri" w:hAnsi="Calibri" w:cs="Arial"/>
          <w:kern w:val="0"/>
          <w:sz w:val="22"/>
          <w:szCs w:val="22"/>
          <w:lang w:val="en-US"/>
          <w14:ligatures w14:val="none"/>
        </w:rPr>
      </w:pPr>
      <w:r w:rsidRPr="00422086">
        <w:rPr>
          <w:rFonts w:ascii="Calibri" w:eastAsia="Calibri" w:hAnsi="Calibri" w:cs="Arial"/>
          <w:kern w:val="0"/>
          <w:sz w:val="22"/>
          <w:szCs w:val="22"/>
          <w:lang w:val="en-US"/>
          <w14:ligatures w14:val="none"/>
        </w:rPr>
        <w:t>Three extraction replicates were produced for each PBS</w:t>
      </w:r>
      <w:r w:rsidRPr="00422086">
        <w:rPr>
          <w:rFonts w:ascii="Calibri" w:eastAsia="Calibri" w:hAnsi="Calibri" w:cs="Arial"/>
          <w:kern w:val="0"/>
          <w:sz w:val="22"/>
          <w:szCs w:val="22"/>
          <w:lang w:val="en-US"/>
          <w14:ligatures w14:val="none"/>
        </w:rPr>
        <w:noBreakHyphen/>
        <w:t>washed slurry for both kits. Collection samples were created by pooling 2.5 mL slurry from each of the three biological replicates per horse. Negative controls consisted of 7.5 mL ethanol and were included approximately every 12 samples per extraction kit. Positive controls consisted of 250 µL undiluted ZymoBIOMICS Microbial Community Standard (Zymo Research, Cat. No. D6300, from Nordic Biosite, product code Biosite-D6300/ZymoBIOMICS-Microbial-Community-Standard).</w:t>
      </w:r>
      <w:r w:rsidRPr="00422086">
        <w:rPr>
          <w:rFonts w:ascii="Calibri" w:eastAsia="Calibri" w:hAnsi="Calibri" w:cs="Arial"/>
          <w:kern w:val="0"/>
          <w:sz w:val="22"/>
          <w:szCs w:val="22"/>
          <w:lang w:val="en-US"/>
          <w14:ligatures w14:val="none"/>
        </w:rPr>
        <w:br/>
      </w:r>
    </w:p>
    <w:p w14:paraId="4AABA09F" w14:textId="77777777" w:rsidR="00422086" w:rsidRPr="00422086" w:rsidRDefault="00422086" w:rsidP="00422086">
      <w:pPr>
        <w:spacing w:line="259" w:lineRule="auto"/>
        <w:rPr>
          <w:rFonts w:ascii="Calibri Light" w:eastAsia="Yu Gothic Light" w:hAnsi="Calibri Light" w:cs="Times New Roman"/>
          <w:color w:val="2F5496"/>
          <w:kern w:val="0"/>
          <w:sz w:val="26"/>
          <w:szCs w:val="26"/>
          <w:lang w:val="en-US"/>
          <w14:ligatures w14:val="none"/>
        </w:rPr>
      </w:pPr>
      <w:r w:rsidRPr="00422086">
        <w:rPr>
          <w:rFonts w:ascii="Calibri" w:eastAsia="Calibri" w:hAnsi="Calibri" w:cs="Arial"/>
          <w:kern w:val="0"/>
          <w:sz w:val="22"/>
          <w:szCs w:val="22"/>
          <w:lang w:val="en-US"/>
          <w14:ligatures w14:val="none"/>
        </w:rPr>
        <w:br w:type="page"/>
      </w:r>
    </w:p>
    <w:p w14:paraId="353DDED6" w14:textId="77777777" w:rsidR="00422086" w:rsidRPr="00422086" w:rsidRDefault="00422086" w:rsidP="00422086">
      <w:pPr>
        <w:keepNext/>
        <w:keepLines/>
        <w:spacing w:before="40" w:after="0" w:line="259" w:lineRule="auto"/>
        <w:outlineLvl w:val="1"/>
        <w:rPr>
          <w:rFonts w:ascii="Calibri Light" w:eastAsia="Yu Gothic Light" w:hAnsi="Calibri Light" w:cs="Times New Roman"/>
          <w:color w:val="2F5496"/>
          <w:kern w:val="0"/>
          <w:sz w:val="26"/>
          <w:szCs w:val="26"/>
          <w:lang w:val="en-US"/>
          <w14:ligatures w14:val="none"/>
        </w:rPr>
      </w:pPr>
      <w:r w:rsidRPr="00422086">
        <w:rPr>
          <w:rFonts w:ascii="Calibri Light" w:eastAsia="Yu Gothic Light" w:hAnsi="Calibri Light" w:cs="Times New Roman"/>
          <w:color w:val="2F5496"/>
          <w:kern w:val="0"/>
          <w:sz w:val="26"/>
          <w:szCs w:val="26"/>
          <w:lang w:val="en-US"/>
          <w14:ligatures w14:val="none"/>
        </w:rPr>
        <w:lastRenderedPageBreak/>
        <w:t>S2. 16S rRNA Gene Amplification and Sequencing</w:t>
      </w:r>
      <w:r w:rsidRPr="00422086">
        <w:rPr>
          <w:rFonts w:ascii="Calibri Light" w:eastAsia="Yu Gothic Light" w:hAnsi="Calibri Light" w:cs="Times New Roman"/>
          <w:color w:val="2F5496"/>
          <w:kern w:val="0"/>
          <w:sz w:val="26"/>
          <w:szCs w:val="26"/>
          <w:lang w:val="en-US"/>
          <w14:ligatures w14:val="none"/>
        </w:rPr>
        <w:br/>
      </w:r>
    </w:p>
    <w:p w14:paraId="219A80E0" w14:textId="77777777" w:rsidR="00422086" w:rsidRPr="00422086" w:rsidRDefault="00422086" w:rsidP="00422086">
      <w:pPr>
        <w:keepNext/>
        <w:keepLines/>
        <w:spacing w:before="40" w:after="0" w:line="259" w:lineRule="auto"/>
        <w:outlineLvl w:val="2"/>
        <w:rPr>
          <w:rFonts w:ascii="Calibri Light" w:eastAsia="Yu Gothic Light" w:hAnsi="Calibri Light" w:cs="Times New Roman"/>
          <w:color w:val="1F3763"/>
          <w:kern w:val="0"/>
          <w:lang w:val="en-US"/>
          <w14:ligatures w14:val="none"/>
        </w:rPr>
      </w:pPr>
      <w:r w:rsidRPr="00422086">
        <w:rPr>
          <w:rFonts w:ascii="Calibri Light" w:eastAsia="Yu Gothic Light" w:hAnsi="Calibri Light" w:cs="Times New Roman"/>
          <w:color w:val="1F3763"/>
          <w:kern w:val="0"/>
          <w:lang w:val="en-US"/>
          <w14:ligatures w14:val="none"/>
        </w:rPr>
        <w:t>S2.1 Primers and PCR</w:t>
      </w:r>
    </w:p>
    <w:p w14:paraId="3F4ECFA4" w14:textId="3DED6C75" w:rsidR="00422086" w:rsidRPr="00422086" w:rsidRDefault="00422086" w:rsidP="00422086">
      <w:pPr>
        <w:spacing w:line="259" w:lineRule="auto"/>
        <w:rPr>
          <w:rFonts w:ascii="Calibri" w:eastAsia="Calibri" w:hAnsi="Calibri" w:cs="Arial"/>
          <w:kern w:val="0"/>
          <w:sz w:val="22"/>
          <w:szCs w:val="22"/>
          <w:lang w:val="en-US"/>
          <w14:ligatures w14:val="none"/>
        </w:rPr>
      </w:pPr>
      <w:r w:rsidRPr="00422086">
        <w:rPr>
          <w:rFonts w:ascii="Calibri" w:eastAsia="Calibri" w:hAnsi="Calibri" w:cs="Arial"/>
          <w:kern w:val="0"/>
          <w:sz w:val="22"/>
          <w:szCs w:val="22"/>
          <w:lang w:val="en-US"/>
          <w14:ligatures w14:val="none"/>
        </w:rPr>
        <w:t>Amplicons targeted the V4 region using 515F (Parada-modified: GTGYCAGCMGCCGCGGTAA</w:t>
      </w:r>
      <w:r w:rsidRPr="00422086" w:rsidDel="00E83DDD">
        <w:rPr>
          <w:rFonts w:ascii="Calibri" w:eastAsia="Calibri" w:hAnsi="Calibri" w:cs="Arial"/>
          <w:kern w:val="0"/>
          <w:sz w:val="22"/>
          <w:szCs w:val="22"/>
          <w:lang w:val="en-US"/>
          <w14:ligatures w14:val="none"/>
        </w:rPr>
        <w:t xml:space="preserve"> </w:t>
      </w:r>
      <w:r w:rsidRPr="00422086">
        <w:rPr>
          <w:rFonts w:ascii="Calibri" w:eastAsia="Calibri" w:hAnsi="Calibri" w:cs="Arial"/>
          <w:kern w:val="0"/>
          <w:sz w:val="22"/>
          <w:szCs w:val="22"/>
          <w:lang w:val="en-US"/>
          <w14:ligatures w14:val="none"/>
        </w:rPr>
        <w:fldChar w:fldCharType="begin"/>
      </w:r>
      <w:r w:rsidR="006470F1">
        <w:rPr>
          <w:rFonts w:ascii="Calibri" w:eastAsia="Calibri" w:hAnsi="Calibri" w:cs="Arial"/>
          <w:kern w:val="0"/>
          <w:sz w:val="22"/>
          <w:szCs w:val="22"/>
          <w:lang w:val="en-US"/>
          <w14:ligatures w14:val="none"/>
        </w:rPr>
        <w:instrText xml:space="preserve"> ADDIN ZOTERO_ITEM CSL_CITATION {"citationID":"IBIrE7F9","properties":{"formattedCitation":"[1]","plainCitation":"[1]","noteIndex":0},"citationItems":[{"id":209,"uris":["http://zotero.org/users/14894062/items/EDHDSVXA"],"itemData":{"id":209,"type":"article-journal","abstract":"Summary\n            \n              Microbial community analysis via high‐throughput sequencing of amplified\n              16S rRNA\n              genes is an essential microbiology tool. We found the popular primer pair\n              515F\n              (\n              515F‐C\n              ) and\n              806R\n              greatly underestimated (e.g.\n              SAR\n              11) or overestimated (e.g. Gammaproteobacteria) common marine taxa. We evaluated marine samples and mock communities (containing 11 or 27 marine 16S clones), showing alternative primers 515F‐\n              Y\n              (5′‐\n              \n                GTG\n                Y\n                CAGCMGCCGCGGTAA\n              \n              ) and\n              926R\n              (5′‐\n              CCGYCAATTYMTTTRAGTTT\n              ) yield more accurate estimates of mock community abundances, produce longer amplicons that can differentiate taxa unresolvable with\n              515F‐C\n              /\n              806R\n              , and amplify eukaryotic\n              18S rRNA\n              . Mock communities amplified with\n              515F‐Y\n              /\n              926R\n              yielded closer observed community composition versus expected (r\n              2\n               = 0.95) compared with\n              515F‐Y\n              /\n              806R\n              (r\n              2\n               </w:instrText>
      </w:r>
      <w:r w:rsidR="006470F1">
        <w:rPr>
          <w:rFonts w:ascii="Cambria Math" w:eastAsia="Calibri" w:hAnsi="Cambria Math" w:cs="Cambria Math"/>
          <w:kern w:val="0"/>
          <w:sz w:val="22"/>
          <w:szCs w:val="22"/>
          <w:lang w:val="en-US"/>
          <w14:ligatures w14:val="none"/>
        </w:rPr>
        <w:instrText>∼</w:instrText>
      </w:r>
      <w:r w:rsidR="006470F1">
        <w:rPr>
          <w:rFonts w:ascii="Calibri" w:eastAsia="Calibri" w:hAnsi="Calibri" w:cs="Calibri"/>
          <w:kern w:val="0"/>
          <w:sz w:val="22"/>
          <w:szCs w:val="22"/>
          <w:lang w:val="en-US"/>
          <w14:ligatures w14:val="none"/>
        </w:rPr>
        <w:instrText> </w:instrText>
      </w:r>
      <w:r w:rsidR="006470F1">
        <w:rPr>
          <w:rFonts w:ascii="Calibri" w:eastAsia="Calibri" w:hAnsi="Calibri" w:cs="Arial"/>
          <w:kern w:val="0"/>
          <w:sz w:val="22"/>
          <w:szCs w:val="22"/>
          <w:lang w:val="en-US"/>
          <w14:ligatures w14:val="none"/>
        </w:rPr>
        <w:instrText>0.5). Unexpectedly, biases with\n              515F</w:instrText>
      </w:r>
      <w:r w:rsidR="006470F1">
        <w:rPr>
          <w:rFonts w:ascii="Calibri" w:eastAsia="Calibri" w:hAnsi="Calibri" w:cs="Calibri"/>
          <w:kern w:val="0"/>
          <w:sz w:val="22"/>
          <w:szCs w:val="22"/>
          <w:lang w:val="en-US"/>
          <w14:ligatures w14:val="none"/>
        </w:rPr>
        <w:instrText>‐</w:instrText>
      </w:r>
      <w:r w:rsidR="006470F1">
        <w:rPr>
          <w:rFonts w:ascii="Calibri" w:eastAsia="Calibri" w:hAnsi="Calibri" w:cs="Arial"/>
          <w:kern w:val="0"/>
          <w:sz w:val="22"/>
          <w:szCs w:val="22"/>
          <w:lang w:val="en-US"/>
          <w14:ligatures w14:val="none"/>
        </w:rPr>
        <w:instrText>Y\n              /\n              806R\n              against\n              SAR11\n              in field samples (</w:instrText>
      </w:r>
      <w:r w:rsidR="006470F1">
        <w:rPr>
          <w:rFonts w:ascii="Cambria Math" w:eastAsia="Calibri" w:hAnsi="Cambria Math" w:cs="Cambria Math"/>
          <w:kern w:val="0"/>
          <w:sz w:val="22"/>
          <w:szCs w:val="22"/>
          <w:lang w:val="en-US"/>
          <w14:ligatures w14:val="none"/>
        </w:rPr>
        <w:instrText>∼</w:instrText>
      </w:r>
      <w:r w:rsidR="006470F1">
        <w:rPr>
          <w:rFonts w:ascii="Calibri" w:eastAsia="Calibri" w:hAnsi="Calibri" w:cs="Arial"/>
          <w:kern w:val="0"/>
          <w:sz w:val="22"/>
          <w:szCs w:val="22"/>
          <w:lang w:val="en-US"/>
          <w14:ligatures w14:val="none"/>
        </w:rPr>
        <w:instrText>4</w:instrText>
      </w:r>
      <w:r w:rsidR="006470F1">
        <w:rPr>
          <w:rFonts w:ascii="Calibri" w:eastAsia="Calibri" w:hAnsi="Calibri" w:cs="Calibri"/>
          <w:kern w:val="0"/>
          <w:sz w:val="22"/>
          <w:szCs w:val="22"/>
          <w:lang w:val="en-US"/>
          <w14:ligatures w14:val="none"/>
        </w:rPr>
        <w:instrText>–</w:instrText>
      </w:r>
      <w:r w:rsidR="006470F1">
        <w:rPr>
          <w:rFonts w:ascii="Calibri" w:eastAsia="Calibri" w:hAnsi="Calibri" w:cs="Arial"/>
          <w:kern w:val="0"/>
          <w:sz w:val="22"/>
          <w:szCs w:val="22"/>
          <w:lang w:val="en-US"/>
          <w14:ligatures w14:val="none"/>
        </w:rPr>
        <w:instrText>10</w:instrText>
      </w:r>
      <w:r w:rsidR="006470F1">
        <w:rPr>
          <w:rFonts w:ascii="Calibri" w:eastAsia="Calibri" w:hAnsi="Calibri" w:cs="Calibri"/>
          <w:kern w:val="0"/>
          <w:sz w:val="22"/>
          <w:szCs w:val="22"/>
          <w:lang w:val="en-US"/>
          <w14:ligatures w14:val="none"/>
        </w:rPr>
        <w:instrText>‐</w:instrText>
      </w:r>
      <w:r w:rsidR="006470F1">
        <w:rPr>
          <w:rFonts w:ascii="Calibri" w:eastAsia="Calibri" w:hAnsi="Calibri" w:cs="Arial"/>
          <w:kern w:val="0"/>
          <w:sz w:val="22"/>
          <w:szCs w:val="22"/>
          <w:lang w:val="en-US"/>
          <w14:ligatures w14:val="none"/>
        </w:rPr>
        <w:instrText>fold) were stronger than in mock communities (</w:instrText>
      </w:r>
      <w:r w:rsidR="006470F1">
        <w:rPr>
          <w:rFonts w:ascii="Cambria Math" w:eastAsia="Calibri" w:hAnsi="Cambria Math" w:cs="Cambria Math"/>
          <w:kern w:val="0"/>
          <w:sz w:val="22"/>
          <w:szCs w:val="22"/>
          <w:lang w:val="en-US"/>
          <w14:ligatures w14:val="none"/>
        </w:rPr>
        <w:instrText>∼</w:instrText>
      </w:r>
      <w:r w:rsidR="006470F1">
        <w:rPr>
          <w:rFonts w:ascii="Calibri" w:eastAsia="Calibri" w:hAnsi="Calibri" w:cs="Arial"/>
          <w:kern w:val="0"/>
          <w:sz w:val="22"/>
          <w:szCs w:val="22"/>
          <w:lang w:val="en-US"/>
          <w14:ligatures w14:val="none"/>
        </w:rPr>
        <w:instrText>2</w:instrText>
      </w:r>
      <w:r w:rsidR="006470F1">
        <w:rPr>
          <w:rFonts w:ascii="Calibri" w:eastAsia="Calibri" w:hAnsi="Calibri" w:cs="Calibri"/>
          <w:kern w:val="0"/>
          <w:sz w:val="22"/>
          <w:szCs w:val="22"/>
          <w:lang w:val="en-US"/>
          <w14:ligatures w14:val="none"/>
        </w:rPr>
        <w:instrText>‐</w:instrText>
      </w:r>
      <w:r w:rsidR="006470F1">
        <w:rPr>
          <w:rFonts w:ascii="Calibri" w:eastAsia="Calibri" w:hAnsi="Calibri" w:cs="Arial"/>
          <w:kern w:val="0"/>
          <w:sz w:val="22"/>
          <w:szCs w:val="22"/>
          <w:lang w:val="en-US"/>
          <w14:ligatures w14:val="none"/>
        </w:rPr>
        <w:instrText xml:space="preserve">fold). Correcting a mismatch to\n              T\n              haumarchaea in the\n              515F‐C\n              increased their apparent abundance in field samples, but not as much as using\n              926R\n              rather than\n              806R\n              . With plankton samples rich in eukaryotic\n              DNA\n              (&gt; 1 μm size fraction), 18S sequences averaged </w:instrText>
      </w:r>
      <w:r w:rsidR="006470F1">
        <w:rPr>
          <w:rFonts w:ascii="Cambria Math" w:eastAsia="Calibri" w:hAnsi="Cambria Math" w:cs="Cambria Math"/>
          <w:kern w:val="0"/>
          <w:sz w:val="22"/>
          <w:szCs w:val="22"/>
          <w:lang w:val="en-US"/>
          <w14:ligatures w14:val="none"/>
        </w:rPr>
        <w:instrText>∼</w:instrText>
      </w:r>
      <w:r w:rsidR="006470F1">
        <w:rPr>
          <w:rFonts w:ascii="Calibri" w:eastAsia="Calibri" w:hAnsi="Calibri" w:cs="Arial"/>
          <w:kern w:val="0"/>
          <w:sz w:val="22"/>
          <w:szCs w:val="22"/>
          <w:lang w:val="en-US"/>
          <w14:ligatures w14:val="none"/>
        </w:rPr>
        <w:instrText xml:space="preserve">17% of all sequences. A single mismatch can strongly bias amplification, but even perfectly matched primers can exhibit preferential amplification. We show that beyond\n              in silico\n              predictions, testing with mock communities and field samples is important in primer selection.","container-title":"Environmental Microbiology","DOI":"10.1111/1462-2920.13023","ISSN":"1462-2912, 1462-2920","issue":"5","journalAbbreviation":"Environmental Microbiology","language":"en","page":"1403-1414","source":"DOI.org (Crossref)","title":"Every base matters: assessing small subunit &lt;span style=\"font-variant:small-caps;\"&gt;rRNA&lt;/span&gt; primers for marine microbiomes with mock communities, time series and global field samples","title-short":"Every base matters","volume":"18","author":[{"family":"Parada","given":"Alma E."},{"family":"Needham","given":"David M."},{"family":"Fuhrman","given":"Jed A."}],"issued":{"date-parts":[["2016",5]]}}}],"schema":"https://github.com/citation-style-language/schema/raw/master/csl-citation.json"} </w:instrText>
      </w:r>
      <w:r w:rsidRPr="00422086">
        <w:rPr>
          <w:rFonts w:ascii="Calibri" w:eastAsia="Calibri" w:hAnsi="Calibri" w:cs="Arial"/>
          <w:kern w:val="0"/>
          <w:sz w:val="22"/>
          <w:szCs w:val="22"/>
          <w:lang w:val="en-US"/>
          <w14:ligatures w14:val="none"/>
        </w:rPr>
        <w:fldChar w:fldCharType="separate"/>
      </w:r>
      <w:r w:rsidR="006470F1" w:rsidRPr="006470F1">
        <w:rPr>
          <w:rFonts w:ascii="Aptos" w:hAnsi="Aptos"/>
          <w:sz w:val="22"/>
        </w:rPr>
        <w:t>[1]</w:t>
      </w:r>
      <w:r w:rsidRPr="00422086">
        <w:rPr>
          <w:rFonts w:ascii="Calibri" w:eastAsia="Calibri" w:hAnsi="Calibri" w:cs="Arial"/>
          <w:kern w:val="0"/>
          <w:sz w:val="22"/>
          <w:szCs w:val="22"/>
          <w:lang w:val="en-US"/>
          <w14:ligatures w14:val="none"/>
        </w:rPr>
        <w:fldChar w:fldCharType="end"/>
      </w:r>
      <w:r w:rsidRPr="00422086">
        <w:rPr>
          <w:rFonts w:ascii="Calibri" w:eastAsia="Calibri" w:hAnsi="Calibri" w:cs="Arial"/>
          <w:kern w:val="0"/>
          <w:sz w:val="22"/>
          <w:szCs w:val="22"/>
          <w:lang w:val="en-US"/>
          <w14:ligatures w14:val="none"/>
        </w:rPr>
        <w:t xml:space="preserve"> and  806R (Apprill-modified: GGACTACNVGGGTWTCTAAT) </w:t>
      </w:r>
      <w:r w:rsidRPr="00422086">
        <w:rPr>
          <w:rFonts w:ascii="Calibri" w:eastAsia="Calibri" w:hAnsi="Calibri" w:cs="Arial"/>
          <w:kern w:val="0"/>
          <w:sz w:val="22"/>
          <w:szCs w:val="22"/>
          <w:lang w:val="en-US"/>
          <w14:ligatures w14:val="none"/>
        </w:rPr>
        <w:fldChar w:fldCharType="begin"/>
      </w:r>
      <w:r w:rsidR="006470F1">
        <w:rPr>
          <w:rFonts w:ascii="Calibri" w:eastAsia="Calibri" w:hAnsi="Calibri" w:cs="Arial"/>
          <w:kern w:val="0"/>
          <w:sz w:val="22"/>
          <w:szCs w:val="22"/>
          <w:lang w:val="en-US"/>
          <w14:ligatures w14:val="none"/>
        </w:rPr>
        <w:instrText xml:space="preserve"> ADDIN ZOTERO_ITEM CSL_CITATION {"citationID":"ib7b64FS","properties":{"formattedCitation":"[2]","plainCitation":"[2]","noteIndex":0},"citationItems":[{"id":210,"uris":["http://zotero.org/users/14894062/items/ISB6XRLP"],"itemData":{"id":210,"type":"article-journal","container-title":"Aquatic Microbial Ecology","DOI":"10.3354/ame01753","ISSN":"0948-3055, 1616-1564","issue":"2","journalAbbreviation":"Aquat. Microb. Ecol.","language":"en","page":"129-137","source":"DOI.org (Crossref)","title":"Minor revision to V4 region SSU rRNA 806R gene primer greatly increases detection of SAR11 bacterioplankton","volume":"75","author":[{"family":"Apprill","given":"A"},{"family":"McNally","given":"S"},{"family":"Parsons","given":"R"},{"family":"Weber","given":"L"}],"issued":{"date-parts":[["2015",6,4]]}}}],"schema":"https://github.com/citation-style-language/schema/raw/master/csl-citation.json"} </w:instrText>
      </w:r>
      <w:r w:rsidRPr="00422086">
        <w:rPr>
          <w:rFonts w:ascii="Calibri" w:eastAsia="Calibri" w:hAnsi="Calibri" w:cs="Arial"/>
          <w:kern w:val="0"/>
          <w:sz w:val="22"/>
          <w:szCs w:val="22"/>
          <w:lang w:val="en-US"/>
          <w14:ligatures w14:val="none"/>
        </w:rPr>
        <w:fldChar w:fldCharType="separate"/>
      </w:r>
      <w:r w:rsidR="006470F1" w:rsidRPr="006470F1">
        <w:rPr>
          <w:rFonts w:ascii="Aptos" w:hAnsi="Aptos"/>
          <w:sz w:val="22"/>
        </w:rPr>
        <w:t>[2]</w:t>
      </w:r>
      <w:r w:rsidRPr="00422086">
        <w:rPr>
          <w:rFonts w:ascii="Calibri" w:eastAsia="Calibri" w:hAnsi="Calibri" w:cs="Arial"/>
          <w:kern w:val="0"/>
          <w:sz w:val="22"/>
          <w:szCs w:val="22"/>
          <w:lang w:val="en-US"/>
          <w14:ligatures w14:val="none"/>
        </w:rPr>
        <w:fldChar w:fldCharType="end"/>
      </w:r>
      <w:r w:rsidRPr="00422086">
        <w:rPr>
          <w:rFonts w:ascii="Calibri" w:eastAsia="Calibri" w:hAnsi="Calibri" w:cs="Arial"/>
          <w:kern w:val="0"/>
          <w:sz w:val="22"/>
          <w:szCs w:val="22"/>
          <w:lang w:val="en-US"/>
          <w14:ligatures w14:val="none"/>
        </w:rPr>
        <w:t xml:space="preserve">. These primers are modified versions of the original Caporaso et al. V4 primers </w:t>
      </w:r>
      <w:r w:rsidRPr="00422086">
        <w:rPr>
          <w:rFonts w:ascii="Calibri" w:eastAsia="Calibri" w:hAnsi="Calibri" w:cs="Arial"/>
          <w:kern w:val="0"/>
          <w:sz w:val="22"/>
          <w:szCs w:val="22"/>
          <w:lang w:val="en-US"/>
          <w14:ligatures w14:val="none"/>
        </w:rPr>
        <w:fldChar w:fldCharType="begin"/>
      </w:r>
      <w:r w:rsidR="006470F1">
        <w:rPr>
          <w:rFonts w:ascii="Calibri" w:eastAsia="Calibri" w:hAnsi="Calibri" w:cs="Arial"/>
          <w:kern w:val="0"/>
          <w:sz w:val="22"/>
          <w:szCs w:val="22"/>
          <w:lang w:val="en-US"/>
          <w14:ligatures w14:val="none"/>
        </w:rPr>
        <w:instrText xml:space="preserve"> ADDIN ZOTERO_ITEM CSL_CITATION {"citationID":"0KqUdgo9","properties":{"formattedCitation":"[3]","plainCitation":"[3]","noteIndex":0},"citationItems":[{"id":58,"uris":["http://zotero.org/users/14894062/items/Q9LG27CX"],"itemData":{"id":58,"type":"article-journal","abstract":"The ongoing revolution in high-throughput sequencing continues to democratize the ability of small groups of investigators to map the microbial component of the biosphere. In particular, the coevolution of new sequencing platforms and new software tools allows data acquisition and analysis on an unprecedented scale. Here we report the next stage in this coevolutionary arms race, using the Illumina GAIIx platform to sequence a diverse array of 25 environmental samples and three known “mock communities” at a depth averaging 3.1 million reads per sample. We demonstrate excellent consistency in taxonomic recovery and recapture diversity patterns that were previously reported on the basis of metaanalysis of many studies from the literature (notably, the saline/nonsaline split in environmental samples and the split between host-associated and free-living communities). We also demonstrate that 2,000 Illumina single-end reads are sufficient to recapture the same relationships among samples that we observe with the full dataset. The results thus open up the possibility of conducting large-scale studies analyzing thousands of samples simultaneously to survey microbial communities at an unprecedented spatial and temporal resolution.","container-title":"Proceedings of the National Academy of Sciences","DOI":"10.1073/pnas.1000080107","ISSN":"0027-8424, 1091-6490","issue":"supplement_1","journalAbbreviation":"Proc. Natl. Acad. Sci. U.S.A.","language":"en","page":"4516-4522","source":"DOI.org (Crossref)","title":"Global patterns of 16S rRNA diversity at a depth of millions of sequences per sample","volume":"108","author":[{"family":"Caporaso","given":"J. Gregory"},{"family":"Lauber","given":"Christian L."},{"family":"Walters","given":"William A."},{"family":"Berg-Lyons","given":"Donna"},{"family":"Lozupone","given":"Catherine A."},{"family":"Turnbaugh","given":"Peter J."},{"family":"Fierer","given":"Noah"},{"family":"Knight","given":"Rob"}],"issued":{"date-parts":[["2011",3,15]]}}}],"schema":"https://github.com/citation-style-language/schema/raw/master/csl-citation.json"} </w:instrText>
      </w:r>
      <w:r w:rsidRPr="00422086">
        <w:rPr>
          <w:rFonts w:ascii="Calibri" w:eastAsia="Calibri" w:hAnsi="Calibri" w:cs="Arial"/>
          <w:kern w:val="0"/>
          <w:sz w:val="22"/>
          <w:szCs w:val="22"/>
          <w:lang w:val="en-US"/>
          <w14:ligatures w14:val="none"/>
        </w:rPr>
        <w:fldChar w:fldCharType="separate"/>
      </w:r>
      <w:r w:rsidR="006470F1" w:rsidRPr="006470F1">
        <w:rPr>
          <w:rFonts w:ascii="Aptos" w:hAnsi="Aptos"/>
          <w:sz w:val="22"/>
          <w:lang w:val="en-US"/>
        </w:rPr>
        <w:t>[3]</w:t>
      </w:r>
      <w:r w:rsidRPr="00422086">
        <w:rPr>
          <w:rFonts w:ascii="Calibri" w:eastAsia="Calibri" w:hAnsi="Calibri" w:cs="Arial"/>
          <w:kern w:val="0"/>
          <w:sz w:val="22"/>
          <w:szCs w:val="22"/>
          <w:lang w:val="en-US"/>
          <w14:ligatures w14:val="none"/>
        </w:rPr>
        <w:fldChar w:fldCharType="end"/>
      </w:r>
      <w:r w:rsidRPr="00422086">
        <w:rPr>
          <w:rFonts w:ascii="Calibri" w:eastAsia="Calibri" w:hAnsi="Calibri" w:cs="Arial"/>
          <w:kern w:val="0"/>
          <w:sz w:val="22"/>
          <w:szCs w:val="22"/>
          <w:lang w:val="en-US"/>
          <w14:ligatures w14:val="none"/>
        </w:rPr>
        <w:t xml:space="preserve">, later refined by Apprill et al </w:t>
      </w:r>
      <w:r w:rsidRPr="00422086">
        <w:rPr>
          <w:rFonts w:ascii="Calibri" w:eastAsia="Calibri" w:hAnsi="Calibri" w:cs="Arial"/>
          <w:kern w:val="0"/>
          <w:sz w:val="22"/>
          <w:szCs w:val="22"/>
          <w:lang w:val="en-US"/>
          <w14:ligatures w14:val="none"/>
        </w:rPr>
        <w:fldChar w:fldCharType="begin"/>
      </w:r>
      <w:r w:rsidR="006470F1">
        <w:rPr>
          <w:rFonts w:ascii="Calibri" w:eastAsia="Calibri" w:hAnsi="Calibri" w:cs="Arial"/>
          <w:kern w:val="0"/>
          <w:sz w:val="22"/>
          <w:szCs w:val="22"/>
          <w:lang w:val="en-US"/>
          <w14:ligatures w14:val="none"/>
        </w:rPr>
        <w:instrText xml:space="preserve"> ADDIN ZOTERO_ITEM CSL_CITATION {"citationID":"UTPvJ524","properties":{"formattedCitation":"[2]","plainCitation":"[2]","noteIndex":0},"citationItems":[{"id":210,"uris":["http://zotero.org/users/14894062/items/ISB6XRLP"],"itemData":{"id":210,"type":"article-journal","container-title":"Aquatic Microbial Ecology","DOI":"10.3354/ame01753","ISSN":"0948-3055, 1616-1564","issue":"2","journalAbbreviation":"Aquat. Microb. Ecol.","language":"en","page":"129-137","source":"DOI.org (Crossref)","title":"Minor revision to V4 region SSU rRNA 806R gene primer greatly increases detection of SAR11 bacterioplankton","volume":"75","author":[{"family":"Apprill","given":"A"},{"family":"McNally","given":"S"},{"family":"Parsons","given":"R"},{"family":"Weber","given":"L"}],"issued":{"date-parts":[["2015",6,4]]}}}],"schema":"https://github.com/citation-style-language/schema/raw/master/csl-citation.json"} </w:instrText>
      </w:r>
      <w:r w:rsidRPr="00422086">
        <w:rPr>
          <w:rFonts w:ascii="Calibri" w:eastAsia="Calibri" w:hAnsi="Calibri" w:cs="Arial"/>
          <w:kern w:val="0"/>
          <w:sz w:val="22"/>
          <w:szCs w:val="22"/>
          <w:lang w:val="en-US"/>
          <w14:ligatures w14:val="none"/>
        </w:rPr>
        <w:fldChar w:fldCharType="separate"/>
      </w:r>
      <w:r w:rsidR="006470F1" w:rsidRPr="006470F1">
        <w:rPr>
          <w:rFonts w:ascii="Aptos" w:hAnsi="Aptos"/>
          <w:sz w:val="22"/>
          <w:lang w:val="en-US"/>
        </w:rPr>
        <w:t>[2]</w:t>
      </w:r>
      <w:r w:rsidRPr="00422086">
        <w:rPr>
          <w:rFonts w:ascii="Calibri" w:eastAsia="Calibri" w:hAnsi="Calibri" w:cs="Arial"/>
          <w:kern w:val="0"/>
          <w:sz w:val="22"/>
          <w:szCs w:val="22"/>
          <w:lang w:val="en-US"/>
          <w14:ligatures w14:val="none"/>
        </w:rPr>
        <w:fldChar w:fldCharType="end"/>
      </w:r>
      <w:r w:rsidRPr="00422086">
        <w:rPr>
          <w:rFonts w:ascii="Calibri" w:eastAsia="Calibri" w:hAnsi="Calibri" w:cs="Arial"/>
          <w:kern w:val="0"/>
          <w:sz w:val="22"/>
          <w:szCs w:val="22"/>
          <w:lang w:val="en-US"/>
          <w14:ligatures w14:val="none"/>
        </w:rPr>
        <w:t xml:space="preserve"> and Parada et al </w:t>
      </w:r>
      <w:r w:rsidRPr="00422086">
        <w:rPr>
          <w:rFonts w:ascii="Calibri" w:eastAsia="Calibri" w:hAnsi="Calibri" w:cs="Arial"/>
          <w:kern w:val="0"/>
          <w:sz w:val="22"/>
          <w:szCs w:val="22"/>
          <w:lang w:val="en-US"/>
          <w14:ligatures w14:val="none"/>
        </w:rPr>
        <w:fldChar w:fldCharType="begin"/>
      </w:r>
      <w:r w:rsidR="006470F1">
        <w:rPr>
          <w:rFonts w:ascii="Calibri" w:eastAsia="Calibri" w:hAnsi="Calibri" w:cs="Arial"/>
          <w:kern w:val="0"/>
          <w:sz w:val="22"/>
          <w:szCs w:val="22"/>
          <w:lang w:val="en-US"/>
          <w14:ligatures w14:val="none"/>
        </w:rPr>
        <w:instrText xml:space="preserve"> ADDIN ZOTERO_ITEM CSL_CITATION {"citationID":"CWiExqYu","properties":{"formattedCitation":"[1\\uc0\\u8211{}3]","plainCitation":"[1–3]","noteIndex":0},"citationItems":[{"id":58,"uris":["http://zotero.org/users/14894062/items/Q9LG27CX"],"itemData":{"id":58,"type":"article-journal","abstract":"The ongoing revolution in high-throughput sequencing continues to democratize the ability of small groups of investigators to map the microbial component of the biosphere. In particular, the coevolution of new sequencing platforms and new software tools allows data acquisition and analysis on an unprecedented scale. Here we report the next stage in this coevolutionary arms race, using the Illumina GAIIx platform to sequence a diverse array of 25 environmental samples and three known “mock communities” at a depth averaging 3.1 million reads per sample. We demonstrate excellent consistency in taxonomic recovery and recapture diversity patterns that were previously reported on the basis of metaanalysis of many studies from the literature (notably, the saline/nonsaline split in environmental samples and the split between host-associated and free-living communities). We also demonstrate that 2,000 Illumina single-end reads are sufficient to recapture the same relationships among samples that we observe with the full dataset. The results thus open up the possibility of conducting large-scale studies analyzing thousands of samples simultaneously to survey microbial communities at an unprecedented spatial and temporal resolution.","container-title":"Proceedings of the National Academy of Sciences","DOI":"10.1073/pnas.1000080107","ISSN":"0027-8424, 1091-6490","issue":"supplement_1","journalAbbreviation":"Proc. Natl. Acad. Sci. U.S.A.","language":"en","page":"4516-4522","source":"DOI.org (Crossref)","title":"Global patterns of 16S rRNA diversity at a depth of millions of sequences per sample","volume":"108","author":[{"family":"Caporaso","given":"J. Gregory"},{"family":"Lauber","given":"Christian L."},{"family":"Walters","given":"William A."},{"family":"Berg-Lyons","given":"Donna"},{"family":"Lozupone","given":"Catherine A."},{"family":"Turnbaugh","given":"Peter J."},{"family":"Fierer","given":"Noah"},{"family":"Knight","given":"Rob"}],"issued":{"date-parts":[["2011",3,15]]}}},{"id":210,"uris":["http://zotero.org/users/14894062/items/ISB6XRLP"],"itemData":{"id":210,"type":"article-journal","container-title":"Aquatic Microbial Ecology","DOI":"10.3354/ame01753","ISSN":"0948-3055, 1616-1564","issue":"2","journalAbbreviation":"Aquat. Microb. Ecol.","language":"en","page":"129-137","source":"DOI.org (Crossref)","title":"Minor revision to V4 region SSU rRNA 806R gene primer greatly increases detection of SAR11 bacterioplankton","volume":"75","author":[{"family":"Apprill","given":"A"},{"family":"McNally","given":"S"},{"family":"Parsons","given":"R"},{"family":"Weber","given":"L"}],"issued":{"date-parts":[["2015",6,4]]}}},{"id":209,"uris":["http://zotero.org/users/14894062/items/EDHDSVXA"],"itemData":{"id":209,"type":"article-journal","abstract":"Summary\n            \n              Microbial community analysis via high‐throughput sequencing of amplified\n              16S rRNA\n              genes is an essential microbiology tool. We found the popular primer pair\n              515F\n              (\n              515F‐C\n              ) and\n              806R\n              greatly underestimated (e.g.\n              SAR\n              11) or overestimated (e.g. Gammaproteobacteria) common marine taxa. We evaluated marine samples and mock communities (containing 11 or 27 marine 16S clones), showing alternative primers 515F‐\n              Y\n              (5′‐\n              \n                GTG\n                Y\n                CAGCMGCCGCGGTAA\n              \n              ) and\n              926R\n              (5′‐\n              CCGYCAATTYMTTTRAGTTT\n              ) yield more accurate estimates of mock community abundances, produce longer amplicons that can differentiate taxa unresolvable with\n              515F‐C\n              /\n              806R\n              , and amplify eukaryotic\n              18S rRNA\n              . Mock communities amplified with\n              515F‐Y\n              /\n              926R\n              yielded closer observed community composition versus expected (r\n              2\n               = 0.95) compared with\n              515F‐Y\n              /\n              806R\n              (r\n              2\n               </w:instrText>
      </w:r>
      <w:r w:rsidR="006470F1">
        <w:rPr>
          <w:rFonts w:ascii="Cambria Math" w:eastAsia="Calibri" w:hAnsi="Cambria Math" w:cs="Cambria Math"/>
          <w:kern w:val="0"/>
          <w:sz w:val="22"/>
          <w:szCs w:val="22"/>
          <w:lang w:val="en-US"/>
          <w14:ligatures w14:val="none"/>
        </w:rPr>
        <w:instrText>∼</w:instrText>
      </w:r>
      <w:r w:rsidR="006470F1">
        <w:rPr>
          <w:rFonts w:ascii="Calibri" w:eastAsia="Calibri" w:hAnsi="Calibri" w:cs="Calibri"/>
          <w:kern w:val="0"/>
          <w:sz w:val="22"/>
          <w:szCs w:val="22"/>
          <w:lang w:val="en-US"/>
          <w14:ligatures w14:val="none"/>
        </w:rPr>
        <w:instrText> </w:instrText>
      </w:r>
      <w:r w:rsidR="006470F1">
        <w:rPr>
          <w:rFonts w:ascii="Calibri" w:eastAsia="Calibri" w:hAnsi="Calibri" w:cs="Arial"/>
          <w:kern w:val="0"/>
          <w:sz w:val="22"/>
          <w:szCs w:val="22"/>
          <w:lang w:val="en-US"/>
          <w14:ligatures w14:val="none"/>
        </w:rPr>
        <w:instrText>0.5). Unexpectedly, biases with\n              515F</w:instrText>
      </w:r>
      <w:r w:rsidR="006470F1">
        <w:rPr>
          <w:rFonts w:ascii="Calibri" w:eastAsia="Calibri" w:hAnsi="Calibri" w:cs="Calibri"/>
          <w:kern w:val="0"/>
          <w:sz w:val="22"/>
          <w:szCs w:val="22"/>
          <w:lang w:val="en-US"/>
          <w14:ligatures w14:val="none"/>
        </w:rPr>
        <w:instrText>‐</w:instrText>
      </w:r>
      <w:r w:rsidR="006470F1">
        <w:rPr>
          <w:rFonts w:ascii="Calibri" w:eastAsia="Calibri" w:hAnsi="Calibri" w:cs="Arial"/>
          <w:kern w:val="0"/>
          <w:sz w:val="22"/>
          <w:szCs w:val="22"/>
          <w:lang w:val="en-US"/>
          <w14:ligatures w14:val="none"/>
        </w:rPr>
        <w:instrText>Y\n              /\n              806R\n              against\n              SAR11\n              in field samples (</w:instrText>
      </w:r>
      <w:r w:rsidR="006470F1">
        <w:rPr>
          <w:rFonts w:ascii="Cambria Math" w:eastAsia="Calibri" w:hAnsi="Cambria Math" w:cs="Cambria Math"/>
          <w:kern w:val="0"/>
          <w:sz w:val="22"/>
          <w:szCs w:val="22"/>
          <w:lang w:val="en-US"/>
          <w14:ligatures w14:val="none"/>
        </w:rPr>
        <w:instrText>∼</w:instrText>
      </w:r>
      <w:r w:rsidR="006470F1">
        <w:rPr>
          <w:rFonts w:ascii="Calibri" w:eastAsia="Calibri" w:hAnsi="Calibri" w:cs="Arial"/>
          <w:kern w:val="0"/>
          <w:sz w:val="22"/>
          <w:szCs w:val="22"/>
          <w:lang w:val="en-US"/>
          <w14:ligatures w14:val="none"/>
        </w:rPr>
        <w:instrText>4</w:instrText>
      </w:r>
      <w:r w:rsidR="006470F1">
        <w:rPr>
          <w:rFonts w:ascii="Calibri" w:eastAsia="Calibri" w:hAnsi="Calibri" w:cs="Calibri"/>
          <w:kern w:val="0"/>
          <w:sz w:val="22"/>
          <w:szCs w:val="22"/>
          <w:lang w:val="en-US"/>
          <w14:ligatures w14:val="none"/>
        </w:rPr>
        <w:instrText>–</w:instrText>
      </w:r>
      <w:r w:rsidR="006470F1">
        <w:rPr>
          <w:rFonts w:ascii="Calibri" w:eastAsia="Calibri" w:hAnsi="Calibri" w:cs="Arial"/>
          <w:kern w:val="0"/>
          <w:sz w:val="22"/>
          <w:szCs w:val="22"/>
          <w:lang w:val="en-US"/>
          <w14:ligatures w14:val="none"/>
        </w:rPr>
        <w:instrText>10</w:instrText>
      </w:r>
      <w:r w:rsidR="006470F1">
        <w:rPr>
          <w:rFonts w:ascii="Calibri" w:eastAsia="Calibri" w:hAnsi="Calibri" w:cs="Calibri"/>
          <w:kern w:val="0"/>
          <w:sz w:val="22"/>
          <w:szCs w:val="22"/>
          <w:lang w:val="en-US"/>
          <w14:ligatures w14:val="none"/>
        </w:rPr>
        <w:instrText>‐</w:instrText>
      </w:r>
      <w:r w:rsidR="006470F1">
        <w:rPr>
          <w:rFonts w:ascii="Calibri" w:eastAsia="Calibri" w:hAnsi="Calibri" w:cs="Arial"/>
          <w:kern w:val="0"/>
          <w:sz w:val="22"/>
          <w:szCs w:val="22"/>
          <w:lang w:val="en-US"/>
          <w14:ligatures w14:val="none"/>
        </w:rPr>
        <w:instrText>fold) were stronger than in mock communities (</w:instrText>
      </w:r>
      <w:r w:rsidR="006470F1">
        <w:rPr>
          <w:rFonts w:ascii="Cambria Math" w:eastAsia="Calibri" w:hAnsi="Cambria Math" w:cs="Cambria Math"/>
          <w:kern w:val="0"/>
          <w:sz w:val="22"/>
          <w:szCs w:val="22"/>
          <w:lang w:val="en-US"/>
          <w14:ligatures w14:val="none"/>
        </w:rPr>
        <w:instrText>∼</w:instrText>
      </w:r>
      <w:r w:rsidR="006470F1">
        <w:rPr>
          <w:rFonts w:ascii="Calibri" w:eastAsia="Calibri" w:hAnsi="Calibri" w:cs="Arial"/>
          <w:kern w:val="0"/>
          <w:sz w:val="22"/>
          <w:szCs w:val="22"/>
          <w:lang w:val="en-US"/>
          <w14:ligatures w14:val="none"/>
        </w:rPr>
        <w:instrText>2</w:instrText>
      </w:r>
      <w:r w:rsidR="006470F1">
        <w:rPr>
          <w:rFonts w:ascii="Calibri" w:eastAsia="Calibri" w:hAnsi="Calibri" w:cs="Calibri"/>
          <w:kern w:val="0"/>
          <w:sz w:val="22"/>
          <w:szCs w:val="22"/>
          <w:lang w:val="en-US"/>
          <w14:ligatures w14:val="none"/>
        </w:rPr>
        <w:instrText>‐</w:instrText>
      </w:r>
      <w:r w:rsidR="006470F1">
        <w:rPr>
          <w:rFonts w:ascii="Calibri" w:eastAsia="Calibri" w:hAnsi="Calibri" w:cs="Arial"/>
          <w:kern w:val="0"/>
          <w:sz w:val="22"/>
          <w:szCs w:val="22"/>
          <w:lang w:val="en-US"/>
          <w14:ligatures w14:val="none"/>
        </w:rPr>
        <w:instrText>fold). Correcting a mismatch to\n              T\n              haumarchaea in the\n              515F</w:instrText>
      </w:r>
      <w:r w:rsidR="006470F1">
        <w:rPr>
          <w:rFonts w:ascii="Calibri" w:eastAsia="Calibri" w:hAnsi="Calibri" w:cs="Calibri"/>
          <w:kern w:val="0"/>
          <w:sz w:val="22"/>
          <w:szCs w:val="22"/>
          <w:lang w:val="en-US"/>
          <w14:ligatures w14:val="none"/>
        </w:rPr>
        <w:instrText>‐</w:instrText>
      </w:r>
      <w:r w:rsidR="006470F1">
        <w:rPr>
          <w:rFonts w:ascii="Calibri" w:eastAsia="Calibri" w:hAnsi="Calibri" w:cs="Arial"/>
          <w:kern w:val="0"/>
          <w:sz w:val="22"/>
          <w:szCs w:val="22"/>
          <w:lang w:val="en-US"/>
          <w14:ligatures w14:val="none"/>
        </w:rPr>
        <w:instrText>C\n              increased their apparent abundance in field samples, but not as much as using\n              926R\n              rather than\n              806R\n              . With plankton samples rich in eukaryotic\n              DNA\n              (&gt;</w:instrText>
      </w:r>
      <w:r w:rsidR="006470F1">
        <w:rPr>
          <w:rFonts w:ascii="Calibri" w:eastAsia="Calibri" w:hAnsi="Calibri" w:cs="Calibri"/>
          <w:kern w:val="0"/>
          <w:sz w:val="22"/>
          <w:szCs w:val="22"/>
          <w:lang w:val="en-US"/>
          <w14:ligatures w14:val="none"/>
        </w:rPr>
        <w:instrText> </w:instrText>
      </w:r>
      <w:r w:rsidR="006470F1">
        <w:rPr>
          <w:rFonts w:ascii="Calibri" w:eastAsia="Calibri" w:hAnsi="Calibri" w:cs="Arial"/>
          <w:kern w:val="0"/>
          <w:sz w:val="22"/>
          <w:szCs w:val="22"/>
          <w:lang w:val="en-US"/>
          <w14:ligatures w14:val="none"/>
        </w:rPr>
        <w:instrText>1</w:instrText>
      </w:r>
      <w:r w:rsidR="006470F1">
        <w:rPr>
          <w:rFonts w:ascii="Calibri" w:eastAsia="Calibri" w:hAnsi="Calibri" w:cs="Calibri"/>
          <w:kern w:val="0"/>
          <w:sz w:val="22"/>
          <w:szCs w:val="22"/>
          <w:lang w:val="en-US"/>
          <w14:ligatures w14:val="none"/>
        </w:rPr>
        <w:instrText> μ</w:instrText>
      </w:r>
      <w:r w:rsidR="006470F1">
        <w:rPr>
          <w:rFonts w:ascii="Calibri" w:eastAsia="Calibri" w:hAnsi="Calibri" w:cs="Arial"/>
          <w:kern w:val="0"/>
          <w:sz w:val="22"/>
          <w:szCs w:val="22"/>
          <w:lang w:val="en-US"/>
          <w14:ligatures w14:val="none"/>
        </w:rPr>
        <w:instrText xml:space="preserve">m size fraction), 18S sequences averaged </w:instrText>
      </w:r>
      <w:r w:rsidR="006470F1">
        <w:rPr>
          <w:rFonts w:ascii="Cambria Math" w:eastAsia="Calibri" w:hAnsi="Cambria Math" w:cs="Cambria Math"/>
          <w:kern w:val="0"/>
          <w:sz w:val="22"/>
          <w:szCs w:val="22"/>
          <w:lang w:val="en-US"/>
          <w14:ligatures w14:val="none"/>
        </w:rPr>
        <w:instrText>∼</w:instrText>
      </w:r>
      <w:r w:rsidR="006470F1">
        <w:rPr>
          <w:rFonts w:ascii="Calibri" w:eastAsia="Calibri" w:hAnsi="Calibri" w:cs="Arial"/>
          <w:kern w:val="0"/>
          <w:sz w:val="22"/>
          <w:szCs w:val="22"/>
          <w:lang w:val="en-US"/>
          <w14:ligatures w14:val="none"/>
        </w:rPr>
        <w:instrText xml:space="preserve">17% of all sequences. A single mismatch can strongly bias amplification, but even perfectly matched primers can exhibit preferential amplification. We show that beyond\n              in silico\n              predictions, testing with mock communities and field samples is important in primer selection.","container-title":"Environmental Microbiology","DOI":"10.1111/1462-2920.13023","ISSN":"1462-2912, 1462-2920","issue":"5","journalAbbreviation":"Environmental Microbiology","language":"en","page":"1403-1414","source":"DOI.org (Crossref)","title":"Every base matters: assessing small subunit &lt;span style=\"font-variant:small-caps;\"&gt;rRNA&lt;/span&gt; primers for marine microbiomes with mock communities, time series and global field samples","title-short":"Every base matters","volume":"18","author":[{"family":"Parada","given":"Alma E."},{"family":"Needham","given":"David M."},{"family":"Fuhrman","given":"Jed A."}],"issued":{"date-parts":[["2016",5]]}}}],"schema":"https://github.com/citation-style-language/schema/raw/master/csl-citation.json"} </w:instrText>
      </w:r>
      <w:r w:rsidRPr="00422086">
        <w:rPr>
          <w:rFonts w:ascii="Calibri" w:eastAsia="Calibri" w:hAnsi="Calibri" w:cs="Arial"/>
          <w:kern w:val="0"/>
          <w:sz w:val="22"/>
          <w:szCs w:val="22"/>
          <w:lang w:val="en-US"/>
          <w14:ligatures w14:val="none"/>
        </w:rPr>
        <w:fldChar w:fldCharType="separate"/>
      </w:r>
      <w:r w:rsidR="006470F1" w:rsidRPr="006470F1">
        <w:rPr>
          <w:rFonts w:ascii="Aptos" w:hAnsi="Aptos" w:cs="Times New Roman"/>
          <w:kern w:val="0"/>
          <w:sz w:val="22"/>
        </w:rPr>
        <w:t>[1–3]</w:t>
      </w:r>
      <w:r w:rsidRPr="00422086">
        <w:rPr>
          <w:rFonts w:ascii="Calibri" w:eastAsia="Calibri" w:hAnsi="Calibri" w:cs="Arial"/>
          <w:kern w:val="0"/>
          <w:sz w:val="22"/>
          <w:szCs w:val="22"/>
          <w:lang w:val="en-US"/>
          <w14:ligatures w14:val="none"/>
        </w:rPr>
        <w:fldChar w:fldCharType="end"/>
      </w:r>
      <w:r w:rsidRPr="00422086">
        <w:rPr>
          <w:rFonts w:ascii="Calibri" w:eastAsia="Calibri" w:hAnsi="Calibri" w:cs="Arial"/>
          <w:kern w:val="0"/>
          <w:sz w:val="22"/>
          <w:szCs w:val="22"/>
          <w:lang w:val="en-US"/>
          <w14:ligatures w14:val="none"/>
        </w:rPr>
        <w:t>. They produce an expected amplicon size of 250-300 base pairs. PCR was conducted by combining the following components in a total volume of 25 µL: 5 µL of 2x Phusion High-Fidelity PCR Master Mix (Thermo Fisher Scientific, Cat. No. F631S), 5 µL of GC enhancer (Thermo Fisher Scientific, Cat. No. F631S), 0.5 µL of reverse primer (10 µM), 1 µL of forward primer (10 µM), 5 µL of nuclease-free water, and 1 µL of DNA. The forward primers were tagged with barcodes numbered 101-196 according to the IonCode system, while the reverse primers remained untagged. The PCR program included an initial denaturation step at 98 °C for 30 seconds, followed by 35 cycles consisting of denaturation at 98 °C for 10 seconds, annealing at 50 °C for 10 seconds, and extension at 72 °C for 15 seconds, concluded by a final extension at 72 °C for 5 minutes.</w:t>
      </w:r>
    </w:p>
    <w:p w14:paraId="4D809E3E" w14:textId="77777777" w:rsidR="00422086" w:rsidRPr="00422086" w:rsidRDefault="00422086" w:rsidP="00422086">
      <w:pPr>
        <w:spacing w:line="259" w:lineRule="auto"/>
        <w:rPr>
          <w:rFonts w:ascii="Calibri" w:eastAsia="Calibri" w:hAnsi="Calibri" w:cs="Arial"/>
          <w:kern w:val="0"/>
          <w:sz w:val="22"/>
          <w:szCs w:val="22"/>
          <w:lang w:val="en-US"/>
          <w14:ligatures w14:val="none"/>
        </w:rPr>
      </w:pPr>
      <w:r w:rsidRPr="00422086">
        <w:rPr>
          <w:rFonts w:ascii="Calibri" w:eastAsia="Calibri" w:hAnsi="Calibri" w:cs="Arial"/>
          <w:kern w:val="0"/>
          <w:sz w:val="22"/>
          <w:szCs w:val="22"/>
          <w:lang w:val="en-US"/>
          <w14:ligatures w14:val="none"/>
        </w:rPr>
        <w:t xml:space="preserve">Ten samples from each PCR tray were run on 2% agarose gels to verify the presence of the desired amplicon size, using the E-Gel PowerSnap system (Thermo Fisher Scientific, Waltham, MA, USA) and a 1 kb E-Gel ladder (Thermo Fisher Scientific, Waltham, MA, USA). </w:t>
      </w:r>
    </w:p>
    <w:p w14:paraId="5A439E4B" w14:textId="77777777" w:rsidR="00422086" w:rsidRPr="00422086" w:rsidRDefault="00422086" w:rsidP="00422086">
      <w:pPr>
        <w:spacing w:line="259" w:lineRule="auto"/>
        <w:rPr>
          <w:rFonts w:ascii="Calibri" w:eastAsia="Calibri" w:hAnsi="Calibri" w:cs="Arial"/>
          <w:kern w:val="0"/>
          <w:sz w:val="22"/>
          <w:szCs w:val="22"/>
          <w:lang w:val="en-US"/>
          <w14:ligatures w14:val="none"/>
        </w:rPr>
      </w:pPr>
      <w:r w:rsidRPr="00422086">
        <w:rPr>
          <w:rFonts w:ascii="Calibri" w:eastAsia="Calibri" w:hAnsi="Calibri" w:cs="Arial"/>
          <w:kern w:val="0"/>
          <w:sz w:val="22"/>
          <w:szCs w:val="22"/>
          <w:lang w:val="en-US"/>
          <w14:ligatures w14:val="none"/>
        </w:rPr>
        <w:t xml:space="preserve">Following PCR, the libraries were normalized using the SequalPrep Normalization Kit (Thermo Fisher Scientific, Cat. No. A1051001) according to the manufacturer’s instructions except eluting in 15 μl. </w:t>
      </w:r>
    </w:p>
    <w:p w14:paraId="6F1C810E" w14:textId="77777777" w:rsidR="00422086" w:rsidRPr="00422086" w:rsidRDefault="00422086" w:rsidP="00422086">
      <w:pPr>
        <w:keepNext/>
        <w:keepLines/>
        <w:spacing w:before="40" w:after="0" w:line="259" w:lineRule="auto"/>
        <w:outlineLvl w:val="2"/>
        <w:rPr>
          <w:rFonts w:ascii="Calibri Light" w:eastAsia="Yu Gothic Light" w:hAnsi="Calibri Light" w:cs="Times New Roman"/>
          <w:color w:val="1F3763"/>
          <w:kern w:val="0"/>
          <w:lang w:val="en-US"/>
          <w14:ligatures w14:val="none"/>
        </w:rPr>
      </w:pPr>
      <w:r w:rsidRPr="00422086">
        <w:rPr>
          <w:rFonts w:ascii="Calibri Light" w:eastAsia="Yu Gothic Light" w:hAnsi="Calibri Light" w:cs="Times New Roman"/>
          <w:color w:val="1F3763"/>
          <w:kern w:val="0"/>
          <w:lang w:val="en-US"/>
          <w14:ligatures w14:val="none"/>
        </w:rPr>
        <w:t xml:space="preserve">S2. 2 Ion Torrent workflow </w:t>
      </w:r>
    </w:p>
    <w:p w14:paraId="338FDFD0" w14:textId="77777777" w:rsidR="00422086" w:rsidRPr="00422086" w:rsidRDefault="00422086" w:rsidP="00422086">
      <w:pPr>
        <w:spacing w:line="259" w:lineRule="auto"/>
        <w:rPr>
          <w:rFonts w:ascii="Calibri" w:eastAsia="Calibri" w:hAnsi="Calibri" w:cs="Arial"/>
          <w:kern w:val="0"/>
          <w:sz w:val="22"/>
          <w:szCs w:val="22"/>
          <w:lang w:val="en-US"/>
          <w14:ligatures w14:val="none"/>
        </w:rPr>
      </w:pPr>
      <w:r w:rsidRPr="00422086">
        <w:rPr>
          <w:rFonts w:ascii="Calibri" w:eastAsia="Calibri" w:hAnsi="Calibri" w:cs="Arial"/>
          <w:kern w:val="0"/>
          <w:sz w:val="22"/>
          <w:szCs w:val="22"/>
          <w:lang w:val="en-US"/>
          <w14:ligatures w14:val="none"/>
        </w:rPr>
        <w:t>Libraries followed the vendor’s amplicon workflow using the Ion Plus Fragment Library Kit (Thermo Fisher Scientific, Cat. No. 4471252) and Ion Xpress™ Barcode Adapters 1-16 Kit (Thermo Fisher Scientific, Cat. No. 4471250), according to the manufacturer’s protocol for barcoded amplicon libraries (400 bp). After PCR, amplicon quality was verified on 2% E</w:t>
      </w:r>
      <w:r w:rsidRPr="00422086">
        <w:rPr>
          <w:rFonts w:ascii="Calibri" w:eastAsia="Calibri" w:hAnsi="Calibri" w:cs="Arial"/>
          <w:kern w:val="0"/>
          <w:sz w:val="22"/>
          <w:szCs w:val="22"/>
          <w:lang w:val="en-US"/>
          <w14:ligatures w14:val="none"/>
        </w:rPr>
        <w:noBreakHyphen/>
        <w:t>Gel agarose (E</w:t>
      </w:r>
      <w:r w:rsidRPr="00422086">
        <w:rPr>
          <w:rFonts w:ascii="Calibri" w:eastAsia="Calibri" w:hAnsi="Calibri" w:cs="Arial"/>
          <w:kern w:val="0"/>
          <w:sz w:val="22"/>
          <w:szCs w:val="22"/>
          <w:lang w:val="en-US"/>
          <w14:ligatures w14:val="none"/>
        </w:rPr>
        <w:noBreakHyphen/>
        <w:t>Gel PowerSnap system) to confirm the expected V4 fragment size (~350 bp). Library concentrations were measured using Qubit dsDNA HS fluorometry, and plate</w:t>
      </w:r>
      <w:r w:rsidRPr="00422086">
        <w:rPr>
          <w:rFonts w:ascii="Calibri" w:eastAsia="Calibri" w:hAnsi="Calibri" w:cs="Arial"/>
          <w:kern w:val="0"/>
          <w:sz w:val="22"/>
          <w:szCs w:val="22"/>
          <w:lang w:val="en-US"/>
          <w14:ligatures w14:val="none"/>
        </w:rPr>
        <w:noBreakHyphen/>
        <w:t>wise pools were prepared accordingly. Final library quantification was performed by TaqMan™ qPCR to determine molarity, and 100 pM dilutions were prepared for template loading based on qPCR results. Template preparation was performed on the Ion Chef™ system, following the manufacturer’s amplicon workflow. Sequencing was performed on an Ion S5 system using the Ion 530™ Chip Kit, following the manufacturer’s protocol for barcoded amplicon libraries (400 bp).</w:t>
      </w:r>
      <w:r w:rsidRPr="00422086">
        <w:rPr>
          <w:rFonts w:ascii="Calibri" w:eastAsia="Calibri" w:hAnsi="Calibri" w:cs="Arial"/>
          <w:kern w:val="0"/>
          <w:sz w:val="22"/>
          <w:szCs w:val="22"/>
          <w:lang w:val="en-US"/>
          <w14:ligatures w14:val="none"/>
        </w:rPr>
        <w:br/>
      </w:r>
    </w:p>
    <w:p w14:paraId="3189ED6E" w14:textId="77777777" w:rsidR="00422086" w:rsidRPr="00422086" w:rsidRDefault="00422086" w:rsidP="00422086">
      <w:pPr>
        <w:keepNext/>
        <w:keepLines/>
        <w:spacing w:before="40" w:after="0" w:line="259" w:lineRule="auto"/>
        <w:outlineLvl w:val="2"/>
        <w:rPr>
          <w:rFonts w:ascii="Calibri Light" w:eastAsia="Yu Gothic Light" w:hAnsi="Calibri Light" w:cs="Times New Roman"/>
          <w:color w:val="1F3763"/>
          <w:kern w:val="0"/>
          <w:lang w:val="en-US"/>
          <w14:ligatures w14:val="none"/>
        </w:rPr>
      </w:pPr>
      <w:r w:rsidRPr="00422086">
        <w:rPr>
          <w:rFonts w:ascii="Calibri Light" w:eastAsia="Yu Gothic Light" w:hAnsi="Calibri Light" w:cs="Times New Roman"/>
          <w:color w:val="1F3763"/>
          <w:kern w:val="0"/>
          <w:lang w:val="en-US"/>
          <w14:ligatures w14:val="none"/>
        </w:rPr>
        <w:t xml:space="preserve">S2.3 Illumina workflow </w:t>
      </w:r>
    </w:p>
    <w:p w14:paraId="136657A6" w14:textId="77777777" w:rsidR="00422086" w:rsidRPr="00422086" w:rsidRDefault="00422086" w:rsidP="00422086">
      <w:pPr>
        <w:spacing w:line="259" w:lineRule="auto"/>
        <w:rPr>
          <w:rFonts w:ascii="Calibri" w:eastAsia="Calibri" w:hAnsi="Calibri" w:cs="Arial"/>
          <w:kern w:val="0"/>
          <w:sz w:val="22"/>
          <w:szCs w:val="22"/>
          <w:lang w:val="en-US"/>
          <w14:ligatures w14:val="none"/>
        </w:rPr>
      </w:pPr>
      <w:r w:rsidRPr="00422086">
        <w:rPr>
          <w:rFonts w:ascii="Calibri" w:eastAsia="Calibri" w:hAnsi="Calibri" w:cs="Arial"/>
          <w:kern w:val="0"/>
          <w:sz w:val="22"/>
          <w:szCs w:val="22"/>
          <w:lang w:val="en-US"/>
          <w14:ligatures w14:val="none"/>
        </w:rPr>
        <w:t>Normalized samples were sequenced at the Norwegian Sequencing Centre (Oslo, Norway) using Illumina technology. Six samples were either manually diluted due to limited capacity on the normalization plate or left undiluted as their concentrations were already within the desired range (1–2 ng/µL). Libraries were quantified using a Qubit fluorometer and purified with 1.2× Ampure XP beads, then eluted in 25 µL of nuclease</w:t>
      </w:r>
      <w:r w:rsidRPr="00422086">
        <w:rPr>
          <w:rFonts w:ascii="Calibri" w:eastAsia="Calibri" w:hAnsi="Calibri" w:cs="Arial"/>
          <w:kern w:val="0"/>
          <w:sz w:val="22"/>
          <w:szCs w:val="22"/>
          <w:lang w:val="en-US"/>
          <w14:ligatures w14:val="none"/>
        </w:rPr>
        <w:noBreakHyphen/>
        <w:t xml:space="preserve">free water. For each library, 1 µL from every sample on the normalization plate was pooled. The resulting libraries were subjected to a second purification with 1.2× Ampure XP beads and eluted in 25 µL of water, followed by Qubit quantification. Amplicon size was verified by agarose gel electrophoresis. Libraries were then submitted to the Norwegian Sequencing Centre for Illumina </w:t>
      </w:r>
      <w:commentRangeStart w:id="0"/>
      <w:r w:rsidRPr="00422086">
        <w:rPr>
          <w:rFonts w:ascii="Calibri" w:eastAsia="Calibri" w:hAnsi="Calibri" w:cs="Arial"/>
          <w:kern w:val="0"/>
          <w:sz w:val="22"/>
          <w:szCs w:val="22"/>
          <w:lang w:val="en-US"/>
          <w14:ligatures w14:val="none"/>
        </w:rPr>
        <w:t>NovaSeq 6000 sequencing (2 × 250 bp paired</w:t>
      </w:r>
      <w:r w:rsidRPr="00422086">
        <w:rPr>
          <w:rFonts w:ascii="Calibri" w:eastAsia="Calibri" w:hAnsi="Calibri" w:cs="Arial"/>
          <w:kern w:val="0"/>
          <w:sz w:val="22"/>
          <w:szCs w:val="22"/>
          <w:lang w:val="en-US"/>
          <w14:ligatures w14:val="none"/>
        </w:rPr>
        <w:noBreakHyphen/>
        <w:t>end).</w:t>
      </w:r>
      <w:commentRangeEnd w:id="0"/>
      <w:r w:rsidR="009B5A93" w:rsidRPr="00422086">
        <w:rPr>
          <w:rStyle w:val="Merknadsreferanse"/>
          <w:rFonts w:ascii="Calibri" w:eastAsia="Calibri" w:hAnsi="Calibri" w:cs="Arial"/>
          <w:kern w:val="0"/>
          <w:sz w:val="22"/>
          <w:szCs w:val="22"/>
          <w:lang w:val="en-US"/>
          <w14:ligatures w14:val="none"/>
        </w:rPr>
        <w:commentReference w:id="0"/>
      </w:r>
    </w:p>
    <w:p w14:paraId="583D481B" w14:textId="77777777" w:rsidR="00422086" w:rsidRPr="00422086" w:rsidRDefault="00422086" w:rsidP="00422086">
      <w:pPr>
        <w:keepNext/>
        <w:keepLines/>
        <w:spacing w:before="40" w:after="0" w:line="259" w:lineRule="auto"/>
        <w:outlineLvl w:val="1"/>
        <w:rPr>
          <w:rFonts w:ascii="Calibri Light" w:eastAsia="Yu Gothic Light" w:hAnsi="Calibri Light" w:cs="Times New Roman"/>
          <w:color w:val="2F5496"/>
          <w:kern w:val="0"/>
          <w:sz w:val="26"/>
          <w:szCs w:val="26"/>
          <w:lang w:val="en-US"/>
          <w14:ligatures w14:val="none"/>
        </w:rPr>
      </w:pPr>
      <w:r w:rsidRPr="00422086">
        <w:rPr>
          <w:rFonts w:ascii="Calibri Light" w:eastAsia="Yu Gothic Light" w:hAnsi="Calibri Light" w:cs="Times New Roman"/>
          <w:color w:val="2F5496"/>
          <w:kern w:val="0"/>
          <w:sz w:val="26"/>
          <w:szCs w:val="26"/>
          <w:lang w:val="en-US"/>
          <w14:ligatures w14:val="none"/>
        </w:rPr>
        <w:lastRenderedPageBreak/>
        <w:t xml:space="preserve">S3. Bioinformatics and statistical analysis </w:t>
      </w:r>
      <w:r w:rsidRPr="00422086">
        <w:rPr>
          <w:rFonts w:ascii="Calibri Light" w:eastAsia="Yu Gothic Light" w:hAnsi="Calibri Light" w:cs="Times New Roman"/>
          <w:color w:val="2F5496"/>
          <w:kern w:val="0"/>
          <w:sz w:val="26"/>
          <w:szCs w:val="26"/>
          <w:lang w:val="en-US"/>
          <w14:ligatures w14:val="none"/>
        </w:rPr>
        <w:br/>
      </w:r>
    </w:p>
    <w:p w14:paraId="4204149E" w14:textId="77777777" w:rsidR="00422086" w:rsidRPr="00422086" w:rsidRDefault="00422086" w:rsidP="00422086">
      <w:pPr>
        <w:keepNext/>
        <w:keepLines/>
        <w:spacing w:before="40" w:after="0" w:line="259" w:lineRule="auto"/>
        <w:outlineLvl w:val="2"/>
        <w:rPr>
          <w:rFonts w:ascii="Calibri Light" w:eastAsia="Yu Gothic Light" w:hAnsi="Calibri Light" w:cs="Times New Roman"/>
          <w:color w:val="1F3763"/>
          <w:kern w:val="0"/>
          <w:lang w:val="en-US"/>
          <w14:ligatures w14:val="none"/>
        </w:rPr>
      </w:pPr>
      <w:r w:rsidRPr="00422086">
        <w:rPr>
          <w:rFonts w:ascii="Calibri Light" w:eastAsia="Yu Gothic Light" w:hAnsi="Calibri Light" w:cs="Times New Roman"/>
          <w:color w:val="1F3763"/>
          <w:kern w:val="0"/>
          <w:lang w:val="en-US"/>
          <w14:ligatures w14:val="none"/>
        </w:rPr>
        <w:t>S3.1 Demultiplexing (cutadapt)</w:t>
      </w:r>
    </w:p>
    <w:p w14:paraId="3197BEF3" w14:textId="15C26936" w:rsidR="00422086" w:rsidRPr="00422086" w:rsidRDefault="00422086" w:rsidP="00422086">
      <w:pPr>
        <w:spacing w:line="259" w:lineRule="auto"/>
        <w:rPr>
          <w:rFonts w:ascii="Calibri" w:eastAsia="Calibri" w:hAnsi="Calibri" w:cs="Arial"/>
          <w:kern w:val="0"/>
          <w:sz w:val="22"/>
          <w:szCs w:val="22"/>
          <w:lang w:val="en-US"/>
          <w14:ligatures w14:val="none"/>
        </w:rPr>
      </w:pPr>
      <w:r w:rsidRPr="00422086">
        <w:rPr>
          <w:rFonts w:ascii="Calibri" w:eastAsia="Calibri" w:hAnsi="Calibri" w:cs="Arial"/>
          <w:kern w:val="0"/>
          <w:sz w:val="22"/>
          <w:szCs w:val="22"/>
          <w:lang w:val="en-US"/>
          <w14:ligatures w14:val="none"/>
        </w:rPr>
        <w:t xml:space="preserve">Sequencing reads from Ion Torrent and Illumina were demultiplexed and adapter/primer sequences removed with Cutadapt v4.4 </w:t>
      </w:r>
      <w:r w:rsidRPr="00422086">
        <w:rPr>
          <w:rFonts w:ascii="Calibri" w:eastAsia="Calibri" w:hAnsi="Calibri" w:cs="Arial"/>
          <w:kern w:val="0"/>
          <w:sz w:val="22"/>
          <w:szCs w:val="22"/>
          <w:lang w:val="en-US"/>
          <w14:ligatures w14:val="none"/>
        </w:rPr>
        <w:fldChar w:fldCharType="begin"/>
      </w:r>
      <w:r w:rsidR="006470F1">
        <w:rPr>
          <w:rFonts w:ascii="Calibri" w:eastAsia="Calibri" w:hAnsi="Calibri" w:cs="Arial"/>
          <w:kern w:val="0"/>
          <w:sz w:val="22"/>
          <w:szCs w:val="22"/>
          <w:lang w:val="en-US"/>
          <w14:ligatures w14:val="none"/>
        </w:rPr>
        <w:instrText xml:space="preserve"> ADDIN ZOTERO_ITEM CSL_CITATION {"citationID":"V5IZxubA","properties":{"formattedCitation":"[4]","plainCitation":"[4]","noteIndex":0},"citationItems":[{"id":237,"uris":["http://zotero.org/users/14894062/items/WP6RIKPR"],"itemData":{"id":237,"type":"article-journal","container-title":"EMBnet.journal","DOI":"10.14806/ej.17.1.200","ISSN":"2226-6089","issue":"1","journalAbbreviation":"EMBnet j.","page":"10","source":"DOI.org (Crossref)","title":"Cutadapt removes adapter sequences from high-throughput sequencing reads","volume":"17","author":[{"family":"Martin","given":"Marcel"}],"issued":{"date-parts":[["2011",5,2]]}}}],"schema":"https://github.com/citation-style-language/schema/raw/master/csl-citation.json"} </w:instrText>
      </w:r>
      <w:r w:rsidRPr="00422086">
        <w:rPr>
          <w:rFonts w:ascii="Calibri" w:eastAsia="Calibri" w:hAnsi="Calibri" w:cs="Arial"/>
          <w:kern w:val="0"/>
          <w:sz w:val="22"/>
          <w:szCs w:val="22"/>
          <w:lang w:val="en-US"/>
          <w14:ligatures w14:val="none"/>
        </w:rPr>
        <w:fldChar w:fldCharType="separate"/>
      </w:r>
      <w:r w:rsidR="006470F1" w:rsidRPr="006470F1">
        <w:rPr>
          <w:rFonts w:ascii="Aptos" w:hAnsi="Aptos"/>
          <w:sz w:val="22"/>
          <w:lang w:val="en-US"/>
        </w:rPr>
        <w:t>[4]</w:t>
      </w:r>
      <w:r w:rsidRPr="00422086">
        <w:rPr>
          <w:rFonts w:ascii="Calibri" w:eastAsia="Calibri" w:hAnsi="Calibri" w:cs="Arial"/>
          <w:kern w:val="0"/>
          <w:sz w:val="22"/>
          <w:szCs w:val="22"/>
          <w:lang w:val="en-US"/>
          <w14:ligatures w14:val="none"/>
        </w:rPr>
        <w:fldChar w:fldCharType="end"/>
      </w:r>
      <w:r w:rsidRPr="00422086">
        <w:rPr>
          <w:rFonts w:ascii="Calibri" w:eastAsia="Calibri" w:hAnsi="Calibri" w:cs="Arial"/>
          <w:kern w:val="0"/>
          <w:sz w:val="22"/>
          <w:szCs w:val="22"/>
          <w:lang w:val="en-US"/>
          <w14:ligatures w14:val="none"/>
        </w:rPr>
        <w:t xml:space="preserve">. Demultiplexed FASTQ files were then processed separately with the </w:t>
      </w:r>
      <w:r w:rsidR="00DD3C6E">
        <w:rPr>
          <w:rFonts w:ascii="Calibri" w:eastAsia="Calibri" w:hAnsi="Calibri" w:cs="Arial"/>
          <w:kern w:val="0"/>
          <w:sz w:val="22"/>
          <w:szCs w:val="22"/>
          <w:lang w:val="en-US"/>
          <w14:ligatures w14:val="none"/>
        </w:rPr>
        <w:t>DADA2</w:t>
      </w:r>
      <w:r w:rsidRPr="00422086">
        <w:rPr>
          <w:rFonts w:ascii="Calibri" w:eastAsia="Calibri" w:hAnsi="Calibri" w:cs="Arial"/>
          <w:kern w:val="0"/>
          <w:sz w:val="22"/>
          <w:szCs w:val="22"/>
          <w:lang w:val="en-US"/>
          <w14:ligatures w14:val="none"/>
        </w:rPr>
        <w:t xml:space="preserve">2 v 1.26.0 </w:t>
      </w:r>
      <w:r w:rsidRPr="00422086">
        <w:rPr>
          <w:rFonts w:ascii="Calibri" w:eastAsia="Calibri" w:hAnsi="Calibri" w:cs="Arial"/>
          <w:kern w:val="0"/>
          <w:sz w:val="22"/>
          <w:szCs w:val="22"/>
          <w:lang w:val="en-US"/>
          <w14:ligatures w14:val="none"/>
        </w:rPr>
        <w:fldChar w:fldCharType="begin"/>
      </w:r>
      <w:r w:rsidR="006470F1">
        <w:rPr>
          <w:rFonts w:ascii="Calibri" w:eastAsia="Calibri" w:hAnsi="Calibri" w:cs="Arial"/>
          <w:kern w:val="0"/>
          <w:sz w:val="22"/>
          <w:szCs w:val="22"/>
          <w:lang w:val="en-US"/>
          <w14:ligatures w14:val="none"/>
        </w:rPr>
        <w:instrText xml:space="preserve"> ADDIN ZOTERO_ITEM CSL_CITATION {"citationID":"KBgkodbV","properties":{"formattedCitation":"[5]","plainCitation":"[5]","noteIndex":0},"citationItems":[{"id":235,"uris":["http://zotero.org/users/14894062/items/DJ76BFWU"],"itemData":{"id":235,"type":"article-journal","container-title":"Nature Methods","DOI":"10.1038/nmeth.3869","ISSN":"1548-7091, 1548-7105","issue":"7","journalAbbreviation":"Nat Methods","language":"en","page":"581-583","source":"DOI.org (Crossref)","title":"DADA2: High-resolution sample inference from Illumina amplicon data","title-short":"DADA2","volume":"13","author":[{"family":"Callahan","given":"Benjamin J"},{"family":"McMurdie","given":"Paul J"},{"family":"Rosen","given":"Michael J"},{"family":"Han","given":"Andrew W"},{"family":"Johnson","given":"Amy Jo A"},{"family":"Holmes","given":"Susan P"}],"issued":{"date-parts":[["2016",7]]}}}],"schema":"https://github.com/citation-style-language/schema/raw/master/csl-citation.json"} </w:instrText>
      </w:r>
      <w:r w:rsidRPr="00422086">
        <w:rPr>
          <w:rFonts w:ascii="Calibri" w:eastAsia="Calibri" w:hAnsi="Calibri" w:cs="Arial"/>
          <w:kern w:val="0"/>
          <w:sz w:val="22"/>
          <w:szCs w:val="22"/>
          <w:lang w:val="en-US"/>
          <w14:ligatures w14:val="none"/>
        </w:rPr>
        <w:fldChar w:fldCharType="separate"/>
      </w:r>
      <w:r w:rsidR="006470F1" w:rsidRPr="006470F1">
        <w:rPr>
          <w:rFonts w:ascii="Aptos" w:hAnsi="Aptos"/>
          <w:sz w:val="22"/>
          <w:lang w:val="en-US"/>
        </w:rPr>
        <w:t>[5]</w:t>
      </w:r>
      <w:r w:rsidRPr="00422086">
        <w:rPr>
          <w:rFonts w:ascii="Calibri" w:eastAsia="Calibri" w:hAnsi="Calibri" w:cs="Arial"/>
          <w:kern w:val="0"/>
          <w:sz w:val="22"/>
          <w:szCs w:val="22"/>
          <w:lang w:val="en-US"/>
          <w14:ligatures w14:val="none"/>
        </w:rPr>
        <w:fldChar w:fldCharType="end"/>
      </w:r>
      <w:r w:rsidRPr="00422086">
        <w:rPr>
          <w:rFonts w:ascii="Calibri" w:eastAsia="Calibri" w:hAnsi="Calibri" w:cs="Arial"/>
          <w:kern w:val="0"/>
          <w:sz w:val="22"/>
          <w:szCs w:val="22"/>
          <w:lang w:val="en-US"/>
          <w14:ligatures w14:val="none"/>
        </w:rPr>
        <w:t xml:space="preserve"> in R v4.2.2.</w:t>
      </w:r>
    </w:p>
    <w:p w14:paraId="25854A0B" w14:textId="0AADBA8A" w:rsidR="00422086" w:rsidRPr="00422086" w:rsidRDefault="00422086" w:rsidP="00422086">
      <w:pPr>
        <w:keepNext/>
        <w:keepLines/>
        <w:spacing w:before="40" w:after="0" w:line="259" w:lineRule="auto"/>
        <w:outlineLvl w:val="2"/>
        <w:rPr>
          <w:rFonts w:ascii="Calibri Light" w:eastAsia="Yu Gothic Light" w:hAnsi="Calibri Light" w:cs="Times New Roman"/>
          <w:color w:val="1F3763"/>
          <w:kern w:val="0"/>
          <w:lang w:val="en-US"/>
          <w14:ligatures w14:val="none"/>
        </w:rPr>
      </w:pPr>
      <w:r w:rsidRPr="00422086">
        <w:rPr>
          <w:rFonts w:ascii="Calibri Light" w:eastAsia="Yu Gothic Light" w:hAnsi="Calibri Light" w:cs="Times New Roman"/>
          <w:color w:val="1F3763"/>
          <w:kern w:val="0"/>
          <w:lang w:val="en-US"/>
          <w14:ligatures w14:val="none"/>
        </w:rPr>
        <w:t xml:space="preserve">S3.2 </w:t>
      </w:r>
      <w:r w:rsidR="00DD3C6E">
        <w:rPr>
          <w:rFonts w:ascii="Calibri Light" w:eastAsia="Yu Gothic Light" w:hAnsi="Calibri Light" w:cs="Times New Roman"/>
          <w:color w:val="1F3763"/>
          <w:kern w:val="0"/>
          <w:lang w:val="en-US"/>
          <w14:ligatures w14:val="none"/>
        </w:rPr>
        <w:t>Dada2</w:t>
      </w:r>
      <w:r w:rsidRPr="00422086">
        <w:rPr>
          <w:rFonts w:ascii="Calibri Light" w:eastAsia="Yu Gothic Light" w:hAnsi="Calibri Light" w:cs="Times New Roman"/>
          <w:color w:val="1F3763"/>
          <w:kern w:val="0"/>
          <w:lang w:val="en-US"/>
          <w14:ligatures w14:val="none"/>
        </w:rPr>
        <w:t>2 for Ion Torrent</w:t>
      </w:r>
    </w:p>
    <w:p w14:paraId="057652B4" w14:textId="558BB788" w:rsidR="00422086" w:rsidRPr="00422086" w:rsidRDefault="00422086" w:rsidP="00422086">
      <w:pPr>
        <w:spacing w:line="259" w:lineRule="auto"/>
        <w:rPr>
          <w:rFonts w:ascii="Calibri" w:eastAsia="Calibri" w:hAnsi="Calibri" w:cs="Arial"/>
          <w:kern w:val="0"/>
          <w:sz w:val="22"/>
          <w:szCs w:val="22"/>
          <w:lang w:val="en-US"/>
          <w14:ligatures w14:val="none"/>
        </w:rPr>
      </w:pPr>
      <w:r w:rsidRPr="00422086">
        <w:rPr>
          <w:rFonts w:ascii="Calibri" w:eastAsia="Calibri" w:hAnsi="Calibri" w:cs="Arial"/>
          <w:kern w:val="0"/>
          <w:sz w:val="22"/>
          <w:szCs w:val="22"/>
          <w:lang w:val="en-US"/>
          <w14:ligatures w14:val="none"/>
        </w:rPr>
        <w:t xml:space="preserve">Ion Torrent reads were filtered with filterAndTrim (minLen = 150, maxLen = 750, maxEE = 4, minQ = 3, rm.phix = FALSE, compress = FALSE, multithread = CPUS). Error models were learned with learnErrors (nbases = 1e8, multithread = TRUE, randomize = TRUE, trimLeft = 15), and dereplicated reads were denoised with </w:t>
      </w:r>
      <w:r w:rsidR="00DD3C6E">
        <w:rPr>
          <w:rFonts w:ascii="Calibri" w:eastAsia="Calibri" w:hAnsi="Calibri" w:cs="Arial"/>
          <w:kern w:val="0"/>
          <w:sz w:val="22"/>
          <w:szCs w:val="22"/>
          <w:lang w:val="en-US"/>
          <w14:ligatures w14:val="none"/>
        </w:rPr>
        <w:t>dada2</w:t>
      </w:r>
      <w:r w:rsidRPr="00422086">
        <w:rPr>
          <w:rFonts w:ascii="Calibri" w:eastAsia="Calibri" w:hAnsi="Calibri" w:cs="Arial"/>
          <w:kern w:val="0"/>
          <w:sz w:val="22"/>
          <w:szCs w:val="22"/>
          <w:lang w:val="en-US"/>
          <w14:ligatures w14:val="none"/>
        </w:rPr>
        <w:t xml:space="preserve"> using HOMOPOLYMER_GAP_PENALTY = –1 and BAND_SIZE = 32 to address homopolymer-associated indel errors. Chimeras were removed with removeBimeraDenovo (method = “consensus”, multithread = TRUE).</w:t>
      </w:r>
    </w:p>
    <w:p w14:paraId="274F7A8A" w14:textId="4181407C" w:rsidR="00422086" w:rsidRPr="00422086" w:rsidRDefault="00422086" w:rsidP="00422086">
      <w:pPr>
        <w:keepNext/>
        <w:keepLines/>
        <w:spacing w:before="40" w:after="0" w:line="259" w:lineRule="auto"/>
        <w:outlineLvl w:val="2"/>
        <w:rPr>
          <w:rFonts w:ascii="Calibri Light" w:eastAsia="Yu Gothic Light" w:hAnsi="Calibri Light" w:cs="Times New Roman"/>
          <w:color w:val="1F3763"/>
          <w:kern w:val="0"/>
          <w:lang w:val="en-US"/>
          <w14:ligatures w14:val="none"/>
        </w:rPr>
      </w:pPr>
      <w:r w:rsidRPr="00422086">
        <w:rPr>
          <w:rFonts w:ascii="Calibri Light" w:eastAsia="Yu Gothic Light" w:hAnsi="Calibri Light" w:cs="Times New Roman"/>
          <w:color w:val="1F3763"/>
          <w:kern w:val="0"/>
          <w:lang w:val="en-US"/>
          <w14:ligatures w14:val="none"/>
        </w:rPr>
        <w:t xml:space="preserve">S3.3 </w:t>
      </w:r>
      <w:r w:rsidR="00DD3C6E">
        <w:rPr>
          <w:rFonts w:ascii="Calibri Light" w:eastAsia="Yu Gothic Light" w:hAnsi="Calibri Light" w:cs="Times New Roman"/>
          <w:color w:val="1F3763"/>
          <w:kern w:val="0"/>
          <w:lang w:val="en-US"/>
          <w14:ligatures w14:val="none"/>
        </w:rPr>
        <w:t>Dada2</w:t>
      </w:r>
      <w:r w:rsidRPr="00422086">
        <w:rPr>
          <w:rFonts w:ascii="Calibri Light" w:eastAsia="Yu Gothic Light" w:hAnsi="Calibri Light" w:cs="Times New Roman"/>
          <w:color w:val="1F3763"/>
          <w:kern w:val="0"/>
          <w:lang w:val="en-US"/>
          <w14:ligatures w14:val="none"/>
        </w:rPr>
        <w:t>2 for Illumina</w:t>
      </w:r>
    </w:p>
    <w:p w14:paraId="2F1CCDFC" w14:textId="42726288" w:rsidR="00422086" w:rsidRPr="00422086" w:rsidRDefault="00422086" w:rsidP="00422086">
      <w:pPr>
        <w:spacing w:line="259" w:lineRule="auto"/>
        <w:rPr>
          <w:rFonts w:ascii="Calibri" w:eastAsia="Calibri" w:hAnsi="Calibri" w:cs="Arial"/>
          <w:kern w:val="0"/>
          <w:sz w:val="22"/>
          <w:szCs w:val="22"/>
          <w:lang w:val="en-US"/>
          <w14:ligatures w14:val="none"/>
        </w:rPr>
      </w:pPr>
      <w:r w:rsidRPr="00422086">
        <w:rPr>
          <w:rFonts w:ascii="Calibri" w:eastAsia="Calibri" w:hAnsi="Calibri" w:cs="Arial"/>
          <w:kern w:val="0"/>
          <w:sz w:val="22"/>
          <w:szCs w:val="22"/>
          <w:lang w:val="en-US"/>
          <w14:ligatures w14:val="none"/>
        </w:rPr>
        <w:t>For Illumina paired-end reads, quality profiles were inspected and reads were filtered with filterAndTrim (maxN = 0, maxEE = c(2,2), truncQ = 2, minLen = 50, rm.phix = TRUE, compress = TRUE, multithread = TRUE). Forward and reverse error models were estimated with learnErrors using a custom loess-based fitting function (loessErrfun), which fits loess on log10-transformed substitution error rates versus quality score (weights = log10(total observations), degree = 1, span = 0.95), enforces bounds (1e-7 to 0.25) and monotonicity, and reconstructs the full substitution matrix (see https://github.com/benjjneb/</w:t>
      </w:r>
      <w:r w:rsidR="00DD3C6E">
        <w:rPr>
          <w:rFonts w:ascii="Calibri" w:eastAsia="Calibri" w:hAnsi="Calibri" w:cs="Arial"/>
          <w:kern w:val="0"/>
          <w:sz w:val="22"/>
          <w:szCs w:val="22"/>
          <w:lang w:val="en-US"/>
          <w14:ligatures w14:val="none"/>
        </w:rPr>
        <w:t>dada2</w:t>
      </w:r>
      <w:r w:rsidRPr="00422086">
        <w:rPr>
          <w:rFonts w:ascii="Calibri" w:eastAsia="Calibri" w:hAnsi="Calibri" w:cs="Arial"/>
          <w:kern w:val="0"/>
          <w:sz w:val="22"/>
          <w:szCs w:val="22"/>
          <w:lang w:val="en-US"/>
          <w14:ligatures w14:val="none"/>
        </w:rPr>
        <w:t xml:space="preserve">2/issues/1307). Dereplicated reads were denoised with </w:t>
      </w:r>
      <w:r w:rsidR="00DD3C6E">
        <w:rPr>
          <w:rFonts w:ascii="Calibri" w:eastAsia="Calibri" w:hAnsi="Calibri" w:cs="Arial"/>
          <w:kern w:val="0"/>
          <w:sz w:val="22"/>
          <w:szCs w:val="22"/>
          <w:lang w:val="en-US"/>
          <w14:ligatures w14:val="none"/>
        </w:rPr>
        <w:t>dada2</w:t>
      </w:r>
      <w:r w:rsidRPr="00422086">
        <w:rPr>
          <w:rFonts w:ascii="Calibri" w:eastAsia="Calibri" w:hAnsi="Calibri" w:cs="Arial"/>
          <w:kern w:val="0"/>
          <w:sz w:val="22"/>
          <w:szCs w:val="22"/>
          <w:lang w:val="en-US"/>
          <w14:ligatures w14:val="none"/>
        </w:rPr>
        <w:t xml:space="preserve"> in pseudo-pooling mode (pool = “pseudo”, multithread = TRUE). Paired reads were merged with mergePairs (trimOverhang = TRUE), sequence tables were built with makeSequenceTable, and chimeras were removed with removeBimeraDenovo (method = “consensus”, multithread = TRUE).</w:t>
      </w:r>
    </w:p>
    <w:p w14:paraId="7F170BD1" w14:textId="77777777" w:rsidR="00422086" w:rsidRPr="00422086" w:rsidRDefault="00422086" w:rsidP="00422086">
      <w:pPr>
        <w:keepNext/>
        <w:keepLines/>
        <w:spacing w:before="40" w:after="0" w:line="259" w:lineRule="auto"/>
        <w:outlineLvl w:val="2"/>
        <w:rPr>
          <w:rFonts w:ascii="Calibri Light" w:eastAsia="Yu Gothic Light" w:hAnsi="Calibri Light" w:cs="Times New Roman"/>
          <w:color w:val="1F3763"/>
          <w:kern w:val="0"/>
          <w:lang w:val="en-US"/>
          <w14:ligatures w14:val="none"/>
        </w:rPr>
      </w:pPr>
      <w:r w:rsidRPr="00422086">
        <w:rPr>
          <w:rFonts w:ascii="Calibri Light" w:eastAsia="Yu Gothic Light" w:hAnsi="Calibri Light" w:cs="Times New Roman"/>
          <w:color w:val="1F3763"/>
          <w:kern w:val="0"/>
          <w:lang w:val="en-US"/>
          <w14:ligatures w14:val="none"/>
        </w:rPr>
        <w:t>S3.4 Merging dataset and assigning taxonomy</w:t>
      </w:r>
    </w:p>
    <w:p w14:paraId="322D57DF" w14:textId="7124F462" w:rsidR="00422086" w:rsidRPr="00422086" w:rsidRDefault="00422086" w:rsidP="00422086">
      <w:pPr>
        <w:spacing w:line="259" w:lineRule="auto"/>
        <w:rPr>
          <w:rFonts w:ascii="Calibri" w:eastAsia="Calibri" w:hAnsi="Calibri" w:cs="Arial"/>
          <w:kern w:val="0"/>
          <w:sz w:val="22"/>
          <w:szCs w:val="22"/>
          <w:lang w:val="en-US"/>
          <w14:ligatures w14:val="none"/>
        </w:rPr>
      </w:pPr>
      <w:r w:rsidRPr="00422086">
        <w:rPr>
          <w:rFonts w:ascii="Calibri" w:eastAsia="Calibri" w:hAnsi="Calibri" w:cs="Arial"/>
          <w:kern w:val="0"/>
          <w:sz w:val="22"/>
          <w:szCs w:val="22"/>
          <w:lang w:val="en-US"/>
          <w14:ligatures w14:val="none"/>
        </w:rPr>
        <w:t xml:space="preserve">Per-sample </w:t>
      </w:r>
      <w:commentRangeStart w:id="1"/>
      <w:r w:rsidRPr="00422086">
        <w:rPr>
          <w:rFonts w:ascii="Calibri" w:eastAsia="Calibri" w:hAnsi="Calibri" w:cs="Arial"/>
          <w:kern w:val="0"/>
          <w:sz w:val="22"/>
          <w:szCs w:val="22"/>
          <w:lang w:val="en-US"/>
          <w14:ligatures w14:val="none"/>
        </w:rPr>
        <w:t xml:space="preserve">ASV </w:t>
      </w:r>
      <w:commentRangeEnd w:id="1"/>
      <w:r w:rsidR="009B5A93" w:rsidRPr="00422086">
        <w:rPr>
          <w:rStyle w:val="Merknadsreferanse"/>
          <w:rFonts w:ascii="Calibri" w:eastAsia="Calibri" w:hAnsi="Calibri" w:cs="Arial"/>
          <w:kern w:val="0"/>
          <w:sz w:val="22"/>
          <w:szCs w:val="22"/>
          <w:lang w:val="en-US"/>
          <w14:ligatures w14:val="none"/>
        </w:rPr>
        <w:commentReference w:id="1"/>
      </w:r>
      <w:r w:rsidRPr="00422086">
        <w:rPr>
          <w:rFonts w:ascii="Calibri" w:eastAsia="Calibri" w:hAnsi="Calibri" w:cs="Arial"/>
          <w:kern w:val="0"/>
          <w:sz w:val="22"/>
          <w:szCs w:val="22"/>
          <w:lang w:val="en-US"/>
          <w14:ligatures w14:val="none"/>
        </w:rPr>
        <w:t xml:space="preserve">tables retaining size information were exported from both datasets. Identical sequences were clustered across datasets with VSEARCH cluster_size (--id 1.00) v 2.25.0; </w:t>
      </w:r>
      <w:r w:rsidRPr="00422086">
        <w:rPr>
          <w:rFonts w:ascii="Calibri" w:eastAsia="Calibri" w:hAnsi="Calibri" w:cs="Arial"/>
          <w:kern w:val="0"/>
          <w:sz w:val="22"/>
          <w:szCs w:val="22"/>
          <w:lang w:val="en-US"/>
          <w14:ligatures w14:val="none"/>
        </w:rPr>
        <w:fldChar w:fldCharType="begin"/>
      </w:r>
      <w:r w:rsidR="006470F1">
        <w:rPr>
          <w:rFonts w:ascii="Calibri" w:eastAsia="Calibri" w:hAnsi="Calibri" w:cs="Arial"/>
          <w:kern w:val="0"/>
          <w:sz w:val="22"/>
          <w:szCs w:val="22"/>
          <w:lang w:val="en-US"/>
          <w14:ligatures w14:val="none"/>
        </w:rPr>
        <w:instrText xml:space="preserve"> ADDIN ZOTERO_ITEM CSL_CITATION {"citationID":"KrD4y5pv","properties":{"formattedCitation":"[6]","plainCitation":"[6]","noteIndex":0},"citationItems":[{"id":241,"uris":["http://zotero.org/users/14894062/items/IL738469"],"itemData":{"id":241,"type":"article-journal","abstract":"Background\n              VSEARCH is an open source and free of charge multithreaded 64-bit tool for processing and preparing metagenomics, genomics and population genomics nucleotide sequence data. It is designed as an alternative to the widely used USEARCH tool (Edgar, 2010) for which the source code is not publicly available, algorithm details are only rudimentarily described, and only a memory-confined 32-bit version is freely available for academic use.\n            \n            \n              Methods\n              When searching nucleotide sequences, VSEARCH uses a fast heuristic based on words shared by the query and target sequences in order to quickly identify similar sequences, a similar strategy is probably used in USEARCH. VSEARCH then performs optimal global sequence alignment of the query against potential target sequences, using full dynamic programming instead of the seed-and-extend heuristic used by USEARCH. Pairwise alignments are computed in parallel using vectorisation and multiple threads.\n            \n            \n              Results\n              \n                VSEARCH includes most commands for analysing nucleotide sequences available in USEARCH version 7 and several of those available in USEARCH version 8, including searching (exact or based on global alignment), clustering by similarity (using length pre-sorting, abundance pre-sorting or a user-defined order), chimera detection (reference-based or\n                de novo\n                ), dereplication (full length or prefix), pairwise alignment, reverse complementation, sorting, and subsampling. VSEARCH also includes commands for FASTQ file processing, i.e., format detection, filtering, read quality statistics, and merging of paired reads. Furthermore, VSEARCH extends functionality with several new commands and improvements, including shuffling, rereplication, masking of low-complexity sequences with the well-known DUST algorithm, a choice among different similarity definitions, and FASTQ file format conversion. VSEARCH is here shown to be more accurate than USEARCH when performing searching, clustering, chimera detection and subsampling, while on a par with USEARCH for paired-ends read merging. VSEARCH is slower than USEARCH when performing clustering and chimera detection, but significantly faster when performing paired-end reads merging and dereplication. VSEARCH is available at\n                https://github.com/torognes/vsearch\n                under either the BSD 2-clause license or the GNU General Public License version 3.0.\n              \n            \n            \n              Discussion\n              VSEARCH has been shown to be a fast, accurate and full-fledged alternative to USEARCH. A free and open-source versatile tool for sequence analysis is now available to the metagenomics community.","container-title":"PeerJ","DOI":"10.7717/peerj.2584","ISSN":"2167-8359","language":"en","license":"http://creativecommons.org/licenses/by/4.0/","page":"e2584","source":"DOI.org (Crossref)","title":"VSEARCH: a versatile open source tool for metagenomics","title-short":"VSEARCH","volume":"4","author":[{"family":"Rognes","given":"Torbjørn"},{"family":"Flouri","given":"Tomáš"},{"family":"Nichols","given":"Ben"},{"family":"Quince","given":"Christopher"},{"family":"Mahé","given":"Frédéric"}],"issued":{"date-parts":[["2016",10,18]]}}}],"schema":"https://github.com/citation-style-language/schema/raw/master/csl-citation.json"} </w:instrText>
      </w:r>
      <w:r w:rsidRPr="00422086">
        <w:rPr>
          <w:rFonts w:ascii="Calibri" w:eastAsia="Calibri" w:hAnsi="Calibri" w:cs="Arial"/>
          <w:kern w:val="0"/>
          <w:sz w:val="22"/>
          <w:szCs w:val="22"/>
          <w:lang w:val="en-US"/>
          <w14:ligatures w14:val="none"/>
        </w:rPr>
        <w:fldChar w:fldCharType="separate"/>
      </w:r>
      <w:r w:rsidR="006470F1" w:rsidRPr="006470F1">
        <w:rPr>
          <w:rFonts w:ascii="Aptos" w:hAnsi="Aptos"/>
          <w:sz w:val="22"/>
        </w:rPr>
        <w:t>[6]</w:t>
      </w:r>
      <w:r w:rsidRPr="00422086">
        <w:rPr>
          <w:rFonts w:ascii="Calibri" w:eastAsia="Calibri" w:hAnsi="Calibri" w:cs="Arial"/>
          <w:kern w:val="0"/>
          <w:sz w:val="22"/>
          <w:szCs w:val="22"/>
          <w:lang w:val="en-US"/>
          <w14:ligatures w14:val="none"/>
        </w:rPr>
        <w:fldChar w:fldCharType="end"/>
      </w:r>
      <w:r w:rsidRPr="00422086">
        <w:rPr>
          <w:rFonts w:ascii="Calibri" w:eastAsia="Calibri" w:hAnsi="Calibri" w:cs="Arial"/>
          <w:kern w:val="0"/>
          <w:sz w:val="22"/>
          <w:szCs w:val="22"/>
          <w:lang w:val="en-US"/>
          <w14:ligatures w14:val="none"/>
        </w:rPr>
        <w:t xml:space="preserve"> and chimeras were further screened with VSEARCH chimera_denovo. Per-sample reads were mapped back to centroid sequences using the retained size data to build a combined OTU/centroid abundance matrix. Taxonomy was assigned with assignTaxonomy using the SILVA reference set silva_nr99_v138.2 </w:t>
      </w:r>
      <w:r w:rsidRPr="00422086">
        <w:rPr>
          <w:rFonts w:ascii="Calibri" w:eastAsia="Calibri" w:hAnsi="Calibri" w:cs="Arial"/>
          <w:kern w:val="0"/>
          <w:sz w:val="22"/>
          <w:szCs w:val="22"/>
          <w:lang w:val="en-US"/>
          <w14:ligatures w14:val="none"/>
        </w:rPr>
        <w:fldChar w:fldCharType="begin"/>
      </w:r>
      <w:r w:rsidR="006470F1">
        <w:rPr>
          <w:rFonts w:ascii="Calibri" w:eastAsia="Calibri" w:hAnsi="Calibri" w:cs="Arial"/>
          <w:kern w:val="0"/>
          <w:sz w:val="22"/>
          <w:szCs w:val="22"/>
          <w:lang w:val="en-US"/>
          <w14:ligatures w14:val="none"/>
        </w:rPr>
        <w:instrText xml:space="preserve"> ADDIN ZOTERO_ITEM CSL_CITATION {"citationID":"41LW3xkd","properties":{"unsorted":false,"formattedCitation":"[7]","plainCitation":"[7]","noteIndex":0},"citationItems":[{"id":286,"uris":["http://zotero.org/users/14894062/items/I8XXAQGG"],"itemData":{"id":286,"type":"article-journal","container-title":"Nucleic Acids Research","DOI":"10.1093/nar/gks1219","ISSN":"0305-1048, 1362-4962","issue":"D1","language":"en","license":"http://creativecommons.org/licenses/by-nc/3.0","page":"D590-D596","source":"DOI.org (Crossref)","title":"The SILVA ribosomal RNA gene database project: improved data processing and web-based tools","title-short":"The SILVA ribosomal RNA gene database project","volume":"41","author":[{"family":"Quast","given":"Christian"},{"family":"Pruesse","given":"Elmar"},{"family":"Yilmaz","given":"Pelin"},{"family":"Gerken","given":"Jan"},{"family":"Schweer","given":"Timmy"},{"family":"Yarza","given":"Pablo"},{"family":"Peplies","given":"Jörg"},{"family":"Glöckner","given":"Frank Oliver"}],"issued":{"date-parts":[["2012",11,27]]}}}],"schema":"https://github.com/citation-style-language/schema/raw/master/csl-citation.json"} </w:instrText>
      </w:r>
      <w:r w:rsidRPr="00422086">
        <w:rPr>
          <w:rFonts w:ascii="Calibri" w:eastAsia="Calibri" w:hAnsi="Calibri" w:cs="Arial"/>
          <w:kern w:val="0"/>
          <w:sz w:val="22"/>
          <w:szCs w:val="22"/>
          <w:lang w:val="en-US"/>
          <w14:ligatures w14:val="none"/>
        </w:rPr>
        <w:fldChar w:fldCharType="separate"/>
      </w:r>
      <w:r w:rsidR="006470F1" w:rsidRPr="006470F1">
        <w:rPr>
          <w:rFonts w:ascii="Aptos" w:hAnsi="Aptos"/>
          <w:sz w:val="22"/>
          <w:lang w:val="en-US"/>
        </w:rPr>
        <w:t>[7]</w:t>
      </w:r>
      <w:r w:rsidRPr="00422086">
        <w:rPr>
          <w:rFonts w:ascii="Calibri" w:eastAsia="Calibri" w:hAnsi="Calibri" w:cs="Arial"/>
          <w:kern w:val="0"/>
          <w:sz w:val="22"/>
          <w:szCs w:val="22"/>
          <w:lang w:val="en-US"/>
          <w14:ligatures w14:val="none"/>
        </w:rPr>
        <w:fldChar w:fldCharType="end"/>
      </w:r>
      <w:r w:rsidRPr="00422086">
        <w:rPr>
          <w:rFonts w:ascii="Calibri" w:eastAsia="Calibri" w:hAnsi="Calibri" w:cs="Arial"/>
          <w:kern w:val="0"/>
          <w:sz w:val="22"/>
          <w:szCs w:val="22"/>
          <w:lang w:val="en-US"/>
          <w14:ligatures w14:val="none"/>
        </w:rPr>
        <w:t xml:space="preserve">. The OTU table and taxonomy were merged with metadata in Phyloseq </w:t>
      </w:r>
      <w:r w:rsidRPr="00422086">
        <w:rPr>
          <w:rFonts w:ascii="Calibri" w:eastAsia="Calibri" w:hAnsi="Calibri" w:cs="Arial"/>
          <w:kern w:val="0"/>
          <w:sz w:val="22"/>
          <w:szCs w:val="22"/>
          <w:lang w:val="en-US"/>
          <w14:ligatures w14:val="none"/>
        </w:rPr>
        <w:fldChar w:fldCharType="begin"/>
      </w:r>
      <w:r w:rsidR="006470F1">
        <w:rPr>
          <w:rFonts w:ascii="Calibri" w:eastAsia="Calibri" w:hAnsi="Calibri" w:cs="Arial"/>
          <w:kern w:val="0"/>
          <w:sz w:val="22"/>
          <w:szCs w:val="22"/>
          <w:lang w:val="en-US"/>
          <w14:ligatures w14:val="none"/>
        </w:rPr>
        <w:instrText xml:space="preserve"> ADDIN ZOTERO_ITEM CSL_CITATION {"citationID":"KGaAXoTW","properties":{"formattedCitation":"[8]","plainCitation":"[8]","noteIndex":0},"citationItems":[{"id":239,"uris":["http://zotero.org/users/14894062/items/7YLRDPL4"],"itemData":{"id":239,"type":"article-journal","container-title":"PLoS ONE","DOI":"10.1371/journal.pone.0061217","ISSN":"1932-6203","issue":"4","journalAbbreviation":"PLoS ONE","language":"en","page":"e61217","source":"DOI.org (Crossref)","title":"phyloseq: An R Package for Reproducible Interactive Analysis and Graphics of Microbiome Census Data","title-short":"phyloseq","volume":"8","author":[{"family":"McMurdie","given":"Paul J."},{"family":"Holmes","given":"Susan"}],"editor":[{"family":"Watson","given":"Michael"}],"issued":{"date-parts":[["2013",4,22]]}}}],"schema":"https://github.com/citation-style-language/schema/raw/master/csl-citation.json"} </w:instrText>
      </w:r>
      <w:r w:rsidRPr="00422086">
        <w:rPr>
          <w:rFonts w:ascii="Calibri" w:eastAsia="Calibri" w:hAnsi="Calibri" w:cs="Arial"/>
          <w:kern w:val="0"/>
          <w:sz w:val="22"/>
          <w:szCs w:val="22"/>
          <w:lang w:val="en-US"/>
          <w14:ligatures w14:val="none"/>
        </w:rPr>
        <w:fldChar w:fldCharType="separate"/>
      </w:r>
      <w:r w:rsidR="006470F1" w:rsidRPr="006470F1">
        <w:rPr>
          <w:rFonts w:ascii="Aptos" w:hAnsi="Aptos"/>
          <w:sz w:val="22"/>
          <w:lang w:val="en-US"/>
        </w:rPr>
        <w:t>[8]</w:t>
      </w:r>
      <w:r w:rsidRPr="00422086">
        <w:rPr>
          <w:rFonts w:ascii="Calibri" w:eastAsia="Calibri" w:hAnsi="Calibri" w:cs="Arial"/>
          <w:kern w:val="0"/>
          <w:sz w:val="22"/>
          <w:szCs w:val="22"/>
          <w:lang w:val="en-US"/>
          <w14:ligatures w14:val="none"/>
        </w:rPr>
        <w:fldChar w:fldCharType="end"/>
      </w:r>
      <w:r w:rsidRPr="00422086">
        <w:rPr>
          <w:rFonts w:ascii="Calibri" w:eastAsia="Calibri" w:hAnsi="Calibri" w:cs="Arial"/>
          <w:kern w:val="0"/>
          <w:sz w:val="22"/>
          <w:szCs w:val="22"/>
          <w:lang w:val="en-US"/>
          <w14:ligatures w14:val="none"/>
        </w:rPr>
        <w:t xml:space="preserve">. </w:t>
      </w:r>
    </w:p>
    <w:p w14:paraId="1090E519" w14:textId="77777777" w:rsidR="00422086" w:rsidRPr="00422086" w:rsidRDefault="00422086" w:rsidP="00422086">
      <w:pPr>
        <w:keepNext/>
        <w:keepLines/>
        <w:spacing w:before="40" w:after="0" w:line="259" w:lineRule="auto"/>
        <w:outlineLvl w:val="2"/>
        <w:rPr>
          <w:rFonts w:ascii="Calibri Light" w:eastAsia="Yu Gothic Light" w:hAnsi="Calibri Light" w:cs="Times New Roman"/>
          <w:color w:val="1F3763"/>
          <w:kern w:val="0"/>
          <w:lang w:val="en-US"/>
          <w14:ligatures w14:val="none"/>
        </w:rPr>
      </w:pPr>
      <w:r w:rsidRPr="00422086">
        <w:rPr>
          <w:rFonts w:ascii="Calibri Light" w:eastAsia="Yu Gothic Light" w:hAnsi="Calibri Light" w:cs="Times New Roman"/>
          <w:color w:val="1F3763"/>
          <w:kern w:val="0"/>
          <w:lang w:val="en-US"/>
          <w14:ligatures w14:val="none"/>
        </w:rPr>
        <w:t>S3.5 Statistical modelling in R</w:t>
      </w:r>
    </w:p>
    <w:p w14:paraId="21B1B6D1" w14:textId="28374584" w:rsidR="00422086" w:rsidRPr="00422086" w:rsidRDefault="00422086" w:rsidP="00422086">
      <w:pPr>
        <w:spacing w:line="259" w:lineRule="auto"/>
        <w:rPr>
          <w:rFonts w:ascii="Calibri" w:eastAsia="Calibri" w:hAnsi="Calibri" w:cs="Arial"/>
          <w:kern w:val="0"/>
          <w:sz w:val="22"/>
          <w:szCs w:val="22"/>
          <w:lang w:val="en-US"/>
          <w14:ligatures w14:val="none"/>
        </w:rPr>
      </w:pPr>
      <w:r w:rsidRPr="00422086">
        <w:rPr>
          <w:rFonts w:ascii="Calibri" w:eastAsia="Calibri" w:hAnsi="Calibri" w:cs="Arial"/>
          <w:kern w:val="0"/>
          <w:sz w:val="22"/>
          <w:szCs w:val="22"/>
          <w:lang w:val="en-US"/>
          <w14:ligatures w14:val="none"/>
        </w:rPr>
        <w:t xml:space="preserve">All analyses were conducted in R (v4.2.2) using phyloseq </w:t>
      </w:r>
      <w:r w:rsidRPr="00422086">
        <w:rPr>
          <w:rFonts w:ascii="Calibri" w:eastAsia="Calibri" w:hAnsi="Calibri" w:cs="Arial"/>
          <w:kern w:val="0"/>
          <w:sz w:val="22"/>
          <w:szCs w:val="22"/>
          <w:lang w:val="en-US"/>
          <w14:ligatures w14:val="none"/>
        </w:rPr>
        <w:fldChar w:fldCharType="begin"/>
      </w:r>
      <w:r w:rsidR="006470F1">
        <w:rPr>
          <w:rFonts w:ascii="Calibri" w:eastAsia="Calibri" w:hAnsi="Calibri" w:cs="Arial"/>
          <w:kern w:val="0"/>
          <w:sz w:val="22"/>
          <w:szCs w:val="22"/>
          <w:lang w:val="en-US"/>
          <w14:ligatures w14:val="none"/>
        </w:rPr>
        <w:instrText xml:space="preserve"> ADDIN ZOTERO_ITEM CSL_CITATION {"citationID":"dYD6HH6Z","properties":{"unsorted":false,"formattedCitation":"[8]","plainCitation":"[8]","noteIndex":0},"citationItems":[{"id":239,"uris":["http://zotero.org/users/14894062/items/7YLRDPL4"],"itemData":{"id":239,"type":"article-journal","container-title":"PLoS ONE","DOI":"10.1371/journal.pone.0061217","ISSN":"1932-6203","issue":"4","journalAbbreviation":"PLoS ONE","language":"en","page":"e61217","source":"DOI.org (Crossref)","title":"phyloseq: An R Package for Reproducible Interactive Analysis and Graphics of Microbiome Census Data","title-short":"phyloseq","volume":"8","author":[{"family":"McMurdie","given":"Paul J."},{"family":"Holmes","given":"Susan"}],"editor":[{"family":"Watson","given":"Michael"}],"issued":{"date-parts":[["2013",4,22]]}}}],"schema":"https://github.com/citation-style-language/schema/raw/master/csl-citation.json"} </w:instrText>
      </w:r>
      <w:r w:rsidRPr="00422086">
        <w:rPr>
          <w:rFonts w:ascii="Calibri" w:eastAsia="Calibri" w:hAnsi="Calibri" w:cs="Arial"/>
          <w:kern w:val="0"/>
          <w:sz w:val="22"/>
          <w:szCs w:val="22"/>
          <w:lang w:val="en-US"/>
          <w14:ligatures w14:val="none"/>
        </w:rPr>
        <w:fldChar w:fldCharType="separate"/>
      </w:r>
      <w:r w:rsidR="006470F1" w:rsidRPr="006470F1">
        <w:rPr>
          <w:rFonts w:ascii="Aptos" w:hAnsi="Aptos"/>
          <w:sz w:val="22"/>
          <w:lang w:val="en-US"/>
        </w:rPr>
        <w:t>[8]</w:t>
      </w:r>
      <w:r w:rsidRPr="00422086">
        <w:rPr>
          <w:rFonts w:ascii="Calibri" w:eastAsia="Calibri" w:hAnsi="Calibri" w:cs="Arial"/>
          <w:kern w:val="0"/>
          <w:sz w:val="22"/>
          <w:szCs w:val="22"/>
          <w:lang w:val="en-US"/>
          <w14:ligatures w14:val="none"/>
        </w:rPr>
        <w:fldChar w:fldCharType="end"/>
      </w:r>
      <w:r w:rsidRPr="00422086">
        <w:rPr>
          <w:rFonts w:ascii="Calibri" w:eastAsia="Calibri" w:hAnsi="Calibri" w:cs="Arial"/>
          <w:kern w:val="0"/>
          <w:sz w:val="22"/>
          <w:szCs w:val="22"/>
          <w:lang w:val="en-US"/>
          <w14:ligatures w14:val="none"/>
        </w:rPr>
        <w:t xml:space="preserve"> for data handling and ordination, vegan </w:t>
      </w:r>
      <w:r w:rsidRPr="00422086">
        <w:rPr>
          <w:rFonts w:ascii="Calibri" w:eastAsia="Calibri" w:hAnsi="Calibri" w:cs="Arial"/>
          <w:kern w:val="0"/>
          <w:sz w:val="22"/>
          <w:szCs w:val="22"/>
          <w:lang w:val="en-US"/>
          <w14:ligatures w14:val="none"/>
        </w:rPr>
        <w:fldChar w:fldCharType="begin"/>
      </w:r>
      <w:r w:rsidR="006470F1">
        <w:rPr>
          <w:rFonts w:ascii="Calibri" w:eastAsia="Calibri" w:hAnsi="Calibri" w:cs="Arial"/>
          <w:kern w:val="0"/>
          <w:sz w:val="22"/>
          <w:szCs w:val="22"/>
          <w:lang w:val="en-US"/>
          <w14:ligatures w14:val="none"/>
        </w:rPr>
        <w:instrText xml:space="preserve"> ADDIN ZOTERO_ITEM CSL_CITATION {"citationID":"SKrYnMa8","properties":{"unsorted":false,"formattedCitation":"[9]","plainCitation":"[9]","noteIndex":0},"citationItems":[{"id":263,"uris":["http://zotero.org/users/14894062/items/7GLEC739"],"itemData":{"id":263,"type":"article-journal","abstract":"Abstract.\n              VEGAN adds vegetation analysis functions to the general‐purpose statistical program R. Both R and VEGAN can be downloaded for free. VEGAN implements several ordination methods, including Canonical Correspondence Analysis and Non‐metric Multidimensional Scaling, vector fitting of environmental variables, randomization tests, and various other analyses of vegetation data. It can be used for large data. Graphical output can be customized using the R language's extensive graphics capabilities. VEGAN is appropriate for routine and research use, if you are willing to learn some R.","container-title":"Journal of Vegetation Science","DOI":"10.1111/j.1654-1103.2003.tb02228.x","ISSN":"1100-9233, 1654-1103","issue":"6","journalAbbreviation":"J Vegetation Science","language":"en","license":"http://onlinelibrary.wiley.com/termsAndConditions#vor","page":"927-930","source":"DOI.org (Crossref)","title":"VEGAN, a package of R functions for community ecology","volume":"14","author":[{"family":"Dixon","given":"Philip"}],"issued":{"date-parts":[["2003",12]]}}}],"schema":"https://github.com/citation-style-language/schema/raw/master/csl-citation.json"} </w:instrText>
      </w:r>
      <w:r w:rsidRPr="00422086">
        <w:rPr>
          <w:rFonts w:ascii="Calibri" w:eastAsia="Calibri" w:hAnsi="Calibri" w:cs="Arial"/>
          <w:kern w:val="0"/>
          <w:sz w:val="22"/>
          <w:szCs w:val="22"/>
          <w:lang w:val="en-US"/>
          <w14:ligatures w14:val="none"/>
        </w:rPr>
        <w:fldChar w:fldCharType="separate"/>
      </w:r>
      <w:r w:rsidR="006470F1" w:rsidRPr="006470F1">
        <w:rPr>
          <w:rFonts w:ascii="Aptos" w:hAnsi="Aptos"/>
          <w:sz w:val="22"/>
          <w:lang w:val="en-US"/>
        </w:rPr>
        <w:t>[9]</w:t>
      </w:r>
      <w:r w:rsidRPr="00422086">
        <w:rPr>
          <w:rFonts w:ascii="Calibri" w:eastAsia="Calibri" w:hAnsi="Calibri" w:cs="Arial"/>
          <w:kern w:val="0"/>
          <w:sz w:val="22"/>
          <w:szCs w:val="22"/>
          <w:lang w:val="en-US"/>
          <w14:ligatures w14:val="none"/>
        </w:rPr>
        <w:fldChar w:fldCharType="end"/>
      </w:r>
      <w:r w:rsidRPr="00422086">
        <w:rPr>
          <w:rFonts w:ascii="Calibri" w:eastAsia="Calibri" w:hAnsi="Calibri" w:cs="Arial"/>
          <w:kern w:val="0"/>
          <w:sz w:val="22"/>
          <w:szCs w:val="22"/>
          <w:lang w:val="en-US"/>
          <w14:ligatures w14:val="none"/>
        </w:rPr>
        <w:t xml:space="preserve"> for multivariate tests, ggplot2</w:t>
      </w:r>
      <w:r w:rsidRPr="00422086">
        <w:rPr>
          <w:rFonts w:ascii="Calibri" w:eastAsia="Calibri" w:hAnsi="Calibri" w:cs="Arial"/>
          <w:kern w:val="0"/>
          <w:sz w:val="22"/>
          <w:szCs w:val="22"/>
          <w:lang w:val="en-US"/>
          <w14:ligatures w14:val="none"/>
        </w:rPr>
        <w:fldChar w:fldCharType="begin"/>
      </w:r>
      <w:r w:rsidR="006470F1">
        <w:rPr>
          <w:rFonts w:ascii="Calibri" w:eastAsia="Calibri" w:hAnsi="Calibri" w:cs="Arial"/>
          <w:kern w:val="0"/>
          <w:sz w:val="22"/>
          <w:szCs w:val="22"/>
          <w:lang w:val="en-US"/>
          <w14:ligatures w14:val="none"/>
        </w:rPr>
        <w:instrText xml:space="preserve"> ADDIN ZOTERO_ITEM CSL_CITATION {"citationID":"77nebYHN","properties":{"unsorted":false,"formattedCitation":"[10]","plainCitation":"[10]","noteIndex":0},"citationItems":[{"id":271,"uris":["http://zotero.org/users/14894062/items/2CW6FV5Z"],"itemData":{"id":271,"type":"book","DOI":"10.1007/978-0-387-98141-3","ISBN":"978-0-387-98140-6","language":"en","license":"https://www.springernature.com/gp/researchers/text-and-data-mining","publisher":"Springer New York","publisher-place":"New York, NY","source":"DOI.org (Crossref)","title":"ggplot2: Elegant Graphics for Data Analysis","title-short":"ggplot2","URL":"https://link.springer.com/10.1007/978-0-387-98141-3","author":[{"family":"Wickham","given":"Hadley"}],"accessed":{"date-parts":[["2026",2,20]]},"issued":{"date-parts":[["2009"]]}}}],"schema":"https://github.com/citation-style-language/schema/raw/master/csl-citation.json"} </w:instrText>
      </w:r>
      <w:r w:rsidRPr="00422086">
        <w:rPr>
          <w:rFonts w:ascii="Calibri" w:eastAsia="Calibri" w:hAnsi="Calibri" w:cs="Arial"/>
          <w:kern w:val="0"/>
          <w:sz w:val="22"/>
          <w:szCs w:val="22"/>
          <w:lang w:val="en-US"/>
          <w14:ligatures w14:val="none"/>
        </w:rPr>
        <w:fldChar w:fldCharType="separate"/>
      </w:r>
      <w:r w:rsidR="006470F1" w:rsidRPr="006470F1">
        <w:rPr>
          <w:rFonts w:ascii="Aptos" w:hAnsi="Aptos"/>
          <w:sz w:val="22"/>
          <w:lang w:val="en-US"/>
        </w:rPr>
        <w:t>[10]</w:t>
      </w:r>
      <w:r w:rsidRPr="00422086">
        <w:rPr>
          <w:rFonts w:ascii="Calibri" w:eastAsia="Calibri" w:hAnsi="Calibri" w:cs="Arial"/>
          <w:kern w:val="0"/>
          <w:sz w:val="22"/>
          <w:szCs w:val="22"/>
          <w:lang w:val="en-US"/>
          <w14:ligatures w14:val="none"/>
        </w:rPr>
        <w:fldChar w:fldCharType="end"/>
      </w:r>
      <w:r w:rsidRPr="00422086">
        <w:rPr>
          <w:rFonts w:ascii="Calibri" w:eastAsia="Calibri" w:hAnsi="Calibri" w:cs="Arial"/>
          <w:kern w:val="0"/>
          <w:sz w:val="22"/>
          <w:szCs w:val="22"/>
          <w:lang w:val="en-US"/>
          <w14:ligatures w14:val="none"/>
        </w:rPr>
        <w:t xml:space="preserve"> for visualization, and dplyr </w:t>
      </w:r>
      <w:r w:rsidRPr="00422086">
        <w:rPr>
          <w:rFonts w:ascii="Calibri" w:eastAsia="Calibri" w:hAnsi="Calibri" w:cs="Arial"/>
          <w:kern w:val="0"/>
          <w:sz w:val="22"/>
          <w:szCs w:val="22"/>
          <w:lang w:val="en-US"/>
          <w14:ligatures w14:val="none"/>
        </w:rPr>
        <w:fldChar w:fldCharType="begin"/>
      </w:r>
      <w:r w:rsidR="006470F1">
        <w:rPr>
          <w:rFonts w:ascii="Calibri" w:eastAsia="Calibri" w:hAnsi="Calibri" w:cs="Arial"/>
          <w:kern w:val="0"/>
          <w:sz w:val="22"/>
          <w:szCs w:val="22"/>
          <w:lang w:val="en-US"/>
          <w14:ligatures w14:val="none"/>
        </w:rPr>
        <w:instrText xml:space="preserve"> ADDIN ZOTERO_ITEM CSL_CITATION {"citationID":"xEYjJ2AS","properties":{"unsorted":false,"formattedCitation":"[11]","plainCitation":"[11]","noteIndex":0},"citationItems":[{"id":283,"uris":["http://zotero.org/users/14894062/items/GHFBDDR5"],"itemData":{"id":283,"type":"dataset","abstract":"A fast, consistent tool for working with data frame like objects, both in memory and out of memory.","DOI":"10.32614/CRAN.package.dplyr","language":"en","note":"Institution: Comprehensive R Archive Network\npage: 1.2.0","source":"DOI.org (Crossref)","title":"dplyr: A Grammar of Data Manipulation","title-short":"dplyr","URL":"https://CRAN.R-project.org/package=dplyr","author":[{"family":"Wickham","given":"Hadley"},{"family":"François","given":"Romain"},{"family":"Henry","given":"Lionel"},{"family":"Müller","given":"Kirill"},{"family":"Vaughan","given":"Davis"}],"accessed":{"date-parts":[["2026",2,20]]},"issued":{"date-parts":[["2014",1,16]]}}}],"schema":"https://github.com/citation-style-language/schema/raw/master/csl-citation.json"} </w:instrText>
      </w:r>
      <w:r w:rsidRPr="00422086">
        <w:rPr>
          <w:rFonts w:ascii="Calibri" w:eastAsia="Calibri" w:hAnsi="Calibri" w:cs="Arial"/>
          <w:kern w:val="0"/>
          <w:sz w:val="22"/>
          <w:szCs w:val="22"/>
          <w:lang w:val="en-US"/>
          <w14:ligatures w14:val="none"/>
        </w:rPr>
        <w:fldChar w:fldCharType="separate"/>
      </w:r>
      <w:r w:rsidR="006470F1" w:rsidRPr="006470F1">
        <w:rPr>
          <w:rFonts w:ascii="Aptos" w:hAnsi="Aptos"/>
          <w:sz w:val="22"/>
          <w:lang w:val="en-US"/>
        </w:rPr>
        <w:t>[11]</w:t>
      </w:r>
      <w:r w:rsidRPr="00422086">
        <w:rPr>
          <w:rFonts w:ascii="Calibri" w:eastAsia="Calibri" w:hAnsi="Calibri" w:cs="Arial"/>
          <w:kern w:val="0"/>
          <w:sz w:val="22"/>
          <w:szCs w:val="22"/>
          <w:lang w:val="en-US"/>
          <w14:ligatures w14:val="none"/>
        </w:rPr>
        <w:fldChar w:fldCharType="end"/>
      </w:r>
      <w:r w:rsidRPr="00422086">
        <w:rPr>
          <w:rFonts w:ascii="Calibri" w:eastAsia="Calibri" w:hAnsi="Calibri" w:cs="Arial"/>
          <w:kern w:val="0"/>
          <w:sz w:val="22"/>
          <w:szCs w:val="22"/>
          <w:lang w:val="en-US"/>
          <w14:ligatures w14:val="none"/>
        </w:rPr>
        <w:t xml:space="preserve">, tidyr </w:t>
      </w:r>
      <w:r w:rsidRPr="00422086">
        <w:rPr>
          <w:rFonts w:ascii="Calibri" w:eastAsia="Calibri" w:hAnsi="Calibri" w:cs="Arial"/>
          <w:kern w:val="0"/>
          <w:sz w:val="22"/>
          <w:szCs w:val="22"/>
          <w:lang w:val="en-US"/>
          <w14:ligatures w14:val="none"/>
        </w:rPr>
        <w:fldChar w:fldCharType="begin"/>
      </w:r>
      <w:r w:rsidR="006470F1">
        <w:rPr>
          <w:rFonts w:ascii="Calibri" w:eastAsia="Calibri" w:hAnsi="Calibri" w:cs="Arial"/>
          <w:kern w:val="0"/>
          <w:sz w:val="22"/>
          <w:szCs w:val="22"/>
          <w:lang w:val="en-US"/>
          <w14:ligatures w14:val="none"/>
        </w:rPr>
        <w:instrText xml:space="preserve"> ADDIN ZOTERO_ITEM CSL_CITATION {"citationID":"p1drx6ij","properties":{"unsorted":false,"formattedCitation":"[12]","plainCitation":"[12]","noteIndex":0},"citationItems":[{"id":281,"uris":["http://zotero.org/users/14894062/items/X4KDKW9E"],"itemData":{"id":281,"type":"dataset","abstract":"Tools to help to create tidy data, where each column is a variable, each row is an observation, and each cell contains a single value. 'tidyr' contains tools for changing the shape (pivoting) and hierarchy (nesting and 'unnesting') of a dataset, turning deeply nested lists into rectangular data frames ('rectangling'), and extracting values out of string columns. It also includes tools for working with missing values (both implicit and explicit).","DOI":"10.32614/CRAN.package.tidyr","language":"en","note":"Institution: Comprehensive R Archive Network\npage: 1.3.2","source":"DOI.org (Crossref)","title":"tidyr: Tidy Messy Data","title-short":"tidyr","URL":"https://CRAN.R-project.org/package=tidyr","author":[{"family":"Wickham","given":"Hadley"},{"family":"Vaughan","given":"Davis"},{"family":"Girlich","given":"Maximilian"}],"accessed":{"date-parts":[["2026",2,20]]},"issued":{"date-parts":[["2014",7,21]]}}}],"schema":"https://github.com/citation-style-language/schema/raw/master/csl-citation.json"} </w:instrText>
      </w:r>
      <w:r w:rsidRPr="00422086">
        <w:rPr>
          <w:rFonts w:ascii="Calibri" w:eastAsia="Calibri" w:hAnsi="Calibri" w:cs="Arial"/>
          <w:kern w:val="0"/>
          <w:sz w:val="22"/>
          <w:szCs w:val="22"/>
          <w:lang w:val="en-US"/>
          <w14:ligatures w14:val="none"/>
        </w:rPr>
        <w:fldChar w:fldCharType="separate"/>
      </w:r>
      <w:r w:rsidR="006470F1" w:rsidRPr="006470F1">
        <w:rPr>
          <w:rFonts w:ascii="Aptos" w:hAnsi="Aptos"/>
          <w:sz w:val="22"/>
          <w:lang w:val="en-US"/>
        </w:rPr>
        <w:t>[12]</w:t>
      </w:r>
      <w:r w:rsidRPr="00422086">
        <w:rPr>
          <w:rFonts w:ascii="Calibri" w:eastAsia="Calibri" w:hAnsi="Calibri" w:cs="Arial"/>
          <w:kern w:val="0"/>
          <w:sz w:val="22"/>
          <w:szCs w:val="22"/>
          <w:lang w:val="en-US"/>
          <w14:ligatures w14:val="none"/>
        </w:rPr>
        <w:fldChar w:fldCharType="end"/>
      </w:r>
      <w:r w:rsidRPr="00422086">
        <w:rPr>
          <w:rFonts w:ascii="Calibri" w:eastAsia="Calibri" w:hAnsi="Calibri" w:cs="Arial"/>
          <w:kern w:val="0"/>
          <w:sz w:val="22"/>
          <w:szCs w:val="22"/>
          <w:lang w:val="en-US"/>
          <w14:ligatures w14:val="none"/>
        </w:rPr>
        <w:t xml:space="preserve"> and broom </w:t>
      </w:r>
      <w:r w:rsidRPr="00422086">
        <w:rPr>
          <w:rFonts w:ascii="Calibri" w:eastAsia="Calibri" w:hAnsi="Calibri" w:cs="Arial"/>
          <w:kern w:val="0"/>
          <w:sz w:val="22"/>
          <w:szCs w:val="22"/>
          <w:lang w:val="en-US"/>
          <w14:ligatures w14:val="none"/>
        </w:rPr>
        <w:fldChar w:fldCharType="begin"/>
      </w:r>
      <w:r w:rsidR="006470F1">
        <w:rPr>
          <w:rFonts w:ascii="Calibri" w:eastAsia="Calibri" w:hAnsi="Calibri" w:cs="Arial"/>
          <w:kern w:val="0"/>
          <w:sz w:val="22"/>
          <w:szCs w:val="22"/>
          <w:lang w:val="en-US"/>
          <w14:ligatures w14:val="none"/>
        </w:rPr>
        <w:instrText xml:space="preserve"> ADDIN ZOTERO_ITEM CSL_CITATION {"citationID":"mEEbeKdN","properties":{"unsorted":false,"formattedCitation":"[13]","plainCitation":"[13]","noteIndex":0},"citationItems":[{"id":282,"uris":["http://zotero.org/users/14894062/items/7XI2U38H"],"itemData":{"id":282,"type":"dataset","abstract":"Summarizes key information about statistical objects in tidy tibbles. This makes it easy to report results, create plots and consistently work with large numbers of models at once.  Broom provides three verbs that each provide different types of information about a model. tidy() summarizes information about model components such as coefficients of a regression. glance() reports information about an entire model, such as goodness of fit measures like AIC and BIC. augment() adds information about individual observations to a dataset, such as fitted values or influence measures.","DOI":"10.32614/CRAN.package.broom","language":"en","note":"Institution: Comprehensive R Archive Network\npage: 1.0.12","source":"DOI.org (Crossref)","title":"broom: Convert Statistical Objects into Tidy Tibbles","title-short":"broom","URL":"https://CRAN.R-project.org/package=broom","author":[{"family":"Robinson","given":"David"},{"family":"Hayes","given":"Alex"},{"family":"Couch","given":"Simon"},{"family":"Hvitfeldt","given":"Emil"}],"accessed":{"date-parts":[["2026",2,20]]},"issued":{"date-parts":[["2014",11,23]]}}}],"schema":"https://github.com/citation-style-language/schema/raw/master/csl-citation.json"} </w:instrText>
      </w:r>
      <w:r w:rsidRPr="00422086">
        <w:rPr>
          <w:rFonts w:ascii="Calibri" w:eastAsia="Calibri" w:hAnsi="Calibri" w:cs="Arial"/>
          <w:kern w:val="0"/>
          <w:sz w:val="22"/>
          <w:szCs w:val="22"/>
          <w:lang w:val="en-US"/>
          <w14:ligatures w14:val="none"/>
        </w:rPr>
        <w:fldChar w:fldCharType="separate"/>
      </w:r>
      <w:r w:rsidR="006470F1" w:rsidRPr="006470F1">
        <w:rPr>
          <w:rFonts w:ascii="Aptos" w:hAnsi="Aptos"/>
          <w:sz w:val="22"/>
        </w:rPr>
        <w:t>[13]</w:t>
      </w:r>
      <w:r w:rsidRPr="00422086">
        <w:rPr>
          <w:rFonts w:ascii="Calibri" w:eastAsia="Calibri" w:hAnsi="Calibri" w:cs="Arial"/>
          <w:kern w:val="0"/>
          <w:sz w:val="22"/>
          <w:szCs w:val="22"/>
          <w:lang w:val="en-US"/>
          <w14:ligatures w14:val="none"/>
        </w:rPr>
        <w:fldChar w:fldCharType="end"/>
      </w:r>
      <w:r w:rsidRPr="00422086">
        <w:rPr>
          <w:rFonts w:ascii="Calibri" w:eastAsia="Calibri" w:hAnsi="Calibri" w:cs="Arial"/>
          <w:kern w:val="0"/>
          <w:sz w:val="22"/>
          <w:szCs w:val="22"/>
          <w:lang w:val="en-US"/>
          <w14:ligatures w14:val="none"/>
        </w:rPr>
        <w:t xml:space="preserve"> for data wrangling and summaries. Bray–Curtis dissimilarities were computed from relative abundances; ordination used PCoA via phyloseq::ordinate(). Bray–Curtis distances were computed from the phyloseq object (physeq_method_illumina) and tested by PERMANOVA using adonis2 (vegan) with 999 permutations and marginal effects.</w:t>
      </w:r>
    </w:p>
    <w:p w14:paraId="39BF3563" w14:textId="77777777" w:rsidR="00422086" w:rsidRPr="00422086" w:rsidRDefault="00422086" w:rsidP="00422086">
      <w:pPr>
        <w:spacing w:line="259" w:lineRule="auto"/>
        <w:rPr>
          <w:rFonts w:ascii="Calibri" w:eastAsia="Calibri" w:hAnsi="Calibri" w:cs="Arial"/>
          <w:kern w:val="0"/>
          <w:sz w:val="22"/>
          <w:szCs w:val="22"/>
          <w:lang w:val="en-US"/>
          <w14:ligatures w14:val="none"/>
        </w:rPr>
      </w:pPr>
      <w:r w:rsidRPr="00422086">
        <w:rPr>
          <w:rFonts w:ascii="Calibri" w:eastAsia="Calibri" w:hAnsi="Calibri" w:cs="Arial"/>
          <w:kern w:val="0"/>
          <w:sz w:val="22"/>
          <w:szCs w:val="22"/>
          <w:lang w:val="en-US"/>
          <w14:ligatures w14:val="none"/>
        </w:rPr>
        <w:t>Two PERMANOVA designs were tailored to match the dataset structure. Model 1 (platform effect) included Library 1 samples sequenced on both Illumina and Ion Torrent; adonis2 was run with 9,999 permutations and permutations constrained within horse (strata = horse_name). Model 2 (storage effect) included Illumina samples across libraries with storage levels (Immediate, 4 °C, RT); library_tag was included as a fixed effect, and permutations were constrained within library (strata = library_tag). Homogeneity of multivariate dispersion was assessed with betadisper.</w:t>
      </w:r>
    </w:p>
    <w:p w14:paraId="776FD90C" w14:textId="77777777" w:rsidR="00422086" w:rsidRDefault="00422086" w:rsidP="00422086">
      <w:pPr>
        <w:spacing w:line="259" w:lineRule="auto"/>
        <w:rPr>
          <w:rFonts w:ascii="Calibri" w:eastAsia="Calibri" w:hAnsi="Calibri" w:cs="Arial"/>
          <w:kern w:val="0"/>
          <w:sz w:val="22"/>
          <w:szCs w:val="22"/>
          <w:lang w:val="en-US"/>
          <w14:ligatures w14:val="none"/>
        </w:rPr>
      </w:pPr>
      <w:r w:rsidRPr="00422086">
        <w:rPr>
          <w:rFonts w:ascii="Calibri" w:eastAsia="Calibri" w:hAnsi="Calibri" w:cs="Arial"/>
          <w:kern w:val="0"/>
          <w:sz w:val="22"/>
          <w:szCs w:val="22"/>
          <w:lang w:val="en-US"/>
          <w14:ligatures w14:val="none"/>
        </w:rPr>
        <w:lastRenderedPageBreak/>
        <w:t>Phylum-level differences between platforms were tested using paired Wilcoxon tests on matched samples (paired by sample_number2), with Benjamini–Hochberg FDR correction across phyla and reporting median differences (Illumina − Ion Torrent). Differential abundance was assessed with DESeq2 (design ~ horse_name + extraction_kit), and adjusted p-values (padj) were reported using Benjamini–Hochberg correction. As a sensitivity analysis, samples were rarefied to 10,000 reads (phyloseq::rarefy_even_depth), followed by re-running ordination and PERMANOVA. Visualizations used the Okabe–Ito palette, shape coding by horse identity, and 68% confidence ellipses to illustrate group dispersion without implying statistical significance.</w:t>
      </w:r>
    </w:p>
    <w:p w14:paraId="0C27AE79" w14:textId="77777777" w:rsidR="00951E6B" w:rsidRDefault="00951E6B" w:rsidP="00422086">
      <w:pPr>
        <w:spacing w:line="259" w:lineRule="auto"/>
        <w:rPr>
          <w:rFonts w:ascii="Calibri" w:eastAsia="Calibri" w:hAnsi="Calibri" w:cs="Arial"/>
          <w:kern w:val="0"/>
          <w:sz w:val="22"/>
          <w:szCs w:val="22"/>
          <w:lang w:val="en-US"/>
          <w14:ligatures w14:val="none"/>
        </w:rPr>
      </w:pPr>
    </w:p>
    <w:p w14:paraId="4E0EAF65" w14:textId="1DCA8E3D" w:rsidR="009B5A93" w:rsidRPr="006470F1" w:rsidRDefault="006470F1" w:rsidP="006470F1">
      <w:pPr>
        <w:pStyle w:val="Overskrift2"/>
        <w:rPr>
          <w:rFonts w:eastAsia="Calibri"/>
          <w:lang w:val="en-US"/>
        </w:rPr>
      </w:pPr>
      <w:r w:rsidRPr="006470F1">
        <w:rPr>
          <w:rFonts w:eastAsia="Calibri"/>
          <w:lang w:val="en-US"/>
        </w:rPr>
        <w:t>References</w:t>
      </w:r>
    </w:p>
    <w:p w14:paraId="47210A8C" w14:textId="77777777" w:rsidR="006470F1" w:rsidRPr="006470F1" w:rsidRDefault="009B5A93" w:rsidP="006470F1">
      <w:pPr>
        <w:spacing w:line="259" w:lineRule="auto"/>
        <w:rPr>
          <w:rFonts w:ascii="Calibri" w:eastAsia="Calibri" w:hAnsi="Calibri" w:cs="Arial"/>
          <w:kern w:val="0"/>
          <w:sz w:val="22"/>
          <w:szCs w:val="22"/>
          <w:lang w:val="en-US"/>
          <w14:ligatures w14:val="none"/>
        </w:rPr>
      </w:pPr>
      <w:r w:rsidRPr="006470F1">
        <w:rPr>
          <w:rFonts w:ascii="Calibri" w:eastAsia="Calibri" w:hAnsi="Calibri" w:cs="Arial"/>
          <w:kern w:val="0"/>
          <w:sz w:val="22"/>
          <w:szCs w:val="22"/>
          <w:lang w:val="en-US"/>
          <w14:ligatures w14:val="none"/>
        </w:rPr>
        <w:fldChar w:fldCharType="begin"/>
      </w:r>
      <w:r w:rsidR="006470F1" w:rsidRPr="006470F1">
        <w:rPr>
          <w:rFonts w:ascii="Calibri" w:eastAsia="Calibri" w:hAnsi="Calibri" w:cs="Arial"/>
          <w:kern w:val="0"/>
          <w:sz w:val="22"/>
          <w:szCs w:val="22"/>
          <w:lang w:val="en-US"/>
          <w14:ligatures w14:val="none"/>
        </w:rPr>
        <w:instrText xml:space="preserve"> ADDIN ZOTERO_BIBL {"uncited":[],"omitted":[],"custom":[]} CSL_BIBLIOGRAPHY </w:instrText>
      </w:r>
      <w:r w:rsidRPr="006470F1">
        <w:rPr>
          <w:rFonts w:ascii="Calibri" w:eastAsia="Calibri" w:hAnsi="Calibri" w:cs="Arial"/>
          <w:kern w:val="0"/>
          <w:sz w:val="22"/>
          <w:szCs w:val="22"/>
          <w:lang w:val="en-US"/>
          <w14:ligatures w14:val="none"/>
        </w:rPr>
        <w:fldChar w:fldCharType="separate"/>
      </w:r>
      <w:r w:rsidR="006470F1" w:rsidRPr="006470F1">
        <w:rPr>
          <w:rFonts w:ascii="Calibri" w:eastAsia="Calibri" w:hAnsi="Calibri" w:cs="Arial"/>
          <w:kern w:val="0"/>
          <w:sz w:val="22"/>
          <w:szCs w:val="22"/>
          <w:lang w:val="en-US"/>
          <w14:ligatures w14:val="none"/>
        </w:rPr>
        <w:t>1. Parada AE, Needham DM, Fuhrman JA. Every base matters: assessing small subunit rRNA primers for marine microbiomes with mock communities, time series and global field samples. Environmental Microbiology. 2016;18:1403–14. https://doi.org/10.1111/1462-2920.13023.</w:t>
      </w:r>
    </w:p>
    <w:p w14:paraId="599E7AF8" w14:textId="77777777" w:rsidR="006470F1" w:rsidRPr="006470F1" w:rsidRDefault="006470F1" w:rsidP="006470F1">
      <w:pPr>
        <w:spacing w:line="259" w:lineRule="auto"/>
        <w:rPr>
          <w:rFonts w:ascii="Calibri" w:eastAsia="Calibri" w:hAnsi="Calibri" w:cs="Arial"/>
          <w:kern w:val="0"/>
          <w:sz w:val="22"/>
          <w:szCs w:val="22"/>
          <w:lang w:val="en-US"/>
          <w14:ligatures w14:val="none"/>
        </w:rPr>
      </w:pPr>
      <w:r w:rsidRPr="006470F1">
        <w:rPr>
          <w:rFonts w:ascii="Calibri" w:eastAsia="Calibri" w:hAnsi="Calibri" w:cs="Arial"/>
          <w:kern w:val="0"/>
          <w:sz w:val="22"/>
          <w:szCs w:val="22"/>
          <w:lang w:val="en-US"/>
          <w14:ligatures w14:val="none"/>
        </w:rPr>
        <w:t>2. Apprill A, McNally S, Parsons R, Weber L. Minor revision to V4 region SSU rRNA 806R gene primer greatly increases detection of SAR11 bacterioplankton. Aquat Microb Ecol. 2015;75:129–37. https://doi.org/10.3354/ame01753.</w:t>
      </w:r>
    </w:p>
    <w:p w14:paraId="2FE05B54" w14:textId="77777777" w:rsidR="006470F1" w:rsidRPr="006470F1" w:rsidRDefault="006470F1" w:rsidP="006470F1">
      <w:pPr>
        <w:spacing w:line="259" w:lineRule="auto"/>
        <w:rPr>
          <w:rFonts w:ascii="Calibri" w:eastAsia="Calibri" w:hAnsi="Calibri" w:cs="Arial"/>
          <w:kern w:val="0"/>
          <w:sz w:val="22"/>
          <w:szCs w:val="22"/>
          <w:lang w:val="en-US"/>
          <w14:ligatures w14:val="none"/>
        </w:rPr>
      </w:pPr>
      <w:r w:rsidRPr="006470F1">
        <w:rPr>
          <w:rFonts w:ascii="Calibri" w:eastAsia="Calibri" w:hAnsi="Calibri" w:cs="Arial"/>
          <w:kern w:val="0"/>
          <w:sz w:val="22"/>
          <w:szCs w:val="22"/>
          <w:lang w:val="en-US"/>
          <w14:ligatures w14:val="none"/>
        </w:rPr>
        <w:t>3. Caporaso JG, Lauber CL, Walters WA, Berg-Lyons D, Lozupone CA, Turnbaugh PJ, et al. Global patterns of 16S rRNA diversity at a depth of millions of sequences per sample. Proc Natl Acad Sci USA. 2011;108 supplement_1:4516–22. https://doi.org/10.1073/pnas.1000080107.</w:t>
      </w:r>
    </w:p>
    <w:p w14:paraId="4D1C7A2F" w14:textId="77777777" w:rsidR="006470F1" w:rsidRPr="006470F1" w:rsidRDefault="006470F1" w:rsidP="006470F1">
      <w:pPr>
        <w:spacing w:line="259" w:lineRule="auto"/>
        <w:rPr>
          <w:rFonts w:ascii="Calibri" w:eastAsia="Calibri" w:hAnsi="Calibri" w:cs="Arial"/>
          <w:kern w:val="0"/>
          <w:sz w:val="22"/>
          <w:szCs w:val="22"/>
          <w:lang w:val="en-US"/>
          <w14:ligatures w14:val="none"/>
        </w:rPr>
      </w:pPr>
      <w:r w:rsidRPr="006470F1">
        <w:rPr>
          <w:rFonts w:ascii="Calibri" w:eastAsia="Calibri" w:hAnsi="Calibri" w:cs="Arial"/>
          <w:kern w:val="0"/>
          <w:sz w:val="22"/>
          <w:szCs w:val="22"/>
          <w:lang w:val="en-US"/>
          <w14:ligatures w14:val="none"/>
        </w:rPr>
        <w:t>4. Martin M. Cutadapt removes adapter sequences from high-throughput sequencing reads. EMBnet j. 2011;17:10. https://doi.org/10.14806/ej.17.1.200.</w:t>
      </w:r>
    </w:p>
    <w:p w14:paraId="588840A7" w14:textId="77777777" w:rsidR="006470F1" w:rsidRPr="006470F1" w:rsidRDefault="006470F1" w:rsidP="006470F1">
      <w:pPr>
        <w:spacing w:line="259" w:lineRule="auto"/>
        <w:rPr>
          <w:rFonts w:ascii="Calibri" w:eastAsia="Calibri" w:hAnsi="Calibri" w:cs="Arial"/>
          <w:kern w:val="0"/>
          <w:sz w:val="22"/>
          <w:szCs w:val="22"/>
          <w:lang w:val="en-US"/>
          <w14:ligatures w14:val="none"/>
        </w:rPr>
      </w:pPr>
      <w:r w:rsidRPr="006470F1">
        <w:rPr>
          <w:rFonts w:ascii="Calibri" w:eastAsia="Calibri" w:hAnsi="Calibri" w:cs="Arial"/>
          <w:kern w:val="0"/>
          <w:sz w:val="22"/>
          <w:szCs w:val="22"/>
          <w:lang w:val="en-US"/>
          <w14:ligatures w14:val="none"/>
        </w:rPr>
        <w:t>5. Callahan BJ, McMurdie PJ, Rosen MJ, Han AW, Johnson AJA, Holmes SP. DADA2: High-resolution sample inference from Illumina amplicon data. Nat Methods. 2016;13:581–3. https://doi.org/10.1038/nmeth.3869.</w:t>
      </w:r>
    </w:p>
    <w:p w14:paraId="7E252FDD" w14:textId="77777777" w:rsidR="006470F1" w:rsidRPr="006470F1" w:rsidRDefault="006470F1" w:rsidP="006470F1">
      <w:pPr>
        <w:spacing w:line="259" w:lineRule="auto"/>
        <w:rPr>
          <w:rFonts w:ascii="Calibri" w:eastAsia="Calibri" w:hAnsi="Calibri" w:cs="Arial"/>
          <w:kern w:val="0"/>
          <w:sz w:val="22"/>
          <w:szCs w:val="22"/>
          <w:lang w:val="en-US"/>
          <w14:ligatures w14:val="none"/>
        </w:rPr>
      </w:pPr>
      <w:r w:rsidRPr="006470F1">
        <w:rPr>
          <w:rFonts w:ascii="Calibri" w:eastAsia="Calibri" w:hAnsi="Calibri" w:cs="Arial"/>
          <w:kern w:val="0"/>
          <w:sz w:val="22"/>
          <w:szCs w:val="22"/>
          <w:lang w:val="en-US"/>
          <w14:ligatures w14:val="none"/>
        </w:rPr>
        <w:t>6. Rognes T, Flouri T, Nichols B, Quince C, Mahé F. VSEARCH: a versatile open source tool for metagenomics. PeerJ. 2016;4:e2584. https://doi.org/10.7717/peerj.2584.</w:t>
      </w:r>
    </w:p>
    <w:p w14:paraId="73AA3262" w14:textId="77777777" w:rsidR="006470F1" w:rsidRPr="006470F1" w:rsidRDefault="006470F1" w:rsidP="006470F1">
      <w:pPr>
        <w:spacing w:line="259" w:lineRule="auto"/>
        <w:rPr>
          <w:rFonts w:ascii="Calibri" w:eastAsia="Calibri" w:hAnsi="Calibri" w:cs="Arial"/>
          <w:kern w:val="0"/>
          <w:sz w:val="22"/>
          <w:szCs w:val="22"/>
          <w:lang w:val="en-US"/>
          <w14:ligatures w14:val="none"/>
        </w:rPr>
      </w:pPr>
      <w:r w:rsidRPr="006470F1">
        <w:rPr>
          <w:rFonts w:ascii="Calibri" w:eastAsia="Calibri" w:hAnsi="Calibri" w:cs="Arial"/>
          <w:kern w:val="0"/>
          <w:sz w:val="22"/>
          <w:szCs w:val="22"/>
          <w:lang w:val="en-US"/>
          <w14:ligatures w14:val="none"/>
        </w:rPr>
        <w:t>7. Quast C, Pruesse E, Yilmaz P, Gerken J, Schweer T, Yarza P, et al. The SILVA ribosomal RNA gene database project: improved data processing and web-based tools. Nucleic Acids Research. 2012;41:D590–6. https://doi.org/10.1093/nar/gks1219.</w:t>
      </w:r>
    </w:p>
    <w:p w14:paraId="635BD89A" w14:textId="77777777" w:rsidR="006470F1" w:rsidRPr="006470F1" w:rsidRDefault="006470F1" w:rsidP="006470F1">
      <w:pPr>
        <w:spacing w:line="259" w:lineRule="auto"/>
        <w:rPr>
          <w:rFonts w:ascii="Calibri" w:eastAsia="Calibri" w:hAnsi="Calibri" w:cs="Arial"/>
          <w:kern w:val="0"/>
          <w:sz w:val="22"/>
          <w:szCs w:val="22"/>
          <w:lang w:val="en-US"/>
          <w14:ligatures w14:val="none"/>
        </w:rPr>
      </w:pPr>
      <w:r w:rsidRPr="006470F1">
        <w:rPr>
          <w:rFonts w:ascii="Calibri" w:eastAsia="Calibri" w:hAnsi="Calibri" w:cs="Arial"/>
          <w:kern w:val="0"/>
          <w:sz w:val="22"/>
          <w:szCs w:val="22"/>
          <w:lang w:val="en-US"/>
          <w14:ligatures w14:val="none"/>
        </w:rPr>
        <w:t>8. McMurdie PJ, Holmes S. phyloseq: An R Package for Reproducible Interactive Analysis and Graphics of Microbiome Census Data. PLoS ONE. 2013;8:e61217. https://doi.org/10.1371/journal.pone.0061217.</w:t>
      </w:r>
    </w:p>
    <w:p w14:paraId="559187A7" w14:textId="77777777" w:rsidR="006470F1" w:rsidRPr="006470F1" w:rsidRDefault="006470F1" w:rsidP="006470F1">
      <w:pPr>
        <w:spacing w:line="259" w:lineRule="auto"/>
        <w:rPr>
          <w:rFonts w:ascii="Calibri" w:eastAsia="Calibri" w:hAnsi="Calibri" w:cs="Arial"/>
          <w:kern w:val="0"/>
          <w:sz w:val="22"/>
          <w:szCs w:val="22"/>
          <w:lang w:val="en-US"/>
          <w14:ligatures w14:val="none"/>
        </w:rPr>
      </w:pPr>
      <w:r w:rsidRPr="006470F1">
        <w:rPr>
          <w:rFonts w:ascii="Calibri" w:eastAsia="Calibri" w:hAnsi="Calibri" w:cs="Arial"/>
          <w:kern w:val="0"/>
          <w:sz w:val="22"/>
          <w:szCs w:val="22"/>
          <w:lang w:val="en-US"/>
          <w14:ligatures w14:val="none"/>
        </w:rPr>
        <w:t>9. Dixon P. VEGAN, a package of R functions for community ecology. J Vegetation Science. 2003;14:927–30. https://doi.org/10.1111/j.1654-1103.2003.tb02228.x.</w:t>
      </w:r>
    </w:p>
    <w:p w14:paraId="4B0DE73C" w14:textId="77777777" w:rsidR="006470F1" w:rsidRPr="006470F1" w:rsidRDefault="006470F1" w:rsidP="006470F1">
      <w:pPr>
        <w:spacing w:line="259" w:lineRule="auto"/>
        <w:rPr>
          <w:rFonts w:ascii="Calibri" w:eastAsia="Calibri" w:hAnsi="Calibri" w:cs="Arial"/>
          <w:kern w:val="0"/>
          <w:sz w:val="22"/>
          <w:szCs w:val="22"/>
          <w:lang w:val="en-US"/>
          <w14:ligatures w14:val="none"/>
        </w:rPr>
      </w:pPr>
      <w:r w:rsidRPr="006470F1">
        <w:rPr>
          <w:rFonts w:ascii="Calibri" w:eastAsia="Calibri" w:hAnsi="Calibri" w:cs="Arial"/>
          <w:kern w:val="0"/>
          <w:sz w:val="22"/>
          <w:szCs w:val="22"/>
          <w:lang w:val="en-US"/>
          <w14:ligatures w14:val="none"/>
        </w:rPr>
        <w:t>10. Wickham H. ggplot2: Elegant Graphics for Data Analysis. New York, NY: Springer New York; 2009. https://doi.org/10.1007/978-0-387-98141-3.</w:t>
      </w:r>
    </w:p>
    <w:p w14:paraId="6F6CD344" w14:textId="77777777" w:rsidR="006470F1" w:rsidRPr="006470F1" w:rsidRDefault="006470F1" w:rsidP="006470F1">
      <w:pPr>
        <w:spacing w:line="259" w:lineRule="auto"/>
        <w:rPr>
          <w:rFonts w:ascii="Calibri" w:eastAsia="Calibri" w:hAnsi="Calibri" w:cs="Arial"/>
          <w:kern w:val="0"/>
          <w:sz w:val="22"/>
          <w:szCs w:val="22"/>
          <w:lang w:val="en-US"/>
          <w14:ligatures w14:val="none"/>
        </w:rPr>
      </w:pPr>
      <w:r w:rsidRPr="006470F1">
        <w:rPr>
          <w:rFonts w:ascii="Calibri" w:eastAsia="Calibri" w:hAnsi="Calibri" w:cs="Arial"/>
          <w:kern w:val="0"/>
          <w:sz w:val="22"/>
          <w:szCs w:val="22"/>
          <w:lang w:val="en-US"/>
          <w14:ligatures w14:val="none"/>
        </w:rPr>
        <w:t>11. Wickham H, François R, Henry L, Müller K, Vaughan D. dplyr: A Grammar of Data Manipulation. 2014;:1.2.0. https://doi.org/10.32614/CRAN.package.dplyr.</w:t>
      </w:r>
    </w:p>
    <w:p w14:paraId="3CF1DC2D" w14:textId="77777777" w:rsidR="006470F1" w:rsidRPr="006470F1" w:rsidRDefault="006470F1" w:rsidP="006470F1">
      <w:pPr>
        <w:spacing w:line="259" w:lineRule="auto"/>
        <w:rPr>
          <w:rFonts w:ascii="Calibri" w:eastAsia="Calibri" w:hAnsi="Calibri" w:cs="Arial"/>
          <w:kern w:val="0"/>
          <w:sz w:val="22"/>
          <w:szCs w:val="22"/>
          <w:lang w:val="en-US"/>
          <w14:ligatures w14:val="none"/>
        </w:rPr>
      </w:pPr>
      <w:r w:rsidRPr="006470F1">
        <w:rPr>
          <w:rFonts w:ascii="Calibri" w:eastAsia="Calibri" w:hAnsi="Calibri" w:cs="Arial"/>
          <w:kern w:val="0"/>
          <w:sz w:val="22"/>
          <w:szCs w:val="22"/>
          <w:lang w:val="en-US"/>
          <w14:ligatures w14:val="none"/>
        </w:rPr>
        <w:t>12. Wickham H, Vaughan D, Girlich M. tidyr: Tidy Messy Data. 2014;:1.3.2. https://doi.org/10.32614/CRAN.package.tidyr.</w:t>
      </w:r>
    </w:p>
    <w:p w14:paraId="25988995" w14:textId="77777777" w:rsidR="006470F1" w:rsidRPr="006470F1" w:rsidRDefault="006470F1" w:rsidP="006470F1">
      <w:pPr>
        <w:spacing w:line="259" w:lineRule="auto"/>
        <w:rPr>
          <w:rFonts w:ascii="Calibri" w:eastAsia="Calibri" w:hAnsi="Calibri" w:cs="Arial"/>
          <w:kern w:val="0"/>
          <w:sz w:val="22"/>
          <w:szCs w:val="22"/>
          <w:lang w:val="en-US"/>
          <w14:ligatures w14:val="none"/>
        </w:rPr>
      </w:pPr>
      <w:r w:rsidRPr="006470F1">
        <w:rPr>
          <w:rFonts w:ascii="Calibri" w:eastAsia="Calibri" w:hAnsi="Calibri" w:cs="Arial"/>
          <w:kern w:val="0"/>
          <w:sz w:val="22"/>
          <w:szCs w:val="22"/>
          <w:lang w:val="en-US"/>
          <w14:ligatures w14:val="none"/>
        </w:rPr>
        <w:lastRenderedPageBreak/>
        <w:t>13. Robinson D, Hayes A, Couch S, Hvitfeldt E. broom: Convert Statistical Objects into Tidy Tibbles. 2014;:1.0.12. https://doi.org/10.32614/CRAN.package.broom.</w:t>
      </w:r>
    </w:p>
    <w:p w14:paraId="2F7B8ACB" w14:textId="07C98EB1" w:rsidR="00951E6B" w:rsidRPr="00422086" w:rsidRDefault="009B5A93" w:rsidP="00422086">
      <w:pPr>
        <w:spacing w:line="259" w:lineRule="auto"/>
        <w:rPr>
          <w:rFonts w:ascii="Calibri" w:eastAsia="Calibri" w:hAnsi="Calibri" w:cs="Arial"/>
          <w:kern w:val="0"/>
          <w:sz w:val="22"/>
          <w:szCs w:val="22"/>
          <w:lang w:val="en-US"/>
          <w14:ligatures w14:val="none"/>
        </w:rPr>
      </w:pPr>
      <w:r>
        <w:rPr>
          <w:rFonts w:ascii="Calibri" w:eastAsia="Calibri" w:hAnsi="Calibri" w:cs="Arial"/>
          <w:kern w:val="0"/>
          <w:sz w:val="22"/>
          <w:szCs w:val="22"/>
          <w:lang w:val="en-US"/>
          <w14:ligatures w14:val="none"/>
        </w:rPr>
        <w:fldChar w:fldCharType="end"/>
      </w:r>
    </w:p>
    <w:p w14:paraId="072929FD" w14:textId="7E88F905" w:rsidR="00422086" w:rsidRPr="006470F1" w:rsidRDefault="00422086" w:rsidP="00422086">
      <w:pPr>
        <w:spacing w:line="259" w:lineRule="auto"/>
        <w:rPr>
          <w:rFonts w:ascii="Calibri" w:eastAsia="Calibri" w:hAnsi="Calibri" w:cs="Arial"/>
          <w:kern w:val="0"/>
          <w:sz w:val="22"/>
          <w:szCs w:val="22"/>
          <w:lang w:val="en-US"/>
          <w14:ligatures w14:val="none"/>
        </w:rPr>
      </w:pPr>
    </w:p>
    <w:sectPr w:rsidR="00422086" w:rsidRPr="006470F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ers Kristian Krabberød" w:date="2026-02-11T13:50:00Z" w:initials="AK">
    <w:p w14:paraId="367682CC" w14:textId="77777777" w:rsidR="00422086" w:rsidRDefault="00422086" w:rsidP="00B70A66">
      <w:r>
        <w:rPr>
          <w:rStyle w:val="Merknadsreferanse"/>
        </w:rPr>
        <w:annotationRef/>
      </w:r>
      <w:r>
        <w:rPr>
          <w:sz w:val="20"/>
          <w:szCs w:val="20"/>
        </w:rPr>
        <w:t>Jeg sjekket serienummeret på kjøringen, og lengden på reads for å være sikker. Alt peker mot NovaSeq</w:t>
      </w:r>
    </w:p>
  </w:comment>
  <w:comment w:id="1" w:author="Anders Kristian Krabberød" w:date="2026-02-11T21:06:00Z" w:initials="AK">
    <w:p w14:paraId="7B84A293" w14:textId="77777777" w:rsidR="00422086" w:rsidRDefault="00422086" w:rsidP="004512BB">
      <w:r>
        <w:rPr>
          <w:rStyle w:val="Merknadsreferanse"/>
        </w:rPr>
        <w:annotationRef/>
      </w:r>
      <w:r>
        <w:rPr>
          <w:sz w:val="20"/>
          <w:szCs w:val="20"/>
        </w:rPr>
        <w:t xml:space="preserve">Her er det formelt riktig å bruke ASV siden det er et ubesudlet produkt fra DADA2.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7682CC" w15:done="1"/>
  <w15:commentEx w15:paraId="7B84A29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77E228" w16cex:dateUtc="2026-02-11T12:50:00Z"/>
  <w16cex:commentExtensible w16cex:durableId="5AD5FBDD" w16cex:dateUtc="2026-02-11T2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7682CC" w16cid:durableId="0A77E228"/>
  <w16cid:commentId w16cid:paraId="7B84A293" w16cid:durableId="5AD5FBD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ers Kristian Krabberød">
    <w15:presenceInfo w15:providerId="AD" w15:userId="S::anderkkr@uio.no::3342cb2a-2860-4fc3-a61f-6a30271dec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86"/>
    <w:rsid w:val="00066160"/>
    <w:rsid w:val="001E04A5"/>
    <w:rsid w:val="00422086"/>
    <w:rsid w:val="005A2120"/>
    <w:rsid w:val="006470F1"/>
    <w:rsid w:val="006558B3"/>
    <w:rsid w:val="007B460B"/>
    <w:rsid w:val="00951E6B"/>
    <w:rsid w:val="009B5A93"/>
    <w:rsid w:val="00DD3C6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8AC4E"/>
  <w15:chartTrackingRefBased/>
  <w15:docId w15:val="{E3FF5F3D-2CD0-468E-8704-878FAA4F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22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22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2208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2208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2208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2208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2208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2208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2208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2208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42208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2208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2208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2208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2208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2208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2208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22086"/>
    <w:rPr>
      <w:rFonts w:eastAsiaTheme="majorEastAsia" w:cstheme="majorBidi"/>
      <w:color w:val="272727" w:themeColor="text1" w:themeTint="D8"/>
    </w:rPr>
  </w:style>
  <w:style w:type="paragraph" w:styleId="Tittel">
    <w:name w:val="Title"/>
    <w:basedOn w:val="Normal"/>
    <w:next w:val="Normal"/>
    <w:link w:val="TittelTegn"/>
    <w:uiPriority w:val="10"/>
    <w:qFormat/>
    <w:rsid w:val="00422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2208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2208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2208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2208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22086"/>
    <w:rPr>
      <w:i/>
      <w:iCs/>
      <w:color w:val="404040" w:themeColor="text1" w:themeTint="BF"/>
    </w:rPr>
  </w:style>
  <w:style w:type="paragraph" w:styleId="Listeavsnitt">
    <w:name w:val="List Paragraph"/>
    <w:basedOn w:val="Normal"/>
    <w:uiPriority w:val="34"/>
    <w:qFormat/>
    <w:rsid w:val="00422086"/>
    <w:pPr>
      <w:ind w:left="720"/>
      <w:contextualSpacing/>
    </w:pPr>
  </w:style>
  <w:style w:type="character" w:styleId="Sterkutheving">
    <w:name w:val="Intense Emphasis"/>
    <w:basedOn w:val="Standardskriftforavsnitt"/>
    <w:uiPriority w:val="21"/>
    <w:qFormat/>
    <w:rsid w:val="00422086"/>
    <w:rPr>
      <w:i/>
      <w:iCs/>
      <w:color w:val="0F4761" w:themeColor="accent1" w:themeShade="BF"/>
    </w:rPr>
  </w:style>
  <w:style w:type="paragraph" w:styleId="Sterktsitat">
    <w:name w:val="Intense Quote"/>
    <w:basedOn w:val="Normal"/>
    <w:next w:val="Normal"/>
    <w:link w:val="SterktsitatTegn"/>
    <w:uiPriority w:val="30"/>
    <w:qFormat/>
    <w:rsid w:val="00422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22086"/>
    <w:rPr>
      <w:i/>
      <w:iCs/>
      <w:color w:val="0F4761" w:themeColor="accent1" w:themeShade="BF"/>
    </w:rPr>
  </w:style>
  <w:style w:type="character" w:styleId="Sterkreferanse">
    <w:name w:val="Intense Reference"/>
    <w:basedOn w:val="Standardskriftforavsnitt"/>
    <w:uiPriority w:val="32"/>
    <w:qFormat/>
    <w:rsid w:val="00422086"/>
    <w:rPr>
      <w:b/>
      <w:bCs/>
      <w:smallCaps/>
      <w:color w:val="0F4761" w:themeColor="accent1" w:themeShade="BF"/>
      <w:spacing w:val="5"/>
    </w:rPr>
  </w:style>
  <w:style w:type="character" w:styleId="Merknadsreferanse">
    <w:name w:val="annotation reference"/>
    <w:basedOn w:val="Standardskriftforavsnitt"/>
    <w:uiPriority w:val="99"/>
    <w:semiHidden/>
    <w:unhideWhenUsed/>
    <w:rsid w:val="00422086"/>
    <w:rPr>
      <w:sz w:val="16"/>
      <w:szCs w:val="16"/>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paragraph" w:styleId="Bibliografi">
    <w:name w:val="Bibliography"/>
    <w:basedOn w:val="Normal"/>
    <w:next w:val="Normal"/>
    <w:uiPriority w:val="37"/>
    <w:unhideWhenUsed/>
    <w:rsid w:val="009B5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400CC-18F2-4D58-8501-B96D8018E1BB}">
  <ds:schemaRefs>
    <ds:schemaRef ds:uri="http://schemas.openxmlformats.org/officeDocument/2006/bibliography"/>
  </ds:schemaRefs>
</ds:datastoreItem>
</file>

<file path=docMetadata/LabelInfo.xml><?xml version="1.0" encoding="utf-8"?>
<clbl:labelList xmlns:clbl="http://schemas.microsoft.com/office/2020/mipLabelMetadata">
  <clbl:label id="{bc758dd0-ab53-4372-9a7c-e98a9620862c}" enabled="0" method="" siteId="{bc758dd0-ab53-4372-9a7c-e98a9620862c}" removed="1"/>
</clbl:labelList>
</file>

<file path=docProps/app.xml><?xml version="1.0" encoding="utf-8"?>
<Properties xmlns="http://schemas.openxmlformats.org/officeDocument/2006/extended-properties" xmlns:vt="http://schemas.openxmlformats.org/officeDocument/2006/docPropsVTypes">
  <Template>Normal</Template>
  <TotalTime>27</TotalTime>
  <Pages>5</Pages>
  <Words>6436</Words>
  <Characters>34115</Characters>
  <Application>Microsoft Office Word</Application>
  <DocSecurity>0</DocSecurity>
  <Lines>284</Lines>
  <Paragraphs>80</Paragraphs>
  <ScaleCrop>false</ScaleCrop>
  <Company/>
  <LinksUpToDate>false</LinksUpToDate>
  <CharactersWithSpaces>40471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Geck Sevatdal</dc:creator>
  <cp:keywords/>
  <dc:description/>
  <cp:lastModifiedBy>Sofie Geck Sevatdal</cp:lastModifiedBy>
  <cp:revision>9</cp:revision>
  <cp:lastPrinted>2026-03-10T11:55:00Z</cp:lastPrinted>
  <dcterms:created xsi:type="dcterms:W3CDTF">2026-03-06T11:31:00Z</dcterms:created>
  <dcterms:modified xsi:type="dcterms:W3CDTF">2026-03-10T12:24:00Z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zotero-version="8.0.3"&gt;&lt;session id="blea00DZ"/&gt;&lt;style id="http://www.zotero.org/styles/bmc-microbiology" hasBibliography="1" bibliographyStyleHasBeenSet="1"/&gt;&lt;prefs&gt;&lt;pref name="fieldType" value="Field"/&gt;&lt;/prefs&gt;&lt;/data&gt;</vt:lpwstr>
  </property>
</Properties>
</file>