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1ABEE" w14:textId="77777777" w:rsidR="005853CD" w:rsidRDefault="005853CD" w:rsidP="005853CD">
      <w:pPr>
        <w:jc w:val="both"/>
        <w:rPr>
          <w:rFonts w:eastAsia="SimSun"/>
          <w:lang w:eastAsia="zh-CN"/>
        </w:rPr>
      </w:pPr>
      <w:r>
        <w:rPr>
          <w:rFonts w:eastAsia="SimSun"/>
          <w:noProof/>
          <w:lang w:eastAsia="zh-CN"/>
        </w:rPr>
        <w:drawing>
          <wp:inline distT="0" distB="0" distL="0" distR="0" wp14:anchorId="4C464FC9" wp14:editId="140C226D">
            <wp:extent cx="2173185" cy="1292907"/>
            <wp:effectExtent l="0" t="0" r="0" b="2540"/>
            <wp:docPr id="12862340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797" cy="1302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eastAsia="SimSun"/>
          <w:noProof/>
          <w:lang w:eastAsia="zh-CN"/>
        </w:rPr>
        <w:drawing>
          <wp:inline distT="0" distB="0" distL="0" distR="0" wp14:anchorId="1540DE32" wp14:editId="0849D8BB">
            <wp:extent cx="2149434" cy="1278777"/>
            <wp:effectExtent l="0" t="0" r="3810" b="0"/>
            <wp:docPr id="74577420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795" cy="1294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eastAsia="SimSun"/>
          <w:noProof/>
          <w:lang w:eastAsia="zh-CN"/>
        </w:rPr>
        <w:drawing>
          <wp:inline distT="0" distB="0" distL="0" distR="0" wp14:anchorId="262B2509" wp14:editId="5204414C">
            <wp:extent cx="2172970" cy="1292779"/>
            <wp:effectExtent l="0" t="0" r="0" b="3175"/>
            <wp:docPr id="98401893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600" cy="13032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FD6F73" w14:textId="77777777" w:rsidR="005853CD" w:rsidRDefault="005853CD" w:rsidP="005853CD">
      <w:pPr>
        <w:jc w:val="both"/>
      </w:pPr>
      <w:r w:rsidRPr="00912B45">
        <w:rPr>
          <w:b/>
          <w:bCs/>
        </w:rPr>
        <w:t>Supplementary Figure S1.</w:t>
      </w:r>
      <w:r>
        <w:t xml:space="preserve"> </w:t>
      </w:r>
      <w:r w:rsidRPr="00912B45">
        <w:rPr>
          <w:b/>
          <w:bCs/>
        </w:rPr>
        <w:t>Social-channel access manipulations.</w:t>
      </w:r>
      <w:r>
        <w:t xml:space="preserve"> Learning curves for bout success, episode reward, and observation rate for normal observers (L=normal), social-blind observers (L=blind; cue unavailable), and impaired-tracking observers (L=impaired; probabilistic cue detection with increased noise). Social blindness abolishes learning, while tracking impairments reduce asymptotic performance.</w:t>
      </w:r>
    </w:p>
    <w:p w14:paraId="78A96C23" w14:textId="77777777" w:rsidR="005853CD" w:rsidRDefault="005853CD" w:rsidP="005853CD">
      <w:pPr>
        <w:jc w:val="both"/>
        <w:rPr>
          <w:rFonts w:eastAsia="SimSun"/>
          <w:lang w:eastAsia="zh-CN"/>
        </w:rPr>
      </w:pPr>
    </w:p>
    <w:p w14:paraId="16A660FF" w14:textId="77777777" w:rsidR="005853CD" w:rsidRDefault="005853CD" w:rsidP="005853CD">
      <w:pPr>
        <w:jc w:val="both"/>
        <w:rPr>
          <w:rFonts w:eastAsia="SimSun"/>
          <w:lang w:eastAsia="zh-CN"/>
        </w:rPr>
      </w:pPr>
      <w:r>
        <w:rPr>
          <w:noProof/>
        </w:rPr>
        <w:drawing>
          <wp:inline distT="0" distB="0" distL="0" distR="0" wp14:anchorId="77C8DA2B" wp14:editId="4A6CFBCA">
            <wp:extent cx="5486400" cy="1517015"/>
            <wp:effectExtent l="0" t="0" r="0" b="6985"/>
            <wp:docPr id="73252563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1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3C7DE" w14:textId="77777777" w:rsidR="005853CD" w:rsidRDefault="005853CD" w:rsidP="005853CD">
      <w:pPr>
        <w:jc w:val="both"/>
        <w:rPr>
          <w:rFonts w:eastAsia="SimSun"/>
          <w:lang w:eastAsia="zh-CN"/>
        </w:rPr>
      </w:pPr>
      <w:r>
        <w:rPr>
          <w:noProof/>
        </w:rPr>
        <w:drawing>
          <wp:inline distT="0" distB="0" distL="0" distR="0" wp14:anchorId="4F34AC92" wp14:editId="255509FD">
            <wp:extent cx="5486400" cy="1518285"/>
            <wp:effectExtent l="0" t="0" r="0" b="5715"/>
            <wp:docPr id="189363748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1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75016" w14:textId="77777777" w:rsidR="005853CD" w:rsidRDefault="005853CD" w:rsidP="005853CD">
      <w:pPr>
        <w:jc w:val="both"/>
        <w:rPr>
          <w:rFonts w:eastAsia="SimSun"/>
          <w:lang w:eastAsia="zh-CN"/>
        </w:rPr>
      </w:pPr>
      <w:r>
        <w:rPr>
          <w:noProof/>
        </w:rPr>
        <w:lastRenderedPageBreak/>
        <w:drawing>
          <wp:inline distT="0" distB="0" distL="0" distR="0" wp14:anchorId="08710860" wp14:editId="0190A6A0">
            <wp:extent cx="2232025" cy="1328882"/>
            <wp:effectExtent l="0" t="0" r="0" b="5080"/>
            <wp:docPr id="97426136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6253" cy="1337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0D46AA" wp14:editId="6CD9FB75">
            <wp:extent cx="2232561" cy="1329201"/>
            <wp:effectExtent l="0" t="0" r="0" b="4445"/>
            <wp:docPr id="123726163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128" cy="1336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483DED" w14:textId="77777777" w:rsidR="005853CD" w:rsidRDefault="005853CD" w:rsidP="005853CD">
      <w:pPr>
        <w:jc w:val="both"/>
        <w:rPr>
          <w:rFonts w:eastAsia="SimSun"/>
          <w:lang w:eastAsia="zh-CN"/>
        </w:rPr>
      </w:pPr>
    </w:p>
    <w:p w14:paraId="027C7016" w14:textId="77777777" w:rsidR="005853CD" w:rsidRDefault="005853CD" w:rsidP="005853CD">
      <w:pPr>
        <w:jc w:val="both"/>
        <w:rPr>
          <w:rFonts w:eastAsia="SimSun"/>
          <w:lang w:eastAsia="zh-CN"/>
        </w:rPr>
      </w:pPr>
      <w:r>
        <w:rPr>
          <w:noProof/>
        </w:rPr>
        <w:drawing>
          <wp:inline distT="0" distB="0" distL="0" distR="0" wp14:anchorId="6771B8D9" wp14:editId="7D6D8025">
            <wp:extent cx="2232025" cy="1328882"/>
            <wp:effectExtent l="0" t="0" r="0" b="5080"/>
            <wp:docPr id="194086780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703" cy="1335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E73A69" wp14:editId="2BF8A8B9">
            <wp:extent cx="2214018" cy="1318161"/>
            <wp:effectExtent l="0" t="0" r="0" b="0"/>
            <wp:docPr id="127272973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040" cy="1323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4BE4D" w14:textId="77777777" w:rsidR="005853CD" w:rsidRDefault="005853CD" w:rsidP="005853CD">
      <w:pPr>
        <w:jc w:val="both"/>
        <w:rPr>
          <w:rFonts w:eastAsia="SimSun"/>
          <w:lang w:eastAsia="zh-CN"/>
        </w:rPr>
      </w:pPr>
    </w:p>
    <w:p w14:paraId="346586AA" w14:textId="77777777" w:rsidR="005853CD" w:rsidRDefault="005853CD" w:rsidP="005853CD">
      <w:pPr>
        <w:jc w:val="both"/>
        <w:rPr>
          <w:rFonts w:eastAsia="SimSun"/>
          <w:lang w:eastAsia="zh-CN"/>
        </w:rPr>
      </w:pPr>
      <w:r>
        <w:rPr>
          <w:noProof/>
        </w:rPr>
        <w:drawing>
          <wp:inline distT="0" distB="0" distL="0" distR="0" wp14:anchorId="10626AA4" wp14:editId="06F2CEEA">
            <wp:extent cx="2313750" cy="1377538"/>
            <wp:effectExtent l="0" t="0" r="0" b="0"/>
            <wp:docPr id="1414097962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268" cy="138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BE786" w14:textId="77777777" w:rsidR="005853CD" w:rsidRDefault="005853CD" w:rsidP="005853CD">
      <w:pPr>
        <w:jc w:val="both"/>
      </w:pPr>
      <w:r w:rsidRPr="00912B45">
        <w:rPr>
          <w:b/>
          <w:bCs/>
        </w:rPr>
        <w:t>Supplementary Figure S2.</w:t>
      </w:r>
      <w:r>
        <w:t xml:space="preserve"> </w:t>
      </w:r>
      <w:r w:rsidRPr="00912B45">
        <w:rPr>
          <w:b/>
          <w:bCs/>
        </w:rPr>
        <w:t>Familiarity facilitates observational learning.</w:t>
      </w:r>
      <w:r>
        <w:t xml:space="preserve"> When familiarity is enabled (F=on), repeated exposure improves cue detection and reduces the cost of attention, increasing bout-success learning rate and asymptotic performance, elevating episode reward, and altering cue-sighting and latency metrics relative to F=off.</w:t>
      </w:r>
    </w:p>
    <w:p w14:paraId="361DC943" w14:textId="77777777" w:rsidR="005853CD" w:rsidRDefault="005853CD" w:rsidP="005853CD">
      <w:pPr>
        <w:jc w:val="both"/>
        <w:rPr>
          <w:rFonts w:eastAsia="SimSun"/>
          <w:lang w:eastAsia="zh-CN"/>
        </w:rPr>
      </w:pPr>
    </w:p>
    <w:p w14:paraId="2FBED10E" w14:textId="77777777" w:rsidR="005853CD" w:rsidRDefault="005853CD" w:rsidP="005853CD">
      <w:pPr>
        <w:jc w:val="both"/>
        <w:rPr>
          <w:rFonts w:eastAsia="SimSun"/>
          <w:lang w:eastAsia="zh-CN"/>
        </w:rPr>
      </w:pPr>
      <w:r>
        <w:rPr>
          <w:noProof/>
        </w:rPr>
        <w:lastRenderedPageBreak/>
        <w:drawing>
          <wp:inline distT="0" distB="0" distL="0" distR="0" wp14:anchorId="1CF2A104" wp14:editId="71488A69">
            <wp:extent cx="5486400" cy="1517650"/>
            <wp:effectExtent l="0" t="0" r="0" b="6350"/>
            <wp:docPr id="133204794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EECFFD" wp14:editId="15DD9923">
            <wp:extent cx="5486400" cy="1515745"/>
            <wp:effectExtent l="0" t="0" r="0" b="8255"/>
            <wp:docPr id="35082817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1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D72A4D" wp14:editId="11BCDFAD">
            <wp:extent cx="2349988" cy="1401289"/>
            <wp:effectExtent l="0" t="0" r="0" b="8890"/>
            <wp:docPr id="154573848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369" cy="1405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3BFEC9" wp14:editId="05470CA6">
            <wp:extent cx="2161309" cy="1288781"/>
            <wp:effectExtent l="0" t="0" r="0" b="6985"/>
            <wp:docPr id="139662463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582" cy="1296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78DEC9" wp14:editId="493EB232">
            <wp:extent cx="2389817" cy="1425039"/>
            <wp:effectExtent l="0" t="0" r="0" b="3810"/>
            <wp:docPr id="36666228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378" cy="1428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E52C6F" wp14:editId="6094D866">
            <wp:extent cx="2409732" cy="1436914"/>
            <wp:effectExtent l="0" t="0" r="0" b="0"/>
            <wp:docPr id="178167924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864" cy="1441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inline distT="0" distB="0" distL="0" distR="0" wp14:anchorId="744958AD" wp14:editId="3CDBE906">
                <wp:extent cx="299720" cy="299720"/>
                <wp:effectExtent l="0" t="0" r="0" b="0"/>
                <wp:docPr id="1968914797" name="Rectangle 2" descr="Uploaded imag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99720" cy="299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91CE3E1" id="Rectangle 2" o:spid="_x0000_s1026" alt="Uploaded image" style="width:23.6pt;height:23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A8g0QEAAJ4DAAAOAAAAZHJzL2Uyb0RvYy54bWysU9tu2zAMfR/QfxD0vjgJsm4x4hRFiw4F&#10;ugvQ7QMUWbKF2aJKKnGyrx8lp0m2vQ17EShSPjw8PF7d7PtO7AySA1/J2WQqhfEaauebSn7/9vD2&#10;gxQUla9VB95U8mBI3qyv3qyGUJo5tNDVBgWDeCqHUMk2xlAWBenW9IomEIznogXsVeQrNkWNamD0&#10;vivm0+l1MQDWAUEbIs7ej0W5zvjWGh2/WEsmiq6SzC3mE/O5SWexXqmyQRVap4801D+w6JXz3PQE&#10;da+iElt0f0H1TiMQ2DjR0BdgrdMmz8DTzKZ/TPPcqmDyLCwOhZNM9P9g9efdc/iKiTqFJ9A/SHi4&#10;a5VvzC0Flo+XKs8pRBhao2pmMEvaFUOg8oSRLsRoYjN8gpq3rbYRsix7i33qwQOLfVb/cFLf7KPQ&#10;nJwvl+/nvCPNpWOcOqjy9eOAFD8a6EUKKonMLoOr3RPF8enrk9TLw4Prurzgzv+WYMyUyeQT3+QW&#10;KjdQH5g7wmgSNjUHLeBPKQY2SCXpZavQSNE9ep5/OVsskqPyZfEuU8fLyuayorxmqEpGKcbwLo4u&#10;3AZ0TZtlHjnesmbW5XnOrI5k2QRZkaNhk8su7/nV+bda/wIAAP//AwBQSwMEFAAGAAgAAAAhAKX7&#10;fPDZAAAAAwEAAA8AAABkcnMvZG93bnJldi54bWxMj0FLw0AQhe+C/2EZwYvYjUVUYjZFCmIRoTTV&#10;nqfZMQlmZ9PsNon/3lEPepnH8Ib3vskWk2vVQH1oPBu4miWgiEtvG64MvG4fL+9AhYhssfVMBj4p&#10;wCI/PckwtX7kDQ1FrJSEcEjRQB1jl2odypochpnviMV7973DKGtfadvjKOGu1fMkudEOG5aGGjta&#10;1lR+FEdnYCzXw2778qTXF7uV58PqsCzeno05P5se7kFFmuLfMXzjCzrkwrT3R7ZBtQbkkfgzxbu+&#10;nYPa/6rOM/2fPf8CAAD//wMAUEsBAi0AFAAGAAgAAAAhALaDOJL+AAAA4QEAABMAAAAAAAAAAAAA&#10;AAAAAAAAAFtDb250ZW50X1R5cGVzXS54bWxQSwECLQAUAAYACAAAACEAOP0h/9YAAACUAQAACwAA&#10;AAAAAAAAAAAAAAAvAQAAX3JlbHMvLnJlbHNQSwECLQAUAAYACAAAACEAqRwPINEBAACeAwAADgAA&#10;AAAAAAAAAAAAAAAuAgAAZHJzL2Uyb0RvYy54bWxQSwECLQAUAAYACAAAACEApft88NkAAAADAQAA&#10;DwAAAAAAAAAAAAAAAAAr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5B874E8A" wp14:editId="3B6659EE">
            <wp:extent cx="2386940" cy="1423323"/>
            <wp:effectExtent l="0" t="0" r="0" b="5715"/>
            <wp:docPr id="9336717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3150" cy="1432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66C507" w14:textId="77777777" w:rsidR="005853CD" w:rsidRDefault="005853CD" w:rsidP="005853CD">
      <w:pPr>
        <w:jc w:val="both"/>
      </w:pPr>
      <w:r w:rsidRPr="00912B45">
        <w:rPr>
          <w:b/>
          <w:bCs/>
        </w:rPr>
        <w:t>Supplementary Figure S3. Empathy-like intrinsic salience increases observation but can trade off with reward harvesting.</w:t>
      </w:r>
      <w:r>
        <w:t xml:space="preserve"> When empathy is enabled (E=on), the learner receives a small intrinsic reward upon successfully seeing a cue during a bout, increasing observation and cue-sighting rates; </w:t>
      </w:r>
      <w:r>
        <w:lastRenderedPageBreak/>
        <w:t>depending on weighting, this can modestly reduce bout success by promoting over-attendance relative to timely consumption.</w:t>
      </w:r>
    </w:p>
    <w:p w14:paraId="6FA16732" w14:textId="77777777" w:rsidR="005853CD" w:rsidRDefault="005853CD" w:rsidP="005853CD">
      <w:pPr>
        <w:jc w:val="both"/>
        <w:rPr>
          <w:rFonts w:eastAsia="SimSun"/>
          <w:lang w:eastAsia="zh-CN"/>
        </w:rPr>
      </w:pPr>
    </w:p>
    <w:p w14:paraId="1E00D836" w14:textId="77777777" w:rsidR="005853CD" w:rsidRDefault="005853CD" w:rsidP="005853CD">
      <w:pPr>
        <w:jc w:val="both"/>
        <w:rPr>
          <w:rFonts w:eastAsia="SimSun"/>
          <w:lang w:eastAsia="zh-CN"/>
        </w:rPr>
      </w:pPr>
      <w:r>
        <w:rPr>
          <w:noProof/>
        </w:rPr>
        <w:drawing>
          <wp:inline distT="0" distB="0" distL="0" distR="0" wp14:anchorId="65EE7799" wp14:editId="722CCAA0">
            <wp:extent cx="5486400" cy="1525270"/>
            <wp:effectExtent l="0" t="0" r="0" b="0"/>
            <wp:docPr id="653673510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2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7E25">
        <w:t xml:space="preserve"> </w:t>
      </w:r>
      <w:r>
        <w:rPr>
          <w:noProof/>
        </w:rPr>
        <w:drawing>
          <wp:inline distT="0" distB="0" distL="0" distR="0" wp14:anchorId="2A2947F4" wp14:editId="27974B34">
            <wp:extent cx="5486400" cy="1537970"/>
            <wp:effectExtent l="0" t="0" r="0" b="5080"/>
            <wp:docPr id="20593004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3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34A97" w14:textId="77777777" w:rsidR="005853CD" w:rsidRDefault="005853CD" w:rsidP="005853CD">
      <w:pPr>
        <w:jc w:val="both"/>
        <w:rPr>
          <w:rFonts w:eastAsia="SimSun"/>
          <w:lang w:eastAsia="zh-CN"/>
        </w:rPr>
      </w:pPr>
      <w:r>
        <w:rPr>
          <w:noProof/>
        </w:rPr>
        <w:drawing>
          <wp:inline distT="0" distB="0" distL="0" distR="0" wp14:anchorId="5CB41799" wp14:editId="43121408">
            <wp:extent cx="1914827" cy="1140031"/>
            <wp:effectExtent l="0" t="0" r="0" b="3175"/>
            <wp:docPr id="87451257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787" cy="1146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B37C21" wp14:editId="2709EE92">
            <wp:extent cx="2018805" cy="1201937"/>
            <wp:effectExtent l="0" t="0" r="635" b="0"/>
            <wp:docPr id="869332479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986" cy="1207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EAD7F8" wp14:editId="643D8450">
            <wp:extent cx="1694815" cy="1009043"/>
            <wp:effectExtent l="0" t="0" r="635" b="635"/>
            <wp:docPr id="364215275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92" cy="1015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B51676" wp14:editId="78EE2CE7">
            <wp:extent cx="1828800" cy="1088813"/>
            <wp:effectExtent l="0" t="0" r="0" b="0"/>
            <wp:docPr id="1230816837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977" cy="109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3FB85F" wp14:editId="6279E25E">
            <wp:extent cx="1695420" cy="1009403"/>
            <wp:effectExtent l="0" t="0" r="635" b="635"/>
            <wp:docPr id="113636598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891" cy="101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013475" w14:textId="77777777" w:rsidR="005853CD" w:rsidRPr="006E7DA5" w:rsidRDefault="005853CD" w:rsidP="005853CD">
      <w:pPr>
        <w:jc w:val="both"/>
        <w:rPr>
          <w:rFonts w:eastAsia="SimSun"/>
          <w:lang w:eastAsia="zh-CN"/>
        </w:rPr>
      </w:pPr>
      <w:r w:rsidRPr="00912B45">
        <w:rPr>
          <w:b/>
          <w:bCs/>
        </w:rPr>
        <w:t xml:space="preserve">Supplementary Figure S4. Demonstrator palatability modulates the temporal opportunity to learn. </w:t>
      </w:r>
      <w:r>
        <w:t>High palatability (T=high) corresponds to longer mean lick bouts (longer cue bursts), whereas low palatability (T=low) corresponds to short bouts that make observation time-critical. Short bouts markedly suppress learning and increase latency.</w:t>
      </w:r>
    </w:p>
    <w:p w14:paraId="249842C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3CD"/>
    <w:rsid w:val="00195413"/>
    <w:rsid w:val="003D0186"/>
    <w:rsid w:val="005853CD"/>
    <w:rsid w:val="007278E4"/>
    <w:rsid w:val="00A3738C"/>
    <w:rsid w:val="00BC6C35"/>
    <w:rsid w:val="00CB270D"/>
    <w:rsid w:val="00CF7583"/>
    <w:rsid w:val="00DE6AE2"/>
    <w:rsid w:val="00E71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7BFC2"/>
  <w15:chartTrackingRefBased/>
  <w15:docId w15:val="{84CFAAD8-2B0E-4D72-BB7C-0E6BFB7FE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3CD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53C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53C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53C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53C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53C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53C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53C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53C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53C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53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53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53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53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53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53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53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53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53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53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53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53C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53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53CD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53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53CD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53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53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53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53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212</Words>
  <Characters>1334</Characters>
  <Application>Microsoft Office Word</Application>
  <DocSecurity>0</DocSecurity>
  <Lines>21</Lines>
  <Paragraphs>5</Paragraphs>
  <ScaleCrop>false</ScaleCrop>
  <Company>Springer Nature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2026-03-12T07:08:00Z</dcterms:created>
  <dcterms:modified xsi:type="dcterms:W3CDTF">2026-03-12T07:08:00Z</dcterms:modified>
</cp:coreProperties>
</file>