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63" w:type="dxa"/>
        <w:tblInd w:w="-108" w:type="dxa"/>
        <w:tblBorders>
          <w:top w:val="single" w:sz="4" w:space="0" w:color="auto"/>
          <w:bottom w:val="single" w:sz="4" w:space="0" w:color="auto"/>
        </w:tblBorders>
        <w:tblLook w:val="04A0" w:firstRow="1" w:lastRow="0" w:firstColumn="1" w:lastColumn="0" w:noHBand="0" w:noVBand="1"/>
      </w:tblPr>
      <w:tblGrid>
        <w:gridCol w:w="1407"/>
        <w:gridCol w:w="3578"/>
        <w:gridCol w:w="4678"/>
      </w:tblGrid>
      <w:tr w:rsidR="002074E4" w:rsidRPr="003A29E0" w14:paraId="6889061C" w14:textId="77777777" w:rsidTr="00043D84">
        <w:trPr>
          <w:cantSplit/>
          <w:trHeight w:val="565"/>
        </w:trPr>
        <w:tc>
          <w:tcPr>
            <w:tcW w:w="9663" w:type="dxa"/>
            <w:gridSpan w:val="3"/>
            <w:tcBorders>
              <w:top w:val="nil"/>
              <w:bottom w:val="single" w:sz="4" w:space="0" w:color="auto"/>
            </w:tcBorders>
            <w:noWrap/>
            <w:vAlign w:val="center"/>
          </w:tcPr>
          <w:p w14:paraId="4199E59C" w14:textId="77777777" w:rsidR="002074E4" w:rsidRDefault="002074E4" w:rsidP="00043D84">
            <w:pPr>
              <w:jc w:val="center"/>
              <w:rPr>
                <w:b/>
                <w:bCs/>
              </w:rPr>
            </w:pPr>
            <w:r>
              <w:rPr>
                <w:rFonts w:hint="eastAsia"/>
                <w:b/>
                <w:bCs/>
              </w:rPr>
              <w:t>Appendix A</w:t>
            </w:r>
          </w:p>
          <w:p w14:paraId="480A7BB2" w14:textId="77777777" w:rsidR="002074E4" w:rsidRPr="00B5401E" w:rsidRDefault="002074E4" w:rsidP="00043D84">
            <w:pPr>
              <w:rPr>
                <w:b/>
                <w:bCs/>
              </w:rPr>
            </w:pPr>
            <w:r w:rsidRPr="00B5401E">
              <w:rPr>
                <w:rFonts w:hint="eastAsia"/>
                <w:b/>
                <w:bCs/>
              </w:rPr>
              <w:t xml:space="preserve">Table </w:t>
            </w:r>
            <w:r>
              <w:rPr>
                <w:rFonts w:hint="eastAsia"/>
                <w:b/>
                <w:bCs/>
              </w:rPr>
              <w:t>A1</w:t>
            </w:r>
          </w:p>
          <w:p w14:paraId="55383654" w14:textId="77777777" w:rsidR="002074E4" w:rsidRPr="00D51C99" w:rsidRDefault="002074E4" w:rsidP="00043D84">
            <w:pPr>
              <w:rPr>
                <w:i/>
                <w:iCs/>
              </w:rPr>
            </w:pPr>
            <w:r w:rsidRPr="00D51C99">
              <w:rPr>
                <w:rFonts w:hint="eastAsia"/>
                <w:i/>
                <w:iCs/>
              </w:rPr>
              <w:t>Research aims and main findings of the included articles</w:t>
            </w:r>
          </w:p>
        </w:tc>
      </w:tr>
      <w:tr w:rsidR="002074E4" w:rsidRPr="003A29E0" w14:paraId="44C5F946" w14:textId="77777777" w:rsidTr="00043D84">
        <w:trPr>
          <w:cantSplit/>
          <w:trHeight w:val="565"/>
        </w:trPr>
        <w:tc>
          <w:tcPr>
            <w:tcW w:w="1407" w:type="dxa"/>
            <w:tcBorders>
              <w:top w:val="single" w:sz="4" w:space="0" w:color="auto"/>
              <w:bottom w:val="single" w:sz="4" w:space="0" w:color="auto"/>
            </w:tcBorders>
            <w:noWrap/>
            <w:vAlign w:val="center"/>
            <w:hideMark/>
          </w:tcPr>
          <w:p w14:paraId="6BBC58F4" w14:textId="77777777" w:rsidR="002074E4" w:rsidRPr="0065639A" w:rsidRDefault="002074E4" w:rsidP="00043D84">
            <w:pPr>
              <w:spacing w:line="360" w:lineRule="auto"/>
            </w:pPr>
            <w:r>
              <w:t>Studies</w:t>
            </w:r>
          </w:p>
        </w:tc>
        <w:tc>
          <w:tcPr>
            <w:tcW w:w="3578" w:type="dxa"/>
            <w:tcBorders>
              <w:top w:val="single" w:sz="4" w:space="0" w:color="auto"/>
              <w:bottom w:val="single" w:sz="4" w:space="0" w:color="auto"/>
            </w:tcBorders>
            <w:noWrap/>
            <w:vAlign w:val="center"/>
            <w:hideMark/>
          </w:tcPr>
          <w:p w14:paraId="33AD815A" w14:textId="77777777" w:rsidR="002074E4" w:rsidRPr="0065639A" w:rsidRDefault="002074E4" w:rsidP="00043D84">
            <w:pPr>
              <w:spacing w:line="360" w:lineRule="auto"/>
            </w:pPr>
            <w:r w:rsidRPr="0065639A">
              <w:t>Research Aims</w:t>
            </w:r>
          </w:p>
        </w:tc>
        <w:tc>
          <w:tcPr>
            <w:tcW w:w="4678" w:type="dxa"/>
            <w:tcBorders>
              <w:top w:val="single" w:sz="4" w:space="0" w:color="auto"/>
              <w:bottom w:val="single" w:sz="4" w:space="0" w:color="auto"/>
            </w:tcBorders>
            <w:noWrap/>
            <w:vAlign w:val="center"/>
            <w:hideMark/>
          </w:tcPr>
          <w:p w14:paraId="22482526" w14:textId="77777777" w:rsidR="002074E4" w:rsidRPr="0065639A" w:rsidRDefault="002074E4" w:rsidP="00043D84">
            <w:pPr>
              <w:spacing w:line="360" w:lineRule="auto"/>
            </w:pPr>
            <w:r w:rsidRPr="0065639A">
              <w:t>Main Finding</w:t>
            </w:r>
          </w:p>
        </w:tc>
      </w:tr>
      <w:tr w:rsidR="002074E4" w:rsidRPr="003A29E0" w14:paraId="237818CD" w14:textId="77777777" w:rsidTr="00043D84">
        <w:trPr>
          <w:cantSplit/>
          <w:trHeight w:val="1134"/>
        </w:trPr>
        <w:tc>
          <w:tcPr>
            <w:tcW w:w="1407" w:type="dxa"/>
            <w:tcBorders>
              <w:top w:val="single" w:sz="4" w:space="0" w:color="auto"/>
            </w:tcBorders>
            <w:noWrap/>
            <w:hideMark/>
          </w:tcPr>
          <w:p w14:paraId="79F8BD6E" w14:textId="77777777" w:rsidR="002074E4" w:rsidRPr="0065639A" w:rsidRDefault="002074E4" w:rsidP="00043D84">
            <w:pPr>
              <w:ind w:left="341" w:hanging="284"/>
              <w:rPr>
                <w:lang w:eastAsia="zh-TW"/>
              </w:rPr>
            </w:pPr>
            <w:r w:rsidRPr="0065639A">
              <w:t>Ta</w:t>
            </w:r>
            <w:r>
              <w:rPr>
                <w:rFonts w:hint="eastAsia"/>
              </w:rPr>
              <w:t>p</w:t>
            </w:r>
            <w:r w:rsidRPr="0065639A">
              <w:t>lin</w:t>
            </w:r>
            <w:r>
              <w:t xml:space="preserve"> (</w:t>
            </w:r>
            <w:r w:rsidRPr="0065639A">
              <w:t>2024</w:t>
            </w:r>
            <w:r>
              <w:t>)</w:t>
            </w:r>
          </w:p>
        </w:tc>
        <w:tc>
          <w:tcPr>
            <w:tcW w:w="3578" w:type="dxa"/>
            <w:tcBorders>
              <w:top w:val="single" w:sz="4" w:space="0" w:color="auto"/>
            </w:tcBorders>
            <w:noWrap/>
            <w:hideMark/>
          </w:tcPr>
          <w:p w14:paraId="56881E58" w14:textId="77777777" w:rsidR="002074E4" w:rsidRPr="0065639A" w:rsidRDefault="002074E4" w:rsidP="00043D84">
            <w:pPr>
              <w:ind w:left="341" w:hanging="284"/>
              <w:rPr>
                <w:lang w:eastAsia="zh-TW"/>
              </w:rPr>
            </w:pPr>
            <w:r w:rsidRPr="0065639A">
              <w:rPr>
                <w:lang w:eastAsia="zh-TW"/>
              </w:rPr>
              <w:t>To explore significant themes in the Waldorf approach to early childhood education, emphasizing the alignment of its foundational principles with contemporary child development research.</w:t>
            </w:r>
          </w:p>
        </w:tc>
        <w:tc>
          <w:tcPr>
            <w:tcW w:w="4678" w:type="dxa"/>
            <w:tcBorders>
              <w:top w:val="single" w:sz="4" w:space="0" w:color="auto"/>
            </w:tcBorders>
            <w:noWrap/>
            <w:hideMark/>
          </w:tcPr>
          <w:p w14:paraId="3F00F9B3" w14:textId="77777777" w:rsidR="002074E4" w:rsidRPr="0065639A" w:rsidRDefault="002074E4" w:rsidP="00043D84">
            <w:pPr>
              <w:ind w:left="341" w:hanging="284"/>
              <w:rPr>
                <w:lang w:eastAsia="zh-TW"/>
              </w:rPr>
            </w:pPr>
            <w:r>
              <w:rPr>
                <w:lang w:eastAsia="zh-TW"/>
              </w:rPr>
              <w:t xml:space="preserve">The main </w:t>
            </w:r>
            <w:r w:rsidRPr="008E5CD0">
              <w:rPr>
                <w:lang w:eastAsia="zh-TW"/>
              </w:rPr>
              <w:t>findings highlight the prioritization of social and emotional development, the creation of a sensory-friendly environment, the promotion of nature connections, the need to protect child-initiated play from academic pressures, and the importance of practitioners' inner development. Th</w:t>
            </w:r>
            <w:r>
              <w:rPr>
                <w:lang w:eastAsia="zh-TW"/>
              </w:rPr>
              <w:t>is article</w:t>
            </w:r>
            <w:r w:rsidRPr="008E5CD0">
              <w:rPr>
                <w:lang w:eastAsia="zh-TW"/>
              </w:rPr>
              <w:t xml:space="preserve"> concludes by identifying three future areas of focus for Waldorf early childhood practitioners.</w:t>
            </w:r>
          </w:p>
        </w:tc>
      </w:tr>
      <w:tr w:rsidR="002074E4" w:rsidRPr="003A29E0" w14:paraId="43C27B4B" w14:textId="77777777" w:rsidTr="00043D84">
        <w:trPr>
          <w:cantSplit/>
          <w:trHeight w:val="1134"/>
        </w:trPr>
        <w:tc>
          <w:tcPr>
            <w:tcW w:w="1407" w:type="dxa"/>
            <w:noWrap/>
            <w:hideMark/>
          </w:tcPr>
          <w:p w14:paraId="515C42F8" w14:textId="77777777" w:rsidR="002074E4" w:rsidRPr="0065639A" w:rsidRDefault="002074E4" w:rsidP="00043D84">
            <w:pPr>
              <w:ind w:left="341" w:hanging="284"/>
            </w:pPr>
            <w:r w:rsidRPr="0065639A">
              <w:t>Nome</w:t>
            </w:r>
            <w:r>
              <w:t xml:space="preserve"> (</w:t>
            </w:r>
            <w:r w:rsidRPr="0065639A">
              <w:t>2024</w:t>
            </w:r>
            <w:r>
              <w:t>)</w:t>
            </w:r>
          </w:p>
        </w:tc>
        <w:tc>
          <w:tcPr>
            <w:tcW w:w="3578" w:type="dxa"/>
            <w:noWrap/>
            <w:hideMark/>
          </w:tcPr>
          <w:p w14:paraId="5B81FD68" w14:textId="77777777" w:rsidR="002074E4" w:rsidRPr="0065639A" w:rsidRDefault="002074E4" w:rsidP="00043D84">
            <w:pPr>
              <w:ind w:left="341" w:hanging="284"/>
            </w:pPr>
            <w:r w:rsidRPr="0065639A">
              <w:t>To explore how child-initiated play in Waldorf kindergartens fosters the development of democratic skills through negotiations about play scripts, using participatory observations and recordings.</w:t>
            </w:r>
          </w:p>
        </w:tc>
        <w:tc>
          <w:tcPr>
            <w:tcW w:w="4678" w:type="dxa"/>
            <w:noWrap/>
            <w:hideMark/>
          </w:tcPr>
          <w:p w14:paraId="24E36C67" w14:textId="77777777" w:rsidR="002074E4" w:rsidRPr="0065639A" w:rsidRDefault="002074E4" w:rsidP="00043D84">
            <w:pPr>
              <w:ind w:left="341" w:hanging="284"/>
              <w:rPr>
                <w:lang w:eastAsia="zh-TW"/>
              </w:rPr>
            </w:pPr>
            <w:r w:rsidRPr="0065639A">
              <w:rPr>
                <w:lang w:eastAsia="zh-TW"/>
              </w:rPr>
              <w:t>Findings indicate that resistance in play negotiations arises from the play materials, previous scripts, and play partners, with open-ended materials contributing greater complexity to these interactions compared to processed toys. This complexity increases the risk of negotiation failure, highlighting the unique dynamics of play in Waldorf settings.</w:t>
            </w:r>
          </w:p>
        </w:tc>
      </w:tr>
    </w:tbl>
    <w:p w14:paraId="1700B7DA" w14:textId="77777777" w:rsidR="002074E4" w:rsidRDefault="002074E4" w:rsidP="002074E4"/>
    <w:tbl>
      <w:tblPr>
        <w:tblW w:w="9663" w:type="dxa"/>
        <w:tblInd w:w="-108" w:type="dxa"/>
        <w:tblBorders>
          <w:top w:val="single" w:sz="4" w:space="0" w:color="auto"/>
          <w:bottom w:val="single" w:sz="4" w:space="0" w:color="auto"/>
        </w:tblBorders>
        <w:tblLook w:val="04A0" w:firstRow="1" w:lastRow="0" w:firstColumn="1" w:lastColumn="0" w:noHBand="0" w:noVBand="1"/>
      </w:tblPr>
      <w:tblGrid>
        <w:gridCol w:w="1407"/>
        <w:gridCol w:w="3578"/>
        <w:gridCol w:w="4678"/>
      </w:tblGrid>
      <w:tr w:rsidR="002074E4" w:rsidRPr="003A29E0" w14:paraId="57D5BAEC" w14:textId="77777777" w:rsidTr="00043D84">
        <w:trPr>
          <w:cantSplit/>
          <w:trHeight w:val="567"/>
          <w:tblHeader/>
        </w:trPr>
        <w:tc>
          <w:tcPr>
            <w:tcW w:w="9663" w:type="dxa"/>
            <w:gridSpan w:val="3"/>
            <w:tcBorders>
              <w:top w:val="nil"/>
              <w:bottom w:val="single" w:sz="4" w:space="0" w:color="auto"/>
            </w:tcBorders>
            <w:noWrap/>
            <w:vAlign w:val="center"/>
          </w:tcPr>
          <w:p w14:paraId="1199E43D" w14:textId="77777777" w:rsidR="002074E4" w:rsidRPr="00D51C99" w:rsidRDefault="002074E4" w:rsidP="00043D84">
            <w:pPr>
              <w:rPr>
                <w:b/>
                <w:bCs/>
              </w:rPr>
            </w:pPr>
            <w:r w:rsidRPr="00B5401E">
              <w:rPr>
                <w:rFonts w:hint="eastAsia"/>
                <w:b/>
                <w:bCs/>
              </w:rPr>
              <w:lastRenderedPageBreak/>
              <w:t>Table 2</w:t>
            </w:r>
            <w:r>
              <w:rPr>
                <w:rFonts w:hint="eastAsia"/>
                <w:b/>
                <w:bCs/>
              </w:rPr>
              <w:t xml:space="preserve"> (continued)</w:t>
            </w:r>
          </w:p>
        </w:tc>
      </w:tr>
      <w:tr w:rsidR="002074E4" w:rsidRPr="003A29E0" w14:paraId="23DFA30D" w14:textId="77777777" w:rsidTr="00043D84">
        <w:trPr>
          <w:cantSplit/>
          <w:trHeight w:val="582"/>
          <w:tblHeader/>
        </w:trPr>
        <w:tc>
          <w:tcPr>
            <w:tcW w:w="1407" w:type="dxa"/>
            <w:tcBorders>
              <w:top w:val="single" w:sz="4" w:space="0" w:color="auto"/>
              <w:bottom w:val="single" w:sz="4" w:space="0" w:color="auto"/>
            </w:tcBorders>
            <w:noWrap/>
            <w:vAlign w:val="center"/>
          </w:tcPr>
          <w:p w14:paraId="3D70C381" w14:textId="77777777" w:rsidR="002074E4" w:rsidRPr="0065639A" w:rsidRDefault="002074E4" w:rsidP="00043D84">
            <w:pPr>
              <w:spacing w:line="360" w:lineRule="auto"/>
              <w:ind w:left="341" w:hanging="284"/>
            </w:pPr>
            <w:r>
              <w:t>Studies</w:t>
            </w:r>
          </w:p>
        </w:tc>
        <w:tc>
          <w:tcPr>
            <w:tcW w:w="3578" w:type="dxa"/>
            <w:tcBorders>
              <w:top w:val="single" w:sz="4" w:space="0" w:color="auto"/>
              <w:bottom w:val="single" w:sz="4" w:space="0" w:color="auto"/>
            </w:tcBorders>
            <w:noWrap/>
            <w:vAlign w:val="center"/>
          </w:tcPr>
          <w:p w14:paraId="2A09088D" w14:textId="77777777" w:rsidR="002074E4" w:rsidRPr="0065639A" w:rsidRDefault="002074E4" w:rsidP="00043D84">
            <w:pPr>
              <w:spacing w:line="360" w:lineRule="auto"/>
              <w:ind w:left="341" w:hanging="284"/>
              <w:rPr>
                <w:lang w:eastAsia="zh-TW"/>
              </w:rPr>
            </w:pPr>
            <w:r w:rsidRPr="0065639A">
              <w:t>Research Aims</w:t>
            </w:r>
          </w:p>
        </w:tc>
        <w:tc>
          <w:tcPr>
            <w:tcW w:w="4678" w:type="dxa"/>
            <w:tcBorders>
              <w:top w:val="single" w:sz="4" w:space="0" w:color="auto"/>
              <w:bottom w:val="single" w:sz="4" w:space="0" w:color="auto"/>
            </w:tcBorders>
            <w:noWrap/>
            <w:vAlign w:val="center"/>
          </w:tcPr>
          <w:p w14:paraId="3799D726" w14:textId="77777777" w:rsidR="002074E4" w:rsidRPr="0065639A" w:rsidRDefault="002074E4" w:rsidP="00043D84">
            <w:pPr>
              <w:spacing w:line="360" w:lineRule="auto"/>
              <w:ind w:left="341" w:hanging="284"/>
            </w:pPr>
            <w:r w:rsidRPr="0065639A">
              <w:t>Main Finding</w:t>
            </w:r>
          </w:p>
        </w:tc>
      </w:tr>
      <w:tr w:rsidR="002074E4" w:rsidRPr="003A29E0" w14:paraId="46EF5CB1" w14:textId="77777777" w:rsidTr="00043D84">
        <w:trPr>
          <w:cantSplit/>
          <w:trHeight w:val="1134"/>
        </w:trPr>
        <w:tc>
          <w:tcPr>
            <w:tcW w:w="1407" w:type="dxa"/>
            <w:tcBorders>
              <w:top w:val="single" w:sz="4" w:space="0" w:color="auto"/>
            </w:tcBorders>
            <w:noWrap/>
            <w:hideMark/>
          </w:tcPr>
          <w:p w14:paraId="557EDFD2" w14:textId="77777777" w:rsidR="002074E4" w:rsidRPr="0065639A" w:rsidRDefault="002074E4" w:rsidP="00043D84">
            <w:pPr>
              <w:spacing w:line="360" w:lineRule="auto"/>
              <w:ind w:left="341" w:hanging="284"/>
              <w:rPr>
                <w:lang w:eastAsia="zh-TW"/>
              </w:rPr>
            </w:pPr>
            <w:r w:rsidRPr="0065639A">
              <w:t>Knight</w:t>
            </w:r>
            <w:r>
              <w:t xml:space="preserve"> (</w:t>
            </w:r>
            <w:r w:rsidRPr="0065639A">
              <w:t>2024</w:t>
            </w:r>
            <w:r>
              <w:t>)</w:t>
            </w:r>
          </w:p>
        </w:tc>
        <w:tc>
          <w:tcPr>
            <w:tcW w:w="3578" w:type="dxa"/>
            <w:tcBorders>
              <w:top w:val="single" w:sz="4" w:space="0" w:color="auto"/>
            </w:tcBorders>
            <w:noWrap/>
            <w:hideMark/>
          </w:tcPr>
          <w:p w14:paraId="7F5D5AAB" w14:textId="77777777" w:rsidR="002074E4" w:rsidRPr="0065639A" w:rsidRDefault="002074E4" w:rsidP="00043D84">
            <w:pPr>
              <w:spacing w:line="360" w:lineRule="auto"/>
              <w:ind w:left="341" w:hanging="284"/>
              <w:rPr>
                <w:lang w:eastAsia="zh-TW"/>
              </w:rPr>
            </w:pPr>
            <w:r w:rsidRPr="0065639A">
              <w:rPr>
                <w:lang w:eastAsia="zh-TW"/>
              </w:rPr>
              <w:t>To examine how North American Waldorf educators navigate colonial legacies in their understanding of childhood and the assumptions that inform the pedagogical space of Waldorf kindergartens.</w:t>
            </w:r>
          </w:p>
        </w:tc>
        <w:tc>
          <w:tcPr>
            <w:tcW w:w="4678" w:type="dxa"/>
            <w:tcBorders>
              <w:top w:val="single" w:sz="4" w:space="0" w:color="auto"/>
            </w:tcBorders>
            <w:noWrap/>
            <w:hideMark/>
          </w:tcPr>
          <w:p w14:paraId="3B6C5B17" w14:textId="77777777" w:rsidR="002074E4" w:rsidRPr="0065639A" w:rsidRDefault="002074E4" w:rsidP="00043D84">
            <w:pPr>
              <w:spacing w:line="360" w:lineRule="auto"/>
              <w:ind w:left="341" w:hanging="284"/>
            </w:pPr>
            <w:r w:rsidRPr="0065639A">
              <w:t>The main findings reveal that these assumptions, rooted in colonial narratives about children being close to nature and home, are not neutral and perpetuate racism and ableism, impacting how educators engage with dominant Western views of childhood. This study highlights the need for awareness among educators regarding the historical contexts shaping their pedagogical practices.</w:t>
            </w:r>
          </w:p>
        </w:tc>
      </w:tr>
      <w:tr w:rsidR="002074E4" w:rsidRPr="003A29E0" w14:paraId="0B3FB3E7" w14:textId="77777777" w:rsidTr="00043D84">
        <w:trPr>
          <w:cantSplit/>
          <w:trHeight w:val="1134"/>
        </w:trPr>
        <w:tc>
          <w:tcPr>
            <w:tcW w:w="1407" w:type="dxa"/>
            <w:noWrap/>
          </w:tcPr>
          <w:p w14:paraId="67C3DC3F" w14:textId="77777777" w:rsidR="002074E4" w:rsidRPr="0065639A" w:rsidRDefault="002074E4" w:rsidP="00043D84">
            <w:pPr>
              <w:spacing w:line="360" w:lineRule="auto"/>
              <w:ind w:left="341" w:hanging="284"/>
            </w:pPr>
            <w:r w:rsidRPr="0065639A">
              <w:t>Becker</w:t>
            </w:r>
            <w:r>
              <w:rPr>
                <w:rFonts w:hint="eastAsia"/>
              </w:rPr>
              <w:t xml:space="preserve"> </w:t>
            </w:r>
            <w:r w:rsidRPr="0065639A">
              <w:t>et al.</w:t>
            </w:r>
            <w:r>
              <w:rPr>
                <w:rFonts w:hint="eastAsia"/>
              </w:rPr>
              <w:t xml:space="preserve"> </w:t>
            </w:r>
            <w:r>
              <w:t>(</w:t>
            </w:r>
            <w:r w:rsidRPr="0065639A">
              <w:t>2023</w:t>
            </w:r>
            <w:r>
              <w:t>)</w:t>
            </w:r>
          </w:p>
        </w:tc>
        <w:tc>
          <w:tcPr>
            <w:tcW w:w="3578" w:type="dxa"/>
            <w:noWrap/>
          </w:tcPr>
          <w:p w14:paraId="5FE556F1" w14:textId="77777777" w:rsidR="002074E4" w:rsidRPr="0065639A" w:rsidRDefault="002074E4" w:rsidP="00043D84">
            <w:pPr>
              <w:spacing w:line="360" w:lineRule="auto"/>
              <w:ind w:left="341" w:hanging="284"/>
              <w:rPr>
                <w:lang w:eastAsia="zh-TW"/>
              </w:rPr>
            </w:pPr>
            <w:r w:rsidRPr="0065639A">
              <w:t>To explore how alternative education systems—Reggio Emilia, Montessori, and Waldorf—approach early childhood assessment in a developmentally appropriate manner.</w:t>
            </w:r>
          </w:p>
        </w:tc>
        <w:tc>
          <w:tcPr>
            <w:tcW w:w="4678" w:type="dxa"/>
            <w:noWrap/>
          </w:tcPr>
          <w:p w14:paraId="7C4557A1" w14:textId="77777777" w:rsidR="002074E4" w:rsidRPr="0065639A" w:rsidRDefault="002074E4" w:rsidP="00043D84">
            <w:pPr>
              <w:spacing w:line="360" w:lineRule="auto"/>
              <w:ind w:left="341" w:hanging="284"/>
            </w:pPr>
            <w:r w:rsidRPr="0065639A">
              <w:t>The main findings indicate that these systems prioritize understanding each child's unique learning through engagement-focused assessments, aligning with the National Association for the Education of Young Children’s (NAEYC) recommendations. Effective assessment practices include individualized techniques like observation and the use of artifacts, ensuring that assessments reflect children's interactive learning experiences.</w:t>
            </w:r>
          </w:p>
        </w:tc>
      </w:tr>
      <w:tr w:rsidR="002074E4" w:rsidRPr="003A29E0" w14:paraId="35965CF8" w14:textId="77777777" w:rsidTr="00043D84">
        <w:trPr>
          <w:cantSplit/>
          <w:trHeight w:val="1134"/>
        </w:trPr>
        <w:tc>
          <w:tcPr>
            <w:tcW w:w="1407" w:type="dxa"/>
            <w:noWrap/>
          </w:tcPr>
          <w:p w14:paraId="25E55480" w14:textId="77777777" w:rsidR="002074E4" w:rsidRPr="0065639A" w:rsidRDefault="002074E4" w:rsidP="00043D84">
            <w:pPr>
              <w:spacing w:line="360" w:lineRule="auto"/>
              <w:ind w:left="341" w:hanging="284"/>
            </w:pPr>
            <w:r w:rsidRPr="0065639A">
              <w:lastRenderedPageBreak/>
              <w:t>Wilson</w:t>
            </w:r>
            <w:r>
              <w:t xml:space="preserve"> (</w:t>
            </w:r>
            <w:r w:rsidRPr="0065639A">
              <w:t>2022</w:t>
            </w:r>
            <w:r>
              <w:t>)</w:t>
            </w:r>
          </w:p>
        </w:tc>
        <w:tc>
          <w:tcPr>
            <w:tcW w:w="3578" w:type="dxa"/>
            <w:noWrap/>
          </w:tcPr>
          <w:p w14:paraId="69E77316" w14:textId="77777777" w:rsidR="002074E4" w:rsidRPr="0065639A" w:rsidRDefault="002074E4" w:rsidP="00043D84">
            <w:pPr>
              <w:spacing w:line="360" w:lineRule="auto"/>
              <w:ind w:left="341" w:hanging="284"/>
            </w:pPr>
            <w:r w:rsidRPr="0065639A">
              <w:t xml:space="preserve">To critically analyze the cultural meanings of child-centeredness in US early childhood education, focusing on Waldorf education as an alternative that seeks to </w:t>
            </w:r>
            <w:r>
              <w:t>“</w:t>
            </w:r>
            <w:r w:rsidRPr="0065639A">
              <w:t>protect childhood</w:t>
            </w:r>
            <w:r>
              <w:t>”</w:t>
            </w:r>
            <w:r w:rsidRPr="0065639A">
              <w:t xml:space="preserve"> from modern societal dangers.</w:t>
            </w:r>
          </w:p>
        </w:tc>
        <w:tc>
          <w:tcPr>
            <w:tcW w:w="4678" w:type="dxa"/>
            <w:noWrap/>
          </w:tcPr>
          <w:p w14:paraId="6F3702DC" w14:textId="77777777" w:rsidR="002074E4" w:rsidRPr="00E776F5" w:rsidRDefault="002074E4" w:rsidP="00043D84">
            <w:pPr>
              <w:spacing w:line="360" w:lineRule="auto"/>
              <w:ind w:left="341" w:hanging="284"/>
              <w:rPr>
                <w:lang w:eastAsia="zh-TW"/>
              </w:rPr>
            </w:pPr>
            <w:r w:rsidRPr="0065639A">
              <w:t xml:space="preserve">The main finds indicate </w:t>
            </w:r>
            <w:r w:rsidRPr="00E776F5">
              <w:t>that, despite its child-centered claims, Waldorf education often reinforces a Western, middle-class conception of childhood and can impose adult-sanctioned norms on children rather than liberating them. The author suggests a shift towards discourses and practices that genuinely promote child liberation instead of merely maintaining regulatory frameworks.</w:t>
            </w:r>
          </w:p>
          <w:p w14:paraId="2C759308" w14:textId="77777777" w:rsidR="002074E4" w:rsidRPr="0065639A" w:rsidRDefault="002074E4" w:rsidP="00043D84">
            <w:pPr>
              <w:spacing w:line="360" w:lineRule="auto"/>
              <w:ind w:left="341" w:hanging="284"/>
            </w:pPr>
          </w:p>
        </w:tc>
      </w:tr>
      <w:tr w:rsidR="002074E4" w:rsidRPr="003A29E0" w14:paraId="491AE675" w14:textId="77777777" w:rsidTr="00043D84">
        <w:trPr>
          <w:cantSplit/>
          <w:trHeight w:val="1134"/>
        </w:trPr>
        <w:tc>
          <w:tcPr>
            <w:tcW w:w="1407" w:type="dxa"/>
            <w:noWrap/>
          </w:tcPr>
          <w:p w14:paraId="64795F5F" w14:textId="77777777" w:rsidR="002074E4" w:rsidRPr="0065639A" w:rsidRDefault="002074E4" w:rsidP="00043D84">
            <w:pPr>
              <w:spacing w:line="360" w:lineRule="auto"/>
              <w:ind w:left="341" w:hanging="284"/>
            </w:pPr>
            <w:r w:rsidRPr="0065639A">
              <w:t>Kvintova et al.</w:t>
            </w:r>
            <w:r>
              <w:t xml:space="preserve"> (</w:t>
            </w:r>
            <w:r w:rsidRPr="0065639A">
              <w:t>2022</w:t>
            </w:r>
            <w:r>
              <w:t>)</w:t>
            </w:r>
          </w:p>
        </w:tc>
        <w:tc>
          <w:tcPr>
            <w:tcW w:w="3578" w:type="dxa"/>
            <w:noWrap/>
          </w:tcPr>
          <w:p w14:paraId="1F4CB214" w14:textId="77777777" w:rsidR="002074E4" w:rsidRPr="0065639A" w:rsidRDefault="002074E4" w:rsidP="00043D84">
            <w:pPr>
              <w:spacing w:line="360" w:lineRule="auto"/>
              <w:ind w:left="341" w:hanging="284"/>
            </w:pPr>
            <w:r>
              <w:rPr>
                <w:lang w:eastAsia="zh-TW"/>
              </w:rPr>
              <w:t>T</w:t>
            </w:r>
            <w:r w:rsidRPr="00975F12">
              <w:rPr>
                <w:lang w:eastAsia="zh-TW"/>
              </w:rPr>
              <w:t>o evaluate the impact of various preschool education systems in the Czech Republic on psychological variables related to children</w:t>
            </w:r>
            <w:r>
              <w:t>’</w:t>
            </w:r>
            <w:r w:rsidRPr="00975F12">
              <w:rPr>
                <w:lang w:eastAsia="zh-TW"/>
              </w:rPr>
              <w:t xml:space="preserve">s outcomes, </w:t>
            </w:r>
            <w:r>
              <w:rPr>
                <w:lang w:eastAsia="zh-TW"/>
              </w:rPr>
              <w:t>by comparing</w:t>
            </w:r>
            <w:r w:rsidRPr="00975F12">
              <w:rPr>
                <w:lang w:eastAsia="zh-TW"/>
              </w:rPr>
              <w:t xml:space="preserve"> traditional preschool programs with alternative types, including Montessori, Waldorf, and religious schools</w:t>
            </w:r>
            <w:r>
              <w:rPr>
                <w:lang w:eastAsia="zh-TW"/>
              </w:rPr>
              <w:t>.</w:t>
            </w:r>
          </w:p>
        </w:tc>
        <w:tc>
          <w:tcPr>
            <w:tcW w:w="4678" w:type="dxa"/>
            <w:noWrap/>
          </w:tcPr>
          <w:p w14:paraId="5C5878B0" w14:textId="77777777" w:rsidR="002074E4" w:rsidRPr="0065639A" w:rsidRDefault="002074E4" w:rsidP="00043D84">
            <w:pPr>
              <w:spacing w:line="360" w:lineRule="auto"/>
              <w:ind w:left="341" w:hanging="284"/>
            </w:pPr>
            <w:r w:rsidRPr="00E94FF1">
              <w:t>The findings indicated that the type of kindergarten significantly affects children</w:t>
            </w:r>
            <w:r>
              <w:t>’</w:t>
            </w:r>
            <w:r w:rsidRPr="00E94FF1">
              <w:t>s school performance motivation, attitudes toward school, and executive functions, with notable differences observed among the different educational approaches.</w:t>
            </w:r>
          </w:p>
        </w:tc>
      </w:tr>
      <w:tr w:rsidR="002074E4" w:rsidRPr="003A29E0" w14:paraId="0368D502" w14:textId="77777777" w:rsidTr="00043D84">
        <w:trPr>
          <w:cantSplit/>
          <w:trHeight w:val="1134"/>
        </w:trPr>
        <w:tc>
          <w:tcPr>
            <w:tcW w:w="1407" w:type="dxa"/>
            <w:noWrap/>
          </w:tcPr>
          <w:p w14:paraId="2807ED46" w14:textId="77777777" w:rsidR="002074E4" w:rsidRPr="0065639A" w:rsidRDefault="002074E4" w:rsidP="00043D84">
            <w:pPr>
              <w:spacing w:line="360" w:lineRule="auto"/>
              <w:ind w:left="341" w:hanging="284"/>
            </w:pPr>
            <w:r w:rsidRPr="0065639A">
              <w:t>Kodsi</w:t>
            </w:r>
            <w:r>
              <w:t xml:space="preserve"> (</w:t>
            </w:r>
            <w:r w:rsidRPr="0065639A">
              <w:t>2022</w:t>
            </w:r>
            <w:r>
              <w:t>)</w:t>
            </w:r>
          </w:p>
        </w:tc>
        <w:tc>
          <w:tcPr>
            <w:tcW w:w="3578" w:type="dxa"/>
            <w:noWrap/>
          </w:tcPr>
          <w:p w14:paraId="532656F1" w14:textId="77777777" w:rsidR="002074E4" w:rsidRDefault="002074E4" w:rsidP="00043D84">
            <w:pPr>
              <w:spacing w:line="360" w:lineRule="auto"/>
              <w:ind w:left="341" w:hanging="284"/>
              <w:rPr>
                <w:lang w:eastAsia="zh-TW"/>
              </w:rPr>
            </w:pPr>
            <w:r>
              <w:t>T</w:t>
            </w:r>
            <w:r w:rsidRPr="00650A5D">
              <w:t>o investigate constructive play within Waldorf and normative kindergartens in Israel, focusing on children's construction outputs through problem-solving and technological thinking.</w:t>
            </w:r>
          </w:p>
        </w:tc>
        <w:tc>
          <w:tcPr>
            <w:tcW w:w="4678" w:type="dxa"/>
            <w:noWrap/>
          </w:tcPr>
          <w:p w14:paraId="00E24474" w14:textId="77777777" w:rsidR="002074E4" w:rsidRPr="00E94FF1" w:rsidRDefault="002074E4" w:rsidP="00043D84">
            <w:pPr>
              <w:spacing w:line="360" w:lineRule="auto"/>
              <w:ind w:left="341" w:hanging="284"/>
            </w:pPr>
            <w:r w:rsidRPr="001716F7">
              <w:t>The findings reveal that 86% of construction activities in Waldorf preschools are directed towards socio-dramatic play, significantly higher than the 35% observed in normative preschools. This indicates that constructive play is a central element in Waldorf education and supports various forms of play.</w:t>
            </w:r>
          </w:p>
        </w:tc>
      </w:tr>
      <w:tr w:rsidR="002074E4" w:rsidRPr="003A29E0" w14:paraId="6C945855" w14:textId="77777777" w:rsidTr="00043D84">
        <w:trPr>
          <w:cantSplit/>
          <w:trHeight w:val="1134"/>
        </w:trPr>
        <w:tc>
          <w:tcPr>
            <w:tcW w:w="1407" w:type="dxa"/>
            <w:noWrap/>
          </w:tcPr>
          <w:p w14:paraId="67C07069" w14:textId="77777777" w:rsidR="002074E4" w:rsidRPr="0065639A" w:rsidRDefault="002074E4" w:rsidP="00043D84">
            <w:pPr>
              <w:spacing w:line="360" w:lineRule="auto"/>
              <w:ind w:left="341" w:hanging="284"/>
            </w:pPr>
            <w:r w:rsidRPr="0065639A">
              <w:lastRenderedPageBreak/>
              <w:t>Attfield</w:t>
            </w:r>
            <w:r>
              <w:t xml:space="preserve"> (</w:t>
            </w:r>
            <w:r w:rsidRPr="0065639A">
              <w:t>2022</w:t>
            </w:r>
            <w:r>
              <w:t>)</w:t>
            </w:r>
          </w:p>
        </w:tc>
        <w:tc>
          <w:tcPr>
            <w:tcW w:w="3578" w:type="dxa"/>
            <w:noWrap/>
          </w:tcPr>
          <w:p w14:paraId="5CA56ACE" w14:textId="77777777" w:rsidR="002074E4" w:rsidRDefault="002074E4" w:rsidP="00043D84">
            <w:pPr>
              <w:spacing w:line="360" w:lineRule="auto"/>
              <w:ind w:left="341" w:hanging="284"/>
            </w:pPr>
            <w:r>
              <w:t>T</w:t>
            </w:r>
            <w:r w:rsidRPr="00045971">
              <w:t>o explore the philosophy and practices of early childhood Waldorf education in the US and UK, focusing on its child-centered and inclusive principles.</w:t>
            </w:r>
          </w:p>
        </w:tc>
        <w:tc>
          <w:tcPr>
            <w:tcW w:w="4678" w:type="dxa"/>
            <w:noWrap/>
          </w:tcPr>
          <w:p w14:paraId="50FF48B0" w14:textId="77777777" w:rsidR="002074E4" w:rsidRPr="001716F7" w:rsidRDefault="002074E4" w:rsidP="00043D84">
            <w:pPr>
              <w:spacing w:line="360" w:lineRule="auto"/>
              <w:ind w:left="341" w:hanging="284"/>
            </w:pPr>
            <w:r>
              <w:t>The f</w:t>
            </w:r>
            <w:r w:rsidRPr="001D214A">
              <w:t>indings reveal contrasting interpretations among kindergarten teachers regarding the education of diverse learners, highlighting situational differences between US and UK contexts while maintaining a shared educational ethos rooted in anthroposophy. The study recommends enhancing transnational networks within Waldorf early childhood studies and connecting with broader educational discussions on inclusion.</w:t>
            </w:r>
          </w:p>
        </w:tc>
      </w:tr>
      <w:tr w:rsidR="002074E4" w:rsidRPr="003A29E0" w14:paraId="7A0532AA" w14:textId="77777777" w:rsidTr="00043D84">
        <w:trPr>
          <w:cantSplit/>
          <w:trHeight w:val="1134"/>
        </w:trPr>
        <w:tc>
          <w:tcPr>
            <w:tcW w:w="1407" w:type="dxa"/>
            <w:noWrap/>
          </w:tcPr>
          <w:p w14:paraId="120DB143" w14:textId="77777777" w:rsidR="002074E4" w:rsidRPr="0065639A" w:rsidRDefault="002074E4" w:rsidP="00043D84">
            <w:pPr>
              <w:spacing w:line="360" w:lineRule="auto"/>
              <w:ind w:left="341" w:hanging="284"/>
            </w:pPr>
            <w:r w:rsidRPr="0065639A">
              <w:t>Arslan &amp; Kartal</w:t>
            </w:r>
            <w:r>
              <w:t xml:space="preserve"> (</w:t>
            </w:r>
            <w:r w:rsidRPr="0065639A">
              <w:t>2022</w:t>
            </w:r>
            <w:r>
              <w:t>)</w:t>
            </w:r>
          </w:p>
        </w:tc>
        <w:tc>
          <w:tcPr>
            <w:tcW w:w="3578" w:type="dxa"/>
            <w:noWrap/>
          </w:tcPr>
          <w:p w14:paraId="32561EE6" w14:textId="77777777" w:rsidR="002074E4" w:rsidRDefault="002074E4" w:rsidP="00043D84">
            <w:pPr>
              <w:spacing w:line="360" w:lineRule="auto"/>
              <w:ind w:left="341" w:hanging="284"/>
            </w:pPr>
            <w:r>
              <w:t>T</w:t>
            </w:r>
            <w:r w:rsidRPr="0065678C">
              <w:t>o evaluate the impact of Waldorf approach activities, supported by cooperative methods, on early number assessment skills in children aged 48-60 months.</w:t>
            </w:r>
          </w:p>
        </w:tc>
        <w:tc>
          <w:tcPr>
            <w:tcW w:w="4678" w:type="dxa"/>
            <w:noWrap/>
          </w:tcPr>
          <w:p w14:paraId="2CEC22F1" w14:textId="77777777" w:rsidR="002074E4" w:rsidRDefault="002074E4" w:rsidP="00043D84">
            <w:pPr>
              <w:spacing w:line="360" w:lineRule="auto"/>
              <w:ind w:left="341" w:hanging="284"/>
            </w:pPr>
            <w:r>
              <w:t>T</w:t>
            </w:r>
            <w:r w:rsidRPr="003256EA">
              <w:t>he findings revealed that the experimental group demonstrated statistically significant improvements in their early number skills compared to the control group, which showed only minor increases.</w:t>
            </w:r>
          </w:p>
        </w:tc>
      </w:tr>
      <w:tr w:rsidR="002074E4" w:rsidRPr="003A29E0" w14:paraId="0352100E" w14:textId="77777777" w:rsidTr="00043D84">
        <w:trPr>
          <w:cantSplit/>
          <w:trHeight w:val="1134"/>
        </w:trPr>
        <w:tc>
          <w:tcPr>
            <w:tcW w:w="1407" w:type="dxa"/>
            <w:noWrap/>
          </w:tcPr>
          <w:p w14:paraId="3475B006" w14:textId="77777777" w:rsidR="002074E4" w:rsidRPr="0065639A" w:rsidRDefault="002074E4" w:rsidP="00043D84">
            <w:pPr>
              <w:spacing w:line="360" w:lineRule="auto"/>
              <w:ind w:left="341" w:hanging="284"/>
            </w:pPr>
            <w:r w:rsidRPr="0065639A">
              <w:t>Rose &amp; Jolley</w:t>
            </w:r>
            <w:r>
              <w:t xml:space="preserve"> (</w:t>
            </w:r>
            <w:r w:rsidRPr="0065639A">
              <w:t>2020</w:t>
            </w:r>
            <w:r>
              <w:t>)</w:t>
            </w:r>
          </w:p>
        </w:tc>
        <w:tc>
          <w:tcPr>
            <w:tcW w:w="3578" w:type="dxa"/>
            <w:noWrap/>
          </w:tcPr>
          <w:p w14:paraId="21EEB138" w14:textId="77777777" w:rsidR="002074E4" w:rsidRDefault="002074E4" w:rsidP="00043D84">
            <w:pPr>
              <w:spacing w:line="360" w:lineRule="auto"/>
              <w:ind w:left="341" w:hanging="284"/>
            </w:pPr>
            <w:r>
              <w:rPr>
                <w:lang w:eastAsia="zh-TW"/>
              </w:rPr>
              <w:t>T</w:t>
            </w:r>
            <w:r w:rsidRPr="00C872F6">
              <w:rPr>
                <w:lang w:eastAsia="zh-TW"/>
              </w:rPr>
              <w:t>o investigate the creative intentions behind drawing among pupils from mainstream and Steiner schools.</w:t>
            </w:r>
          </w:p>
        </w:tc>
        <w:tc>
          <w:tcPr>
            <w:tcW w:w="4678" w:type="dxa"/>
            <w:noWrap/>
          </w:tcPr>
          <w:p w14:paraId="5D117F6B" w14:textId="77777777" w:rsidR="002074E4" w:rsidRDefault="002074E4" w:rsidP="00043D84">
            <w:pPr>
              <w:spacing w:line="360" w:lineRule="auto"/>
              <w:ind w:left="341" w:hanging="284"/>
            </w:pPr>
            <w:r w:rsidRPr="00831DEE">
              <w:t>The research found that while both groups drew from similar sources for their ideas, such as immediate surroundings and memory, Steiner pupils expressed a greater focus on expressive ideas, highlighting that children utilize diverse sources for drawing inspiration influenced by their educational environments.</w:t>
            </w:r>
          </w:p>
        </w:tc>
      </w:tr>
      <w:tr w:rsidR="002074E4" w:rsidRPr="003A29E0" w14:paraId="0E7DC381" w14:textId="77777777" w:rsidTr="00043D84">
        <w:trPr>
          <w:cantSplit/>
          <w:trHeight w:val="1134"/>
        </w:trPr>
        <w:tc>
          <w:tcPr>
            <w:tcW w:w="1407" w:type="dxa"/>
            <w:noWrap/>
          </w:tcPr>
          <w:p w14:paraId="7E3E96F0" w14:textId="77777777" w:rsidR="002074E4" w:rsidRPr="0065639A" w:rsidRDefault="002074E4" w:rsidP="00043D84">
            <w:pPr>
              <w:spacing w:line="360" w:lineRule="auto"/>
              <w:ind w:left="341" w:hanging="284"/>
            </w:pPr>
            <w:r w:rsidRPr="0065639A">
              <w:lastRenderedPageBreak/>
              <w:t>Goldshmidt</w:t>
            </w:r>
            <w:r>
              <w:t xml:space="preserve"> (</w:t>
            </w:r>
            <w:r w:rsidRPr="0065639A">
              <w:t>2020</w:t>
            </w:r>
            <w:r>
              <w:t>)</w:t>
            </w:r>
          </w:p>
        </w:tc>
        <w:tc>
          <w:tcPr>
            <w:tcW w:w="3578" w:type="dxa"/>
            <w:noWrap/>
          </w:tcPr>
          <w:p w14:paraId="42317BB0" w14:textId="77777777" w:rsidR="002074E4" w:rsidRDefault="002074E4" w:rsidP="00043D84">
            <w:pPr>
              <w:spacing w:line="360" w:lineRule="auto"/>
              <w:ind w:left="341" w:hanging="284"/>
              <w:rPr>
                <w:lang w:eastAsia="zh-TW"/>
              </w:rPr>
            </w:pPr>
            <w:r>
              <w:t>T</w:t>
            </w:r>
            <w:r w:rsidRPr="00CE0D73">
              <w:t>o evaluate the appropriateness of practicing meditative techniques with children in school settings, particularly through a philosophical and moral lens</w:t>
            </w:r>
            <w:r>
              <w:t>, by comparing</w:t>
            </w:r>
            <w:r w:rsidRPr="00CE0D73">
              <w:t xml:space="preserve"> mindfulness practices with Waldorf education</w:t>
            </w:r>
            <w:r>
              <w:t>.</w:t>
            </w:r>
          </w:p>
        </w:tc>
        <w:tc>
          <w:tcPr>
            <w:tcW w:w="4678" w:type="dxa"/>
            <w:noWrap/>
          </w:tcPr>
          <w:p w14:paraId="7F62DB23" w14:textId="77777777" w:rsidR="002074E4" w:rsidRPr="00831DEE" w:rsidRDefault="002074E4" w:rsidP="00043D84">
            <w:pPr>
              <w:spacing w:line="360" w:lineRule="auto"/>
              <w:ind w:left="341" w:hanging="284"/>
            </w:pPr>
            <w:r w:rsidRPr="008274F8">
              <w:t>The findings suggest that while meditative techniques can offer significant benefits for children</w:t>
            </w:r>
            <w:r>
              <w:t>’</w:t>
            </w:r>
            <w:r w:rsidRPr="008274F8">
              <w:t>s emotional and cognitive development, their appropriateness in school settings remains contentious, necessitating a careful balance between direct spiritual practices and the preservation of childhood innocence.</w:t>
            </w:r>
          </w:p>
        </w:tc>
      </w:tr>
      <w:tr w:rsidR="002074E4" w:rsidRPr="003A29E0" w14:paraId="346E0857" w14:textId="77777777" w:rsidTr="00043D84">
        <w:trPr>
          <w:cantSplit/>
          <w:trHeight w:val="1134"/>
        </w:trPr>
        <w:tc>
          <w:tcPr>
            <w:tcW w:w="1407" w:type="dxa"/>
            <w:noWrap/>
          </w:tcPr>
          <w:p w14:paraId="09C1F406" w14:textId="77777777" w:rsidR="002074E4" w:rsidRPr="0065639A" w:rsidRDefault="002074E4" w:rsidP="00043D84">
            <w:pPr>
              <w:spacing w:line="360" w:lineRule="auto"/>
              <w:ind w:left="341" w:hanging="284"/>
            </w:pPr>
            <w:r w:rsidRPr="0065639A">
              <w:t>Aljabreen</w:t>
            </w:r>
            <w:r>
              <w:rPr>
                <w:rFonts w:hint="eastAsia"/>
                <w:lang w:eastAsia="zh-TW"/>
              </w:rPr>
              <w:t xml:space="preserve"> </w:t>
            </w:r>
            <w:r>
              <w:rPr>
                <w:lang w:eastAsia="zh-TW"/>
              </w:rPr>
              <w:t>(</w:t>
            </w:r>
            <w:r w:rsidRPr="0065639A">
              <w:t>2020</w:t>
            </w:r>
            <w:r>
              <w:t>)</w:t>
            </w:r>
          </w:p>
        </w:tc>
        <w:tc>
          <w:tcPr>
            <w:tcW w:w="3578" w:type="dxa"/>
            <w:noWrap/>
          </w:tcPr>
          <w:p w14:paraId="70BB3A95" w14:textId="77777777" w:rsidR="002074E4" w:rsidRDefault="002074E4" w:rsidP="00043D84">
            <w:pPr>
              <w:spacing w:line="360" w:lineRule="auto"/>
              <w:ind w:left="341" w:hanging="284"/>
            </w:pPr>
            <w:r>
              <w:t>T</w:t>
            </w:r>
            <w:r w:rsidRPr="00863D15">
              <w:t>o analyze the Montessori, Waldorf, and Reggio Emilia educational models, focusing on their historical development, philosophical frameworks, benefits, and challenges within the context of evolving early childhood education.</w:t>
            </w:r>
          </w:p>
        </w:tc>
        <w:tc>
          <w:tcPr>
            <w:tcW w:w="4678" w:type="dxa"/>
            <w:noWrap/>
          </w:tcPr>
          <w:p w14:paraId="59C34D01" w14:textId="77777777" w:rsidR="002074E4" w:rsidRPr="008274F8" w:rsidRDefault="002074E4" w:rsidP="00043D84">
            <w:pPr>
              <w:spacing w:line="360" w:lineRule="auto"/>
              <w:ind w:left="341" w:hanging="284"/>
            </w:pPr>
            <w:r w:rsidRPr="00E742D7">
              <w:t>The main findings highlight that these alternative approaches prioritize children</w:t>
            </w:r>
            <w:r>
              <w:t>’</w:t>
            </w:r>
            <w:r w:rsidRPr="00E742D7">
              <w:t>s educational freedom and holistic development while also addressing the need for educators to adapt these models to local cultural contexts amidst increasing academic pressures.</w:t>
            </w:r>
          </w:p>
        </w:tc>
      </w:tr>
      <w:tr w:rsidR="002074E4" w:rsidRPr="003A29E0" w14:paraId="08CD7E90" w14:textId="77777777" w:rsidTr="00043D84">
        <w:trPr>
          <w:cantSplit/>
          <w:trHeight w:val="1134"/>
        </w:trPr>
        <w:tc>
          <w:tcPr>
            <w:tcW w:w="1407" w:type="dxa"/>
            <w:noWrap/>
          </w:tcPr>
          <w:p w14:paraId="7C42B76F" w14:textId="77777777" w:rsidR="002074E4" w:rsidRPr="0065639A" w:rsidRDefault="002074E4" w:rsidP="00043D84">
            <w:pPr>
              <w:spacing w:line="360" w:lineRule="auto"/>
              <w:ind w:left="341" w:hanging="284"/>
            </w:pPr>
            <w:r w:rsidRPr="0065639A">
              <w:t>Guilbaud</w:t>
            </w:r>
            <w:r>
              <w:t xml:space="preserve"> (</w:t>
            </w:r>
            <w:r w:rsidRPr="0065639A">
              <w:t>2019</w:t>
            </w:r>
            <w:r>
              <w:t>)</w:t>
            </w:r>
          </w:p>
        </w:tc>
        <w:tc>
          <w:tcPr>
            <w:tcW w:w="3578" w:type="dxa"/>
            <w:noWrap/>
          </w:tcPr>
          <w:p w14:paraId="2684289E" w14:textId="77777777" w:rsidR="002074E4" w:rsidRDefault="002074E4" w:rsidP="00043D84">
            <w:pPr>
              <w:spacing w:line="360" w:lineRule="auto"/>
              <w:ind w:left="341" w:hanging="284"/>
            </w:pPr>
            <w:r>
              <w:rPr>
                <w:lang w:eastAsia="zh-TW"/>
              </w:rPr>
              <w:t>T</w:t>
            </w:r>
            <w:r w:rsidRPr="00E92D82">
              <w:rPr>
                <w:lang w:eastAsia="zh-TW"/>
              </w:rPr>
              <w:t>o explore the influence of Waldorf principles on parenting practices and the intergenerational transmission of early childhood experiences.</w:t>
            </w:r>
          </w:p>
        </w:tc>
        <w:tc>
          <w:tcPr>
            <w:tcW w:w="4678" w:type="dxa"/>
            <w:noWrap/>
          </w:tcPr>
          <w:p w14:paraId="371702A6" w14:textId="77777777" w:rsidR="002074E4" w:rsidRPr="00E742D7" w:rsidRDefault="002074E4" w:rsidP="00043D84">
            <w:pPr>
              <w:spacing w:line="360" w:lineRule="auto"/>
              <w:ind w:left="341" w:hanging="284"/>
            </w:pPr>
            <w:r w:rsidRPr="00D76F7F">
              <w:t>The main findings indicate that the practice of Waldorf education fosters a nurturing environment that emphasizes emotional development, sensory engagement, and a connection to nature, which may shape future parenting styles and mothering inclinations.</w:t>
            </w:r>
          </w:p>
        </w:tc>
      </w:tr>
      <w:tr w:rsidR="002074E4" w:rsidRPr="003A29E0" w14:paraId="223FF433" w14:textId="77777777" w:rsidTr="00043D84">
        <w:trPr>
          <w:cantSplit/>
          <w:trHeight w:val="1134"/>
        </w:trPr>
        <w:tc>
          <w:tcPr>
            <w:tcW w:w="1407" w:type="dxa"/>
            <w:noWrap/>
          </w:tcPr>
          <w:p w14:paraId="4E7D0F23" w14:textId="77777777" w:rsidR="002074E4" w:rsidRPr="0065639A" w:rsidRDefault="002074E4" w:rsidP="00043D84">
            <w:pPr>
              <w:spacing w:line="360" w:lineRule="auto"/>
              <w:ind w:left="341" w:hanging="284"/>
            </w:pPr>
            <w:r w:rsidRPr="0065639A">
              <w:lastRenderedPageBreak/>
              <w:t>Deluca et al.</w:t>
            </w:r>
            <w:r>
              <w:t xml:space="preserve"> (</w:t>
            </w:r>
            <w:r w:rsidRPr="0065639A">
              <w:t>2019</w:t>
            </w:r>
            <w:r>
              <w:t>)</w:t>
            </w:r>
          </w:p>
        </w:tc>
        <w:tc>
          <w:tcPr>
            <w:tcW w:w="3578" w:type="dxa"/>
            <w:noWrap/>
          </w:tcPr>
          <w:p w14:paraId="2EBA8DBA" w14:textId="77777777" w:rsidR="002074E4" w:rsidRDefault="002074E4" w:rsidP="00043D84">
            <w:pPr>
              <w:spacing w:line="360" w:lineRule="auto"/>
              <w:ind w:left="341" w:hanging="284"/>
              <w:rPr>
                <w:lang w:eastAsia="zh-TW"/>
              </w:rPr>
            </w:pPr>
            <w:r w:rsidRPr="006E321E">
              <w:t>To examine and synthesize research across Reggio Emilia, Waldorf, and Montessori kindergarten traditions to develop key assessment tenets that can inform public education policy and practice.</w:t>
            </w:r>
          </w:p>
        </w:tc>
        <w:tc>
          <w:tcPr>
            <w:tcW w:w="4678" w:type="dxa"/>
            <w:noWrap/>
          </w:tcPr>
          <w:p w14:paraId="45DBF482" w14:textId="77777777" w:rsidR="002074E4" w:rsidRPr="00D76F7F" w:rsidRDefault="002074E4" w:rsidP="00043D84">
            <w:pPr>
              <w:spacing w:line="360" w:lineRule="auto"/>
              <w:ind w:left="341" w:hanging="284"/>
            </w:pPr>
            <w:r w:rsidRPr="00B35BD9">
              <w:t>The study identified three core priorities for kindergarten assessment: child-centered and developmentally appropriate teaching, continuous embedded formative assessment, and use of multiple assessment methods, along with four iterative processes that facilitate assessment practices including participation in teaching/learning, reconstruction of teaching/learning, assessment dialogues, and feedback integration.</w:t>
            </w:r>
          </w:p>
        </w:tc>
      </w:tr>
      <w:tr w:rsidR="002074E4" w:rsidRPr="003A29E0" w14:paraId="678DCD97" w14:textId="77777777" w:rsidTr="00043D84">
        <w:trPr>
          <w:cantSplit/>
          <w:trHeight w:val="1134"/>
        </w:trPr>
        <w:tc>
          <w:tcPr>
            <w:tcW w:w="1407" w:type="dxa"/>
            <w:noWrap/>
          </w:tcPr>
          <w:p w14:paraId="0A87FB42" w14:textId="77777777" w:rsidR="002074E4" w:rsidRPr="0065639A" w:rsidRDefault="002074E4" w:rsidP="00043D84">
            <w:pPr>
              <w:spacing w:line="360" w:lineRule="auto"/>
              <w:ind w:left="341" w:hanging="284"/>
            </w:pPr>
            <w:r w:rsidRPr="0065639A">
              <w:t>Frödén &amp; Rosell</w:t>
            </w:r>
            <w:r>
              <w:t xml:space="preserve"> (</w:t>
            </w:r>
            <w:r w:rsidRPr="0065639A">
              <w:t>2019</w:t>
            </w:r>
            <w:r>
              <w:t>)</w:t>
            </w:r>
          </w:p>
        </w:tc>
        <w:tc>
          <w:tcPr>
            <w:tcW w:w="3578" w:type="dxa"/>
            <w:noWrap/>
          </w:tcPr>
          <w:p w14:paraId="1DBEC555" w14:textId="77777777" w:rsidR="002074E4" w:rsidRPr="006E321E" w:rsidRDefault="002074E4" w:rsidP="00043D84">
            <w:pPr>
              <w:spacing w:line="360" w:lineRule="auto"/>
              <w:ind w:left="341" w:hanging="284"/>
            </w:pPr>
            <w:r w:rsidRPr="003B040C">
              <w:t>To investigate how the relationship between children, toys, and the Waldorf preschool educational environment influences children's imagination development</w:t>
            </w:r>
            <w:r>
              <w:rPr>
                <w:rFonts w:hint="eastAsia"/>
              </w:rPr>
              <w:t>.</w:t>
            </w:r>
          </w:p>
        </w:tc>
        <w:tc>
          <w:tcPr>
            <w:tcW w:w="4678" w:type="dxa"/>
            <w:noWrap/>
          </w:tcPr>
          <w:p w14:paraId="3AA503C1" w14:textId="77777777" w:rsidR="002074E4" w:rsidRPr="00B35BD9" w:rsidRDefault="002074E4" w:rsidP="00043D84">
            <w:pPr>
              <w:spacing w:line="360" w:lineRule="auto"/>
              <w:ind w:left="341" w:hanging="284"/>
            </w:pPr>
            <w:r w:rsidRPr="00631026">
              <w:t>Three key factors were identified as influencing children's imaginative development: the form of the toys, their placement, and the teachers' pedagogical intentions and interactions with children.</w:t>
            </w:r>
          </w:p>
        </w:tc>
      </w:tr>
      <w:tr w:rsidR="002074E4" w:rsidRPr="003A29E0" w14:paraId="68BF6741" w14:textId="77777777" w:rsidTr="00043D84">
        <w:trPr>
          <w:cantSplit/>
          <w:trHeight w:val="1134"/>
        </w:trPr>
        <w:tc>
          <w:tcPr>
            <w:tcW w:w="1407" w:type="dxa"/>
            <w:noWrap/>
          </w:tcPr>
          <w:p w14:paraId="461508D3" w14:textId="77777777" w:rsidR="002074E4" w:rsidRPr="0065639A" w:rsidRDefault="002074E4" w:rsidP="00043D84">
            <w:pPr>
              <w:spacing w:line="360" w:lineRule="auto"/>
              <w:ind w:left="341" w:hanging="284"/>
            </w:pPr>
            <w:r w:rsidRPr="0065639A">
              <w:t>Wilson</w:t>
            </w:r>
            <w:r>
              <w:t xml:space="preserve"> (</w:t>
            </w:r>
            <w:r w:rsidRPr="0065639A">
              <w:t>2014</w:t>
            </w:r>
            <w:r>
              <w:t>)</w:t>
            </w:r>
          </w:p>
        </w:tc>
        <w:tc>
          <w:tcPr>
            <w:tcW w:w="3578" w:type="dxa"/>
            <w:noWrap/>
          </w:tcPr>
          <w:p w14:paraId="300060DE" w14:textId="77777777" w:rsidR="002074E4" w:rsidRPr="003B040C" w:rsidRDefault="002074E4" w:rsidP="00043D84">
            <w:pPr>
              <w:spacing w:line="360" w:lineRule="auto"/>
              <w:ind w:left="341" w:hanging="284"/>
            </w:pPr>
            <w:r w:rsidRPr="00565CFD">
              <w:t>To critically examine Waldorf education through ethnographic research and discourse analysis, focusing on how its pedagogical practices relate to adult control and conceptions of childhood.</w:t>
            </w:r>
          </w:p>
        </w:tc>
        <w:tc>
          <w:tcPr>
            <w:tcW w:w="4678" w:type="dxa"/>
            <w:noWrap/>
          </w:tcPr>
          <w:p w14:paraId="1990F2CD" w14:textId="77777777" w:rsidR="002074E4" w:rsidRPr="00631026" w:rsidRDefault="002074E4" w:rsidP="00043D84">
            <w:pPr>
              <w:spacing w:line="360" w:lineRule="auto"/>
              <w:ind w:left="341" w:hanging="284"/>
            </w:pPr>
            <w:r w:rsidRPr="00B424D3">
              <w:t>The study revealed that despite its reputation for educational freedom, Waldorf education operates through strict routines and adult control over children's activities, bodies, and language, with teachers</w:t>
            </w:r>
            <w:r>
              <w:t>’</w:t>
            </w:r>
            <w:r w:rsidRPr="00B424D3">
              <w:t xml:space="preserve"> discourse patterns reinforcing their authority and deficit-based views of child development.</w:t>
            </w:r>
          </w:p>
        </w:tc>
      </w:tr>
      <w:tr w:rsidR="002074E4" w:rsidRPr="003A29E0" w14:paraId="1B209553" w14:textId="77777777" w:rsidTr="00043D84">
        <w:trPr>
          <w:cantSplit/>
          <w:trHeight w:val="1134"/>
        </w:trPr>
        <w:tc>
          <w:tcPr>
            <w:tcW w:w="1407" w:type="dxa"/>
            <w:noWrap/>
          </w:tcPr>
          <w:p w14:paraId="11E91F14" w14:textId="77777777" w:rsidR="002074E4" w:rsidRPr="0065639A" w:rsidRDefault="002074E4" w:rsidP="00043D84">
            <w:pPr>
              <w:spacing w:line="360" w:lineRule="auto"/>
              <w:ind w:left="341" w:hanging="284"/>
            </w:pPr>
            <w:r w:rsidRPr="0065639A">
              <w:lastRenderedPageBreak/>
              <w:t>Waite &amp; Rees</w:t>
            </w:r>
            <w:r>
              <w:t xml:space="preserve"> (</w:t>
            </w:r>
            <w:r w:rsidRPr="0065639A">
              <w:t>2014</w:t>
            </w:r>
            <w:r>
              <w:t>)</w:t>
            </w:r>
          </w:p>
        </w:tc>
        <w:tc>
          <w:tcPr>
            <w:tcW w:w="3578" w:type="dxa"/>
            <w:noWrap/>
          </w:tcPr>
          <w:p w14:paraId="3759FC69" w14:textId="77777777" w:rsidR="002074E4" w:rsidRPr="00565CFD" w:rsidRDefault="002074E4" w:rsidP="00043D84">
            <w:pPr>
              <w:spacing w:line="360" w:lineRule="auto"/>
              <w:ind w:left="341" w:hanging="284"/>
            </w:pPr>
            <w:r w:rsidRPr="00392044">
              <w:t>To examine how empathy and imagination are nurtured in Steiner kindergartens through a collaborative study between Steiner practitioners and mainstream UK educators, while exploring how these practices might benefit other early years settings.</w:t>
            </w:r>
          </w:p>
        </w:tc>
        <w:tc>
          <w:tcPr>
            <w:tcW w:w="4678" w:type="dxa"/>
            <w:noWrap/>
          </w:tcPr>
          <w:p w14:paraId="12352030" w14:textId="77777777" w:rsidR="002074E4" w:rsidRPr="00B424D3" w:rsidRDefault="002074E4" w:rsidP="00043D84">
            <w:pPr>
              <w:spacing w:line="360" w:lineRule="auto"/>
              <w:ind w:left="341" w:hanging="284"/>
            </w:pPr>
            <w:r w:rsidRPr="004078F6">
              <w:t>The study revealed that imaginative play in Steiner kindergartens provides effective practice in empathy development and prosocial behavior, demonstrating potential long-term benefits for children's ethical development and fulfilling lives.</w:t>
            </w:r>
          </w:p>
        </w:tc>
      </w:tr>
      <w:tr w:rsidR="002074E4" w:rsidRPr="003A29E0" w14:paraId="0933358D" w14:textId="77777777" w:rsidTr="00043D84">
        <w:trPr>
          <w:cantSplit/>
          <w:trHeight w:val="1134"/>
        </w:trPr>
        <w:tc>
          <w:tcPr>
            <w:tcW w:w="1407" w:type="dxa"/>
            <w:noWrap/>
          </w:tcPr>
          <w:p w14:paraId="4C0D5A5B" w14:textId="77777777" w:rsidR="002074E4" w:rsidRPr="0065639A" w:rsidRDefault="002074E4" w:rsidP="00043D84">
            <w:pPr>
              <w:spacing w:line="360" w:lineRule="auto"/>
              <w:ind w:left="341" w:hanging="284"/>
            </w:pPr>
            <w:r w:rsidRPr="0065639A">
              <w:t>Sobo</w:t>
            </w:r>
            <w:r>
              <w:t xml:space="preserve"> (</w:t>
            </w:r>
            <w:r w:rsidRPr="0065639A">
              <w:t>2013</w:t>
            </w:r>
            <w:r>
              <w:t>)</w:t>
            </w:r>
          </w:p>
        </w:tc>
        <w:tc>
          <w:tcPr>
            <w:tcW w:w="3578" w:type="dxa"/>
            <w:noWrap/>
          </w:tcPr>
          <w:p w14:paraId="375040A8" w14:textId="77777777" w:rsidR="002074E4" w:rsidRPr="00392044" w:rsidRDefault="002074E4" w:rsidP="00043D84">
            <w:pPr>
              <w:spacing w:line="360" w:lineRule="auto"/>
              <w:ind w:left="341" w:hanging="284"/>
            </w:pPr>
            <w:r w:rsidRPr="00297293">
              <w:t>To examine Waldorf education</w:t>
            </w:r>
            <w:r>
              <w:t>’</w:t>
            </w:r>
            <w:r w:rsidRPr="00297293">
              <w:t>s unique approach to play and its underlying cultural model of child development by analyzing how teachers orchestrate play in pre-k/kindergarten classrooms.</w:t>
            </w:r>
          </w:p>
        </w:tc>
        <w:tc>
          <w:tcPr>
            <w:tcW w:w="4678" w:type="dxa"/>
            <w:noWrap/>
          </w:tcPr>
          <w:p w14:paraId="1CCD4094" w14:textId="77777777" w:rsidR="002074E4" w:rsidRPr="004078F6" w:rsidRDefault="002074E4" w:rsidP="00043D84">
            <w:pPr>
              <w:spacing w:line="360" w:lineRule="auto"/>
              <w:ind w:left="341" w:hanging="284"/>
            </w:pPr>
            <w:r w:rsidRPr="00BB5B81">
              <w:t>While this approach offers insights for implementing play in non-Waldorf settings, the study reveals that Waldorf education still contends with the work-play dichotomy prevalent in US education, using play</w:t>
            </w:r>
            <w:r>
              <w:t>’</w:t>
            </w:r>
            <w:r w:rsidRPr="00BB5B81">
              <w:t>s pedagogical benefits as a marketing advantage.</w:t>
            </w:r>
          </w:p>
        </w:tc>
      </w:tr>
      <w:tr w:rsidR="002074E4" w:rsidRPr="003A29E0" w14:paraId="50766150" w14:textId="77777777" w:rsidTr="00043D84">
        <w:trPr>
          <w:cantSplit/>
          <w:trHeight w:val="1134"/>
        </w:trPr>
        <w:tc>
          <w:tcPr>
            <w:tcW w:w="1407" w:type="dxa"/>
            <w:noWrap/>
          </w:tcPr>
          <w:p w14:paraId="0C9A1627" w14:textId="77777777" w:rsidR="002074E4" w:rsidRPr="0065639A" w:rsidRDefault="002074E4" w:rsidP="00043D84">
            <w:pPr>
              <w:spacing w:line="360" w:lineRule="auto"/>
              <w:ind w:left="341" w:hanging="284"/>
            </w:pPr>
            <w:r w:rsidRPr="0065639A">
              <w:t>O</w:t>
            </w:r>
            <w:r>
              <w:t>’</w:t>
            </w:r>
            <w:r w:rsidRPr="0065639A">
              <w:t>Connor and Angus</w:t>
            </w:r>
            <w:r>
              <w:t xml:space="preserve"> (</w:t>
            </w:r>
            <w:r w:rsidRPr="0065639A">
              <w:t>2014</w:t>
            </w:r>
            <w:r>
              <w:t>)</w:t>
            </w:r>
          </w:p>
        </w:tc>
        <w:tc>
          <w:tcPr>
            <w:tcW w:w="3578" w:type="dxa"/>
            <w:noWrap/>
          </w:tcPr>
          <w:p w14:paraId="0E5084ED" w14:textId="77777777" w:rsidR="002074E4" w:rsidRPr="00297293" w:rsidRDefault="002074E4" w:rsidP="00043D84">
            <w:pPr>
              <w:spacing w:line="360" w:lineRule="auto"/>
              <w:ind w:left="341" w:hanging="284"/>
            </w:pPr>
            <w:r w:rsidRPr="00046BA7">
              <w:t>To examine Steiner Waldorf</w:t>
            </w:r>
            <w:r>
              <w:t>’</w:t>
            </w:r>
            <w:r w:rsidRPr="00046BA7">
              <w:t>s perspective on school readiness and apply it to Ireland's educational context, while analyzing the case for delayed school entry.</w:t>
            </w:r>
          </w:p>
        </w:tc>
        <w:tc>
          <w:tcPr>
            <w:tcW w:w="4678" w:type="dxa"/>
            <w:noWrap/>
          </w:tcPr>
          <w:p w14:paraId="420838C3" w14:textId="77777777" w:rsidR="002074E4" w:rsidRPr="00BB5B81" w:rsidRDefault="002074E4" w:rsidP="00043D84">
            <w:pPr>
              <w:spacing w:line="360" w:lineRule="auto"/>
              <w:ind w:left="341" w:hanging="284"/>
            </w:pPr>
            <w:r w:rsidRPr="00F75AA1">
              <w:t>The study supports a later school start age as beneficial for children</w:t>
            </w:r>
            <w:r>
              <w:t>’</w:t>
            </w:r>
            <w:r w:rsidRPr="00F75AA1">
              <w:t>s long-term learning capacity and enthusiasm, with evidence suggesting that delaying formal education aligns with child-centered developmental principles.</w:t>
            </w:r>
          </w:p>
        </w:tc>
      </w:tr>
      <w:tr w:rsidR="002074E4" w:rsidRPr="003A29E0" w14:paraId="36243FA1" w14:textId="77777777" w:rsidTr="00043D84">
        <w:trPr>
          <w:cantSplit/>
          <w:trHeight w:val="1134"/>
        </w:trPr>
        <w:tc>
          <w:tcPr>
            <w:tcW w:w="1407" w:type="dxa"/>
            <w:noWrap/>
          </w:tcPr>
          <w:p w14:paraId="6880170C" w14:textId="77777777" w:rsidR="002074E4" w:rsidRPr="0065639A" w:rsidRDefault="002074E4" w:rsidP="00043D84">
            <w:pPr>
              <w:spacing w:line="360" w:lineRule="auto"/>
              <w:ind w:left="341" w:hanging="284"/>
            </w:pPr>
            <w:r w:rsidRPr="0065639A">
              <w:lastRenderedPageBreak/>
              <w:t>Chou</w:t>
            </w:r>
            <w:r>
              <w:t xml:space="preserve"> (</w:t>
            </w:r>
            <w:r w:rsidRPr="0065639A">
              <w:t>2014</w:t>
            </w:r>
            <w:r>
              <w:t>)</w:t>
            </w:r>
          </w:p>
        </w:tc>
        <w:tc>
          <w:tcPr>
            <w:tcW w:w="3578" w:type="dxa"/>
            <w:noWrap/>
          </w:tcPr>
          <w:p w14:paraId="15011129" w14:textId="77777777" w:rsidR="002074E4" w:rsidRPr="00046BA7" w:rsidRDefault="002074E4" w:rsidP="00043D84">
            <w:pPr>
              <w:spacing w:line="360" w:lineRule="auto"/>
              <w:ind w:left="341" w:hanging="284"/>
            </w:pPr>
            <w:r w:rsidRPr="002B3EFC">
              <w:t>To investigate how parents-support creative play affects aesthetic sensibility and creativity among Waldorf preschool children in Taiwan</w:t>
            </w:r>
            <w:r>
              <w:rPr>
                <w:rFonts w:hint="eastAsia"/>
              </w:rPr>
              <w:t>.</w:t>
            </w:r>
          </w:p>
        </w:tc>
        <w:tc>
          <w:tcPr>
            <w:tcW w:w="4678" w:type="dxa"/>
            <w:noWrap/>
          </w:tcPr>
          <w:p w14:paraId="64FC17A7" w14:textId="77777777" w:rsidR="002074E4" w:rsidRPr="00F75AA1" w:rsidRDefault="002074E4" w:rsidP="00043D84">
            <w:pPr>
              <w:spacing w:line="360" w:lineRule="auto"/>
              <w:ind w:left="341" w:hanging="284"/>
            </w:pPr>
            <w:r w:rsidRPr="00806F8D">
              <w:t>The study demonstrated that parent-supported creative play positively influenced children's aesthetic sensibility (specifically in exploration, awareness, expression, and creation) and enhanced their creative originality, while qualitative observations showed increased willingness for creative expression in colorful imagery and storytelling through drawings.</w:t>
            </w:r>
          </w:p>
        </w:tc>
      </w:tr>
      <w:tr w:rsidR="002074E4" w:rsidRPr="003A29E0" w14:paraId="35A87720" w14:textId="77777777" w:rsidTr="00043D84">
        <w:trPr>
          <w:cantSplit/>
          <w:trHeight w:val="1134"/>
        </w:trPr>
        <w:tc>
          <w:tcPr>
            <w:tcW w:w="1407" w:type="dxa"/>
            <w:noWrap/>
          </w:tcPr>
          <w:p w14:paraId="27A9D4CA" w14:textId="77777777" w:rsidR="002074E4" w:rsidRPr="0065639A" w:rsidRDefault="002074E4" w:rsidP="00043D84">
            <w:pPr>
              <w:spacing w:line="360" w:lineRule="auto"/>
              <w:ind w:left="341" w:hanging="284"/>
            </w:pPr>
            <w:r w:rsidRPr="0065639A">
              <w:t>Burkitt et al.</w:t>
            </w:r>
            <w:r>
              <w:t xml:space="preserve"> (</w:t>
            </w:r>
            <w:r w:rsidRPr="0065639A">
              <w:t>2005</w:t>
            </w:r>
            <w:r>
              <w:t>)</w:t>
            </w:r>
          </w:p>
        </w:tc>
        <w:tc>
          <w:tcPr>
            <w:tcW w:w="3578" w:type="dxa"/>
            <w:noWrap/>
          </w:tcPr>
          <w:p w14:paraId="3954FFEE" w14:textId="77777777" w:rsidR="002074E4" w:rsidRPr="002B3EFC" w:rsidRDefault="002074E4" w:rsidP="00043D84">
            <w:pPr>
              <w:spacing w:line="360" w:lineRule="auto"/>
              <w:ind w:left="341" w:hanging="284"/>
            </w:pPr>
            <w:r w:rsidRPr="0065639A">
              <w:t> </w:t>
            </w:r>
            <w:r w:rsidRPr="00FC6F15">
              <w:t>To investigate whether children from different educational backgrounds (Steiner vs. mainstream schools) demonstrate different patterns in their use of size and color when drawing figures with varying emotional characteristics.</w:t>
            </w:r>
          </w:p>
        </w:tc>
        <w:tc>
          <w:tcPr>
            <w:tcW w:w="4678" w:type="dxa"/>
            <w:noWrap/>
          </w:tcPr>
          <w:p w14:paraId="0CEB304B" w14:textId="77777777" w:rsidR="002074E4" w:rsidRPr="00806F8D" w:rsidRDefault="002074E4" w:rsidP="00043D84">
            <w:pPr>
              <w:spacing w:line="360" w:lineRule="auto"/>
              <w:ind w:left="341" w:hanging="284"/>
            </w:pPr>
            <w:r w:rsidRPr="0065639A">
              <w:t> </w:t>
            </w:r>
            <w:r w:rsidRPr="00E7128B">
              <w:t>While mainstream school children drew larger figures overall, both groups showed similar scaling patterns in response to emotional characteristics,</w:t>
            </w:r>
            <w:r>
              <w:rPr>
                <w:rFonts w:hint="eastAsia"/>
              </w:rPr>
              <w:t xml:space="preserve"> </w:t>
            </w:r>
            <w:r w:rsidRPr="00E7128B">
              <w:t>but differed specifically in their color choices for negatively characterized figures.</w:t>
            </w:r>
          </w:p>
        </w:tc>
      </w:tr>
    </w:tbl>
    <w:p w14:paraId="1AEEE437" w14:textId="77777777" w:rsidR="002074E4" w:rsidRPr="00EF075B" w:rsidRDefault="002074E4" w:rsidP="002074E4">
      <w:pPr>
        <w:spacing w:line="360" w:lineRule="auto"/>
      </w:pPr>
    </w:p>
    <w:p w14:paraId="59B5C06F" w14:textId="77777777" w:rsidR="002074E4" w:rsidRPr="00AE1F2E" w:rsidRDefault="002074E4" w:rsidP="002074E4">
      <w:pPr>
        <w:spacing w:after="160" w:line="278" w:lineRule="auto"/>
      </w:pPr>
    </w:p>
    <w:p w14:paraId="1960EC1C" w14:textId="77777777" w:rsidR="00DE6AE2" w:rsidRDefault="00DE6AE2"/>
    <w:sectPr w:rsidR="00DE6AE2" w:rsidSect="002074E4">
      <w:pgSz w:w="11906" w:h="16838"/>
      <w:pgMar w:top="1440" w:right="1440" w:bottom="1440" w:left="1440" w:header="720" w:footer="720" w:gutter="0"/>
      <w:pgNumType w:start="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4E4"/>
    <w:rsid w:val="00195413"/>
    <w:rsid w:val="002074E4"/>
    <w:rsid w:val="003D0186"/>
    <w:rsid w:val="007278E4"/>
    <w:rsid w:val="00933097"/>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FDCC4"/>
  <w15:chartTrackingRefBased/>
  <w15:docId w15:val="{9E58DBAF-B6DC-4E50-8622-BF22120EA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4E4"/>
    <w:pPr>
      <w:spacing w:after="0" w:line="480" w:lineRule="auto"/>
    </w:pPr>
    <w:rPr>
      <w:rFonts w:ascii="Times New Roman" w:eastAsiaTheme="minorEastAsia" w:hAnsi="Times New Roman" w:cs="Times New Roman"/>
      <w:kern w:val="0"/>
      <w:lang w:eastAsia="zh-CN"/>
      <w14:ligatures w14:val="none"/>
    </w:rPr>
  </w:style>
  <w:style w:type="paragraph" w:styleId="Heading1">
    <w:name w:val="heading 1"/>
    <w:basedOn w:val="Normal"/>
    <w:next w:val="Normal"/>
    <w:link w:val="Heading1Char"/>
    <w:uiPriority w:val="9"/>
    <w:qFormat/>
    <w:rsid w:val="002074E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074E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074E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074E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2074E4"/>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2074E4"/>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2074E4"/>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2074E4"/>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2074E4"/>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4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74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74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74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74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74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74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74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74E4"/>
    <w:rPr>
      <w:rFonts w:eastAsiaTheme="majorEastAsia" w:cstheme="majorBidi"/>
      <w:color w:val="272727" w:themeColor="text1" w:themeTint="D8"/>
    </w:rPr>
  </w:style>
  <w:style w:type="paragraph" w:styleId="Title">
    <w:name w:val="Title"/>
    <w:basedOn w:val="Normal"/>
    <w:next w:val="Normal"/>
    <w:link w:val="TitleChar"/>
    <w:uiPriority w:val="10"/>
    <w:qFormat/>
    <w:rsid w:val="002074E4"/>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074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4E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074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74E4"/>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2074E4"/>
    <w:rPr>
      <w:i/>
      <w:iCs/>
      <w:color w:val="404040" w:themeColor="text1" w:themeTint="BF"/>
    </w:rPr>
  </w:style>
  <w:style w:type="paragraph" w:styleId="ListParagraph">
    <w:name w:val="List Paragraph"/>
    <w:basedOn w:val="Normal"/>
    <w:uiPriority w:val="34"/>
    <w:qFormat/>
    <w:rsid w:val="002074E4"/>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2074E4"/>
    <w:rPr>
      <w:i/>
      <w:iCs/>
      <w:color w:val="0F4761" w:themeColor="accent1" w:themeShade="BF"/>
    </w:rPr>
  </w:style>
  <w:style w:type="paragraph" w:styleId="IntenseQuote">
    <w:name w:val="Intense Quote"/>
    <w:basedOn w:val="Normal"/>
    <w:next w:val="Normal"/>
    <w:link w:val="IntenseQuoteChar"/>
    <w:uiPriority w:val="30"/>
    <w:qFormat/>
    <w:rsid w:val="002074E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2074E4"/>
    <w:rPr>
      <w:i/>
      <w:iCs/>
      <w:color w:val="0F4761" w:themeColor="accent1" w:themeShade="BF"/>
    </w:rPr>
  </w:style>
  <w:style w:type="character" w:styleId="IntenseReference">
    <w:name w:val="Intense Reference"/>
    <w:basedOn w:val="DefaultParagraphFont"/>
    <w:uiPriority w:val="32"/>
    <w:qFormat/>
    <w:rsid w:val="002074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1429</Words>
  <Characters>9490</Characters>
  <Application>Microsoft Office Word</Application>
  <DocSecurity>0</DocSecurity>
  <Lines>206</Lines>
  <Paragraphs>56</Paragraphs>
  <ScaleCrop>false</ScaleCrop>
  <Company>Springer Nature</Company>
  <LinksUpToDate>false</LinksUpToDate>
  <CharactersWithSpaces>10863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2026-03-12T05:12:00Z</dcterms:created>
  <dcterms:modified xsi:type="dcterms:W3CDTF">2026-03-12T05:13:00Z</dcterms:modified>
</cp:coreProperties>
</file>