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FFEF8" w14:textId="4F5C4B08" w:rsidR="00006C40" w:rsidRPr="00C20679" w:rsidRDefault="00006C40" w:rsidP="00006C4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Benchmarking Deep Learning Architectures for Forest Monitoring and Management: A Systematic Review </w:t>
      </w:r>
    </w:p>
    <w:p w14:paraId="38ED8AE4" w14:textId="77777777" w:rsidR="00006C40" w:rsidRPr="00C20679" w:rsidRDefault="00006C40" w:rsidP="00E7178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08C6568" w14:textId="6CFCCA66" w:rsidR="00435C2B" w:rsidRPr="00C20679" w:rsidRDefault="00E71782" w:rsidP="00E7178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20679">
        <w:rPr>
          <w:rFonts w:ascii="Times New Roman" w:hAnsi="Times New Roman" w:cs="Times New Roman"/>
          <w:b/>
          <w:bCs/>
          <w:sz w:val="22"/>
          <w:szCs w:val="22"/>
        </w:rPr>
        <w:t>Supplementary Materials</w:t>
      </w:r>
    </w:p>
    <w:p w14:paraId="0DCCB59D" w14:textId="02488435" w:rsidR="003A05D9" w:rsidRPr="003A05D9" w:rsidRDefault="003A05D9" w:rsidP="003A05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bookmarkStart w:id="0" w:name="_Hlk220261281"/>
      <w:r w:rsidRPr="00C20679">
        <w:rPr>
          <w:rFonts w:ascii="Times New Roman" w:eastAsia="Times New Roman" w:hAnsi="Times New Roman" w:cs="Times New Roman"/>
          <w:b/>
          <w:bCs/>
          <w:noProof/>
          <w:kern w:val="0"/>
          <w:sz w:val="22"/>
          <w:szCs w:val="22"/>
          <w14:ligatures w14:val="none"/>
        </w:rPr>
        <w:drawing>
          <wp:inline distT="0" distB="0" distL="0" distR="0" wp14:anchorId="0A4B8227" wp14:editId="0CE65D20">
            <wp:extent cx="5943600" cy="2421890"/>
            <wp:effectExtent l="0" t="0" r="0" b="0"/>
            <wp:docPr id="13606204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AC37" w14:textId="38B1A578" w:rsidR="00E74FCB" w:rsidRPr="00C20679" w:rsidRDefault="00E74FCB" w:rsidP="00E74F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Figure S</w:t>
      </w:r>
      <w:r w:rsidR="009A0FD4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1</w:t>
      </w: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. </w:t>
      </w:r>
      <w:r w:rsidR="00124CC6"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Stratified meta-analysis forest plots by primary metric type. Diamond symbols represent pooled estimates with 95% </w:t>
      </w:r>
      <w:proofErr w:type="gramStart"/>
      <w:r w:rsidR="00124CC6"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CI;</w:t>
      </w:r>
      <w:proofErr w:type="gramEnd"/>
      <w:r w:rsidR="00124CC6"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circle size proportional to sample size</w:t>
      </w:r>
      <w:r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</w:t>
      </w:r>
    </w:p>
    <w:p w14:paraId="2ACF8543" w14:textId="7C93222B" w:rsidR="00891A4D" w:rsidRPr="00891A4D" w:rsidRDefault="00891A4D" w:rsidP="00891A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b/>
          <w:bCs/>
          <w:noProof/>
          <w:kern w:val="0"/>
          <w:sz w:val="22"/>
          <w:szCs w:val="22"/>
          <w14:ligatures w14:val="none"/>
        </w:rPr>
        <w:drawing>
          <wp:inline distT="0" distB="0" distL="0" distR="0" wp14:anchorId="731C96BB" wp14:editId="2662B209">
            <wp:extent cx="5943600" cy="1894205"/>
            <wp:effectExtent l="0" t="0" r="0" b="0"/>
            <wp:docPr id="16469847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06DB" w14:textId="0961E42E" w:rsidR="00E74FCB" w:rsidRDefault="00E74FCB" w:rsidP="00E74F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Figure S</w:t>
      </w:r>
      <w:r w:rsidR="009A0FD4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2</w:t>
      </w: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. </w:t>
      </w:r>
      <w:r w:rsidR="003E1447"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Sensitivity analysis: impact of variance imputation method on pooled estimates. Diamonds = all studies (bootstrap </w:t>
      </w:r>
      <w:r w:rsidR="003E1447" w:rsidRPr="00172F05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14:ligatures w14:val="none"/>
        </w:rPr>
        <w:t>SE</w:t>
      </w:r>
      <w:r w:rsidR="003E1447"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); squares = reported </w:t>
      </w:r>
      <w:r w:rsidR="003E1447" w:rsidRPr="00172F05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14:ligatures w14:val="none"/>
        </w:rPr>
        <w:t>SE</w:t>
      </w:r>
      <w:r w:rsidR="003E1447"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only; triangles = study-level imputation</w:t>
      </w:r>
    </w:p>
    <w:p w14:paraId="155711CC" w14:textId="77777777" w:rsidR="009A0FD4" w:rsidRPr="00C20679" w:rsidRDefault="009A0FD4" w:rsidP="009A0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12A1B3FE" w14:textId="77777777" w:rsidR="009A0FD4" w:rsidRPr="00C20679" w:rsidRDefault="009A0FD4" w:rsidP="00E74F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26B2E8EF" w14:textId="7ED721B2" w:rsidR="00C11E60" w:rsidRPr="00C11E60" w:rsidRDefault="00C11E60" w:rsidP="00C11E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33498653" wp14:editId="001B35C5">
            <wp:extent cx="5943600" cy="2094230"/>
            <wp:effectExtent l="0" t="0" r="0" b="1270"/>
            <wp:docPr id="21453119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44C9" w14:textId="77777777" w:rsidR="002C2001" w:rsidRPr="00C20679" w:rsidRDefault="002C2001" w:rsidP="00E74F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1F1B5BE0" w14:textId="67070D3D" w:rsidR="002C2001" w:rsidRPr="00C20679" w:rsidRDefault="002C2001" w:rsidP="00E74F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Figure S</w:t>
      </w:r>
      <w:r w:rsidR="009A0FD4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3</w:t>
      </w: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.</w:t>
      </w:r>
      <w:r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Funnel plots for assessment of publication bias across three application domains. Symmetric funnels indicate no substantial small-study bias. Egger's test </w:t>
      </w:r>
      <w:r w:rsidRPr="00172F05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14:ligatures w14:val="none"/>
        </w:rPr>
        <w:t>p</w:t>
      </w:r>
      <w:r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-values shown.</w:t>
      </w:r>
    </w:p>
    <w:p w14:paraId="43C67470" w14:textId="3E82BC84" w:rsidR="006C5507" w:rsidRPr="006C5507" w:rsidRDefault="006C5507" w:rsidP="006C55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6217BD4F" wp14:editId="7CF6C040">
            <wp:extent cx="5943600" cy="2546985"/>
            <wp:effectExtent l="0" t="0" r="0" b="5715"/>
            <wp:docPr id="9726372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81B7" w14:textId="24A23B03" w:rsidR="003E1447" w:rsidRDefault="00B520A6" w:rsidP="00E74F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Figure S</w:t>
      </w:r>
      <w:r w:rsidR="009A0FD4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4</w:t>
      </w: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.</w:t>
      </w:r>
      <w:r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Modified QUADAS-2 risk-of-bias summary by architecture group. Hatching encodes domain (see legend). Bars show % of studies within each risk level.</w:t>
      </w:r>
    </w:p>
    <w:p w14:paraId="43632918" w14:textId="77777777" w:rsidR="009A0FD4" w:rsidRPr="00C20679" w:rsidRDefault="009A0FD4" w:rsidP="009A0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1444F05A" wp14:editId="33C56185">
            <wp:extent cx="4094234" cy="2228850"/>
            <wp:effectExtent l="0" t="0" r="1905" b="0"/>
            <wp:docPr id="16393822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19" cy="224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4AF8" w14:textId="6B52F28A" w:rsidR="009A0FD4" w:rsidRPr="00C20679" w:rsidRDefault="009A0FD4" w:rsidP="009A0F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Figure S</w:t>
      </w:r>
      <w:r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5</w:t>
      </w: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. </w:t>
      </w:r>
      <w:r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Publication trends in terms of global distribution</w:t>
      </w:r>
      <w:r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.</w:t>
      </w:r>
      <w:r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</w:t>
      </w:r>
    </w:p>
    <w:p w14:paraId="68214040" w14:textId="77777777" w:rsidR="009A0FD4" w:rsidRPr="00C20679" w:rsidRDefault="009A0FD4" w:rsidP="00E74F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</w:p>
    <w:p w14:paraId="4F72E27D" w14:textId="5BC78F79" w:rsidR="004F4D6F" w:rsidRPr="00C20679" w:rsidRDefault="004F4D6F" w:rsidP="004F4D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11D7E954" wp14:editId="231F0339">
            <wp:extent cx="3847548" cy="2229485"/>
            <wp:effectExtent l="0" t="0" r="635" b="0"/>
            <wp:docPr id="1702913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97" cy="225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A58D" w14:textId="6D78D9D0" w:rsidR="00E74FCB" w:rsidRPr="00C20679" w:rsidRDefault="000A70B7" w:rsidP="00E74F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Figure S</w:t>
      </w:r>
      <w:r w:rsidR="009A0FD4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6</w:t>
      </w:r>
      <w:r w:rsidRPr="00C20679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.</w:t>
      </w:r>
      <w:r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</w:t>
      </w:r>
      <w:r w:rsidR="0079256B"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Pie chart showing </w:t>
      </w:r>
      <w:r w:rsidR="00AC11D4"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</w:t>
      </w:r>
      <w:r w:rsidRPr="00C20679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istribution of deep learning architectures used in the reviewed studies.</w:t>
      </w:r>
    </w:p>
    <w:p w14:paraId="2E7FEA89" w14:textId="3CC11197" w:rsidR="003743D0" w:rsidRPr="003743D0" w:rsidRDefault="003743D0" w:rsidP="00374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C20679">
        <w:rPr>
          <w:rFonts w:ascii="Times New Roman" w:eastAsia="Times New Roman" w:hAnsi="Times New Roman" w:cs="Times New Roman"/>
          <w:b/>
          <w:bCs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7F605A94" wp14:editId="0F7FD644">
            <wp:extent cx="5943600" cy="2499360"/>
            <wp:effectExtent l="0" t="0" r="0" b="0"/>
            <wp:docPr id="14009062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C68BA8E" w14:textId="4DF7FC6F" w:rsidR="00E71782" w:rsidRPr="00C20679" w:rsidRDefault="007276A3" w:rsidP="007276A3">
      <w:pPr>
        <w:rPr>
          <w:rFonts w:ascii="Times New Roman" w:hAnsi="Times New Roman" w:cs="Times New Roman"/>
          <w:sz w:val="22"/>
          <w:szCs w:val="22"/>
        </w:rPr>
      </w:pPr>
      <w:r w:rsidRPr="00C20679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DC4CC3">
        <w:rPr>
          <w:rFonts w:ascii="Times New Roman" w:hAnsi="Times New Roman" w:cs="Times New Roman"/>
          <w:b/>
          <w:bCs/>
          <w:sz w:val="22"/>
          <w:szCs w:val="22"/>
        </w:rPr>
        <w:t>7</w:t>
      </w:r>
      <w:r w:rsidRPr="00C20679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C20679">
        <w:rPr>
          <w:rFonts w:ascii="Times New Roman" w:hAnsi="Times New Roman" w:cs="Times New Roman"/>
          <w:sz w:val="22"/>
          <w:szCs w:val="22"/>
        </w:rPr>
        <w:t xml:space="preserve"> Computational efficiency trade-off: FLOPs, latency, memory, and deployment target. Bubble area proportional to peak GPU memory (GB). Red dashed line = 100 </w:t>
      </w:r>
      <w:proofErr w:type="spellStart"/>
      <w:r w:rsidRPr="00C20679">
        <w:rPr>
          <w:rFonts w:ascii="Times New Roman" w:hAnsi="Times New Roman" w:cs="Times New Roman"/>
          <w:sz w:val="22"/>
          <w:szCs w:val="22"/>
        </w:rPr>
        <w:t>ms</w:t>
      </w:r>
      <w:proofErr w:type="spellEnd"/>
      <w:r w:rsidRPr="00C20679">
        <w:rPr>
          <w:rFonts w:ascii="Times New Roman" w:hAnsi="Times New Roman" w:cs="Times New Roman"/>
          <w:sz w:val="22"/>
          <w:szCs w:val="22"/>
        </w:rPr>
        <w:t xml:space="preserve"> real-time threshold.</w:t>
      </w:r>
    </w:p>
    <w:p w14:paraId="3ABDC175" w14:textId="04EECB22" w:rsidR="0024677E" w:rsidRPr="0024677E" w:rsidRDefault="0024677E" w:rsidP="0024677E">
      <w:pPr>
        <w:rPr>
          <w:rFonts w:ascii="Times New Roman" w:hAnsi="Times New Roman" w:cs="Times New Roman"/>
          <w:sz w:val="22"/>
          <w:szCs w:val="22"/>
        </w:rPr>
      </w:pPr>
      <w:r w:rsidRPr="00C20679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1126BC9" wp14:editId="0E8DAD6C">
            <wp:extent cx="5943600" cy="2225040"/>
            <wp:effectExtent l="0" t="0" r="0" b="3810"/>
            <wp:docPr id="20912121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61E1" w14:textId="49A97AD1" w:rsidR="0049243E" w:rsidRPr="00C20679" w:rsidRDefault="0049243E" w:rsidP="007276A3">
      <w:pPr>
        <w:rPr>
          <w:rFonts w:ascii="Times New Roman" w:hAnsi="Times New Roman" w:cs="Times New Roman"/>
          <w:sz w:val="22"/>
          <w:szCs w:val="22"/>
        </w:rPr>
      </w:pPr>
      <w:r w:rsidRPr="00C20679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9A0FD4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Pr="00C20679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C20679">
        <w:rPr>
          <w:rFonts w:ascii="Times New Roman" w:hAnsi="Times New Roman" w:cs="Times New Roman"/>
          <w:sz w:val="22"/>
          <w:szCs w:val="22"/>
        </w:rPr>
        <w:t xml:space="preserve"> Cross-biome transferability scores and effect sizes with 95% confidence intervals. Left: T-score; </w:t>
      </w:r>
      <w:proofErr w:type="spellStart"/>
      <w:r w:rsidRPr="00C20679">
        <w:rPr>
          <w:rFonts w:ascii="Times New Roman" w:hAnsi="Times New Roman" w:cs="Times New Roman"/>
          <w:sz w:val="22"/>
          <w:szCs w:val="22"/>
        </w:rPr>
        <w:t>centre</w:t>
      </w:r>
      <w:proofErr w:type="spellEnd"/>
      <w:r w:rsidRPr="00C20679">
        <w:rPr>
          <w:rFonts w:ascii="Times New Roman" w:hAnsi="Times New Roman" w:cs="Times New Roman"/>
          <w:sz w:val="22"/>
          <w:szCs w:val="22"/>
        </w:rPr>
        <w:t xml:space="preserve">: standardized mean difference (Cohen's </w:t>
      </w:r>
      <w:r w:rsidRPr="00172F05">
        <w:rPr>
          <w:rFonts w:ascii="Times New Roman" w:hAnsi="Times New Roman" w:cs="Times New Roman"/>
          <w:i/>
          <w:iCs/>
          <w:sz w:val="22"/>
          <w:szCs w:val="22"/>
        </w:rPr>
        <w:t>d</w:t>
      </w:r>
      <w:r w:rsidRPr="00C20679">
        <w:rPr>
          <w:rFonts w:ascii="Times New Roman" w:hAnsi="Times New Roman" w:cs="Times New Roman"/>
          <w:sz w:val="22"/>
          <w:szCs w:val="22"/>
        </w:rPr>
        <w:t>); right: domain adaptation strategies.</w:t>
      </w:r>
    </w:p>
    <w:sectPr w:rsidR="0049243E" w:rsidRPr="00C20679" w:rsidSect="0089774D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3AA69" w14:textId="77777777" w:rsidR="005D101D" w:rsidRDefault="005D101D" w:rsidP="009C4FDC">
      <w:pPr>
        <w:spacing w:after="0" w:line="240" w:lineRule="auto"/>
      </w:pPr>
      <w:r>
        <w:separator/>
      </w:r>
    </w:p>
  </w:endnote>
  <w:endnote w:type="continuationSeparator" w:id="0">
    <w:p w14:paraId="1F0CD2D3" w14:textId="77777777" w:rsidR="005D101D" w:rsidRDefault="005D101D" w:rsidP="009C4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1DF9E" w14:textId="77777777" w:rsidR="005D101D" w:rsidRDefault="005D101D" w:rsidP="009C4FDC">
      <w:pPr>
        <w:spacing w:after="0" w:line="240" w:lineRule="auto"/>
      </w:pPr>
      <w:r>
        <w:separator/>
      </w:r>
    </w:p>
  </w:footnote>
  <w:footnote w:type="continuationSeparator" w:id="0">
    <w:p w14:paraId="7800628C" w14:textId="77777777" w:rsidR="005D101D" w:rsidRDefault="005D101D" w:rsidP="009C4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2B"/>
    <w:rsid w:val="00006C40"/>
    <w:rsid w:val="0006195E"/>
    <w:rsid w:val="00072A04"/>
    <w:rsid w:val="000A5EDF"/>
    <w:rsid w:val="000A70B7"/>
    <w:rsid w:val="00124CC6"/>
    <w:rsid w:val="00172F05"/>
    <w:rsid w:val="0021182C"/>
    <w:rsid w:val="0024677E"/>
    <w:rsid w:val="002C2001"/>
    <w:rsid w:val="003743D0"/>
    <w:rsid w:val="003A05D9"/>
    <w:rsid w:val="003E1447"/>
    <w:rsid w:val="00435C2B"/>
    <w:rsid w:val="0049243E"/>
    <w:rsid w:val="004F4D6F"/>
    <w:rsid w:val="004F512F"/>
    <w:rsid w:val="00530328"/>
    <w:rsid w:val="005D101D"/>
    <w:rsid w:val="006C5507"/>
    <w:rsid w:val="006E3F91"/>
    <w:rsid w:val="007276A3"/>
    <w:rsid w:val="0079256B"/>
    <w:rsid w:val="007F280E"/>
    <w:rsid w:val="0088234D"/>
    <w:rsid w:val="00884E57"/>
    <w:rsid w:val="00891A4D"/>
    <w:rsid w:val="00894361"/>
    <w:rsid w:val="0089774D"/>
    <w:rsid w:val="009A0FD4"/>
    <w:rsid w:val="009C4FDC"/>
    <w:rsid w:val="00AC11D4"/>
    <w:rsid w:val="00B01068"/>
    <w:rsid w:val="00B520A6"/>
    <w:rsid w:val="00C11E60"/>
    <w:rsid w:val="00C20679"/>
    <w:rsid w:val="00C673EC"/>
    <w:rsid w:val="00CE36AC"/>
    <w:rsid w:val="00CF2ABB"/>
    <w:rsid w:val="00D55F42"/>
    <w:rsid w:val="00D83FB9"/>
    <w:rsid w:val="00DC4CC3"/>
    <w:rsid w:val="00E71782"/>
    <w:rsid w:val="00E7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425F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EDF"/>
  </w:style>
  <w:style w:type="paragraph" w:styleId="Heading1">
    <w:name w:val="heading 1"/>
    <w:basedOn w:val="Normal"/>
    <w:next w:val="Normal"/>
    <w:link w:val="Heading1Char"/>
    <w:uiPriority w:val="9"/>
    <w:qFormat/>
    <w:rsid w:val="00435C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5C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5C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5C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5C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5C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5C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5C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5C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5C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5C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5C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5C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5C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5C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5C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5C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5C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5C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5C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5C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5C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5C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5C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5C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5C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5C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5C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5C2B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9774D"/>
  </w:style>
  <w:style w:type="paragraph" w:styleId="Header">
    <w:name w:val="header"/>
    <w:basedOn w:val="Normal"/>
    <w:link w:val="HeaderChar"/>
    <w:uiPriority w:val="99"/>
    <w:unhideWhenUsed/>
    <w:rsid w:val="009C4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FDC"/>
  </w:style>
  <w:style w:type="paragraph" w:styleId="Footer">
    <w:name w:val="footer"/>
    <w:basedOn w:val="Normal"/>
    <w:link w:val="FooterChar"/>
    <w:uiPriority w:val="99"/>
    <w:unhideWhenUsed/>
    <w:rsid w:val="009C4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1192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2026-03-10T23:10:00Z</dcterms:created>
  <dcterms:modified xsi:type="dcterms:W3CDTF">2026-03-10T23:10:00Z</dcterms:modified>
</cp:coreProperties>
</file>