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7A52E" w14:textId="77777777" w:rsidR="00311983" w:rsidRPr="006707F0" w:rsidRDefault="00311983" w:rsidP="00311983">
      <w:pPr>
        <w:spacing w:before="100" w:beforeAutospacing="1" w:after="100" w:afterAutospacing="1"/>
        <w:outlineLvl w:val="0"/>
        <w:rPr>
          <w:rFonts w:asciiTheme="majorBidi" w:hAnsiTheme="majorBidi" w:cstheme="majorBidi"/>
          <w:b/>
          <w:bCs/>
          <w:kern w:val="36"/>
          <w:lang w:val="en-US"/>
        </w:rPr>
      </w:pPr>
      <w:r>
        <w:rPr>
          <w:rFonts w:asciiTheme="majorBidi" w:hAnsiTheme="majorBidi" w:cstheme="majorBidi"/>
          <w:b/>
          <w:bCs/>
          <w:kern w:val="36"/>
          <w:lang w:val="en-US"/>
        </w:rPr>
        <w:t>Supplementary Figures</w:t>
      </w:r>
    </w:p>
    <w:p w14:paraId="6898B29F" w14:textId="77777777" w:rsidR="00311983" w:rsidRDefault="00311983" w:rsidP="00311983">
      <w:pPr>
        <w:pStyle w:val="font-claude-response-body"/>
        <w:rPr>
          <w:rFonts w:asciiTheme="majorBidi" w:hAnsiTheme="majorBidi" w:cstheme="majorBidi"/>
          <w:color w:val="EE0000"/>
        </w:rPr>
      </w:pPr>
      <w:r w:rsidRPr="0031539A">
        <w:rPr>
          <w:rFonts w:asciiTheme="majorBidi" w:hAnsiTheme="majorBidi" w:cstheme="majorBidi"/>
          <w:noProof/>
          <w:color w:val="EE0000"/>
        </w:rPr>
        <w:drawing>
          <wp:inline distT="0" distB="0" distL="0" distR="0" wp14:anchorId="06848A10" wp14:editId="18150E66">
            <wp:extent cx="5752618" cy="4006273"/>
            <wp:effectExtent l="0" t="0" r="635" b="0"/>
            <wp:docPr id="161401213" name="Picture 1" descr="A graph of a graph showing the amount of exposure per expos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1213" name="Picture 1" descr="A graph of a graph showing the amount of exposure per exposure&#10;&#10;AI-generated content may be incorrect."/>
                    <pic:cNvPicPr/>
                  </pic:nvPicPr>
                  <pic:blipFill rotWithShape="1">
                    <a:blip r:embed="rId4"/>
                    <a:srcRect t="-1" b="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28" cy="402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96098" w14:textId="77777777" w:rsidR="00311983" w:rsidRDefault="00311983" w:rsidP="00311983">
      <w:pPr>
        <w:pStyle w:val="font-claude-response-body"/>
        <w:rPr>
          <w:rFonts w:eastAsiaTheme="majorEastAsia"/>
          <w:i/>
          <w:iCs/>
          <w:sz w:val="20"/>
          <w:szCs w:val="20"/>
        </w:rPr>
      </w:pPr>
      <w:r w:rsidRPr="00196276">
        <w:rPr>
          <w:rFonts w:eastAsiaTheme="majorEastAsia"/>
          <w:b/>
          <w:bCs/>
          <w:i/>
          <w:iCs/>
          <w:sz w:val="20"/>
          <w:szCs w:val="20"/>
          <w:lang w:val="en-US"/>
        </w:rPr>
        <w:t xml:space="preserve">Supplementary </w:t>
      </w:r>
      <w:r w:rsidRPr="005D3145">
        <w:rPr>
          <w:rFonts w:eastAsiaTheme="majorEastAsia"/>
          <w:b/>
          <w:bCs/>
          <w:i/>
          <w:iCs/>
          <w:sz w:val="20"/>
          <w:szCs w:val="20"/>
        </w:rPr>
        <w:t>Figure</w:t>
      </w:r>
      <w:r>
        <w:rPr>
          <w:rFonts w:eastAsiaTheme="majorEastAsia"/>
          <w:b/>
          <w:bCs/>
          <w:i/>
          <w:iCs/>
          <w:sz w:val="20"/>
          <w:szCs w:val="20"/>
        </w:rPr>
        <w:t xml:space="preserve"> 1</w:t>
      </w:r>
      <w:r w:rsidRPr="005D3145">
        <w:rPr>
          <w:rFonts w:eastAsiaTheme="majorEastAsia"/>
          <w:b/>
          <w:bCs/>
          <w:i/>
          <w:iCs/>
          <w:sz w:val="20"/>
          <w:szCs w:val="20"/>
        </w:rPr>
        <w:t xml:space="preserve">. Literature validation of pesticide exposure prevalence assumptions using biomonitoring studies. </w:t>
      </w:r>
      <w:r w:rsidRPr="00925025">
        <w:rPr>
          <w:rFonts w:eastAsiaTheme="majorEastAsia"/>
          <w:i/>
          <w:iCs/>
          <w:sz w:val="20"/>
          <w:szCs w:val="20"/>
        </w:rPr>
        <w:t xml:space="preserve">Dot plot shows proportion of individuals with detectable urinary organophosphate metabolites in 18 estimates from 15 published studies (2000-2023), stratified by exposure pathway. Point size scaled by sample size (n=17-1,163). Occupational pathway (red, n=5 estimates): farmworkers and agricultural workers. Environmental pathway (blue, n=13 estimates): rural residents, pregnant women in agricultural areas, children in farmworker households. Vertical dashed lines indicate study assumptions: 80% occupational exposure (red) and 58% environmental exposure (blue). Shaded background regions represent observed ranges from literature (red: 61-98%; blue: 48-100%). Weighted means (by sample size): occupational 83.9%, environmental 85.1%. </w:t>
      </w:r>
    </w:p>
    <w:p w14:paraId="7EBEA9AA" w14:textId="77777777" w:rsidR="00311983" w:rsidRPr="0008059B" w:rsidRDefault="00311983" w:rsidP="00311983">
      <w:pPr>
        <w:rPr>
          <w:rtl/>
        </w:rPr>
      </w:pPr>
      <w:r>
        <w:rPr>
          <w:noProof/>
          <w:rtl/>
          <w:lang w:val="ar-SA"/>
          <w14:ligatures w14:val="standardContextual"/>
        </w:rPr>
        <w:lastRenderedPageBreak/>
        <w:drawing>
          <wp:inline distT="0" distB="0" distL="0" distR="0" wp14:anchorId="1879375F" wp14:editId="7A228636">
            <wp:extent cx="5648446" cy="4716888"/>
            <wp:effectExtent l="0" t="0" r="3175" b="0"/>
            <wp:docPr id="918686000" name="Picture 4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86000" name="Picture 4" descr="A screenshot of a graph&#10;&#10;AI-generated content may be incorrect."/>
                    <pic:cNvPicPr/>
                  </pic:nvPicPr>
                  <pic:blipFill rotWithShape="1">
                    <a:blip r:embed="rId5"/>
                    <a:srcRect t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39" cy="473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FD9F0" w14:textId="77777777" w:rsidR="00311983" w:rsidRPr="00D159D8" w:rsidRDefault="00311983" w:rsidP="00311983">
      <w:pPr>
        <w:rPr>
          <w:i/>
          <w:iCs/>
          <w:sz w:val="20"/>
          <w:szCs w:val="20"/>
        </w:rPr>
      </w:pPr>
      <w:r w:rsidRPr="00196276">
        <w:rPr>
          <w:b/>
          <w:bCs/>
          <w:i/>
          <w:iCs/>
          <w:sz w:val="20"/>
          <w:szCs w:val="20"/>
          <w:lang w:val="en-US"/>
        </w:rPr>
        <w:t xml:space="preserve">Supplementary </w:t>
      </w:r>
      <w:r w:rsidRPr="00196276">
        <w:rPr>
          <w:b/>
          <w:bCs/>
          <w:i/>
          <w:iCs/>
          <w:sz w:val="20"/>
          <w:szCs w:val="20"/>
        </w:rPr>
        <w:t xml:space="preserve">Figure </w:t>
      </w:r>
      <w:r>
        <w:rPr>
          <w:b/>
          <w:bCs/>
          <w:i/>
          <w:iCs/>
          <w:sz w:val="20"/>
          <w:szCs w:val="20"/>
        </w:rPr>
        <w:t>2</w:t>
      </w:r>
      <w:r>
        <w:rPr>
          <w:i/>
          <w:iCs/>
          <w:sz w:val="20"/>
          <w:szCs w:val="20"/>
        </w:rPr>
        <w:t>.</w:t>
      </w:r>
      <w:r w:rsidRPr="00D60233">
        <w:rPr>
          <w:i/>
          <w:iCs/>
          <w:sz w:val="20"/>
          <w:szCs w:val="20"/>
        </w:rPr>
        <w:t xml:space="preserve"> </w:t>
      </w:r>
      <w:r w:rsidRPr="00DD7640">
        <w:rPr>
          <w:b/>
          <w:bCs/>
          <w:i/>
          <w:iCs/>
          <w:sz w:val="20"/>
          <w:szCs w:val="20"/>
        </w:rPr>
        <w:t>Spearman Rank Correlations Among Independent Pesticide Exposure and Burden Metrics Across MENA Countries, 2010–2023.</w:t>
      </w:r>
      <w:r w:rsidRPr="00DD7640">
        <w:rPr>
          <w:i/>
          <w:iCs/>
          <w:sz w:val="20"/>
          <w:szCs w:val="20"/>
        </w:rPr>
        <w:t> Full 7×7 symmetric heatmap of pairwise Spearman rank correlation coefficients (ρ) computed from 252 country-year observations (18 MENA countries × 14 years). Colour intensity represents correlation strength and direction: red indicates positive associations, blue indicates negative associations, and white indicates near-zero correlation. Numeric values show Spearman ρ with significance indicators (*** p &lt; 0.001, ** p &lt; 0.01, * p &lt; 0.05, ns = not significant). Diagonal cells display variable names. All burden metrics are population-normalized rates per 100,000 to control for country size differences.</w:t>
      </w:r>
    </w:p>
    <w:p w14:paraId="0AD8BDB5" w14:textId="77777777" w:rsidR="00311983" w:rsidRDefault="00311983" w:rsidP="00311983">
      <w:pPr>
        <w:rPr>
          <w:lang w:val="en-US"/>
        </w:rPr>
      </w:pPr>
    </w:p>
    <w:p w14:paraId="37F2836C" w14:textId="77777777" w:rsidR="00311983" w:rsidRPr="008F5B57" w:rsidRDefault="00311983" w:rsidP="00311983">
      <w:pPr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339E222A" wp14:editId="60AA5125">
            <wp:extent cx="5204397" cy="6007261"/>
            <wp:effectExtent l="0" t="0" r="3175" b="0"/>
            <wp:docPr id="814523210" name="Picture 5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23210" name="Picture 5" descr="A screenshot of a graph&#10;&#10;AI-generated content may be incorrect."/>
                    <pic:cNvPicPr/>
                  </pic:nvPicPr>
                  <pic:blipFill rotWithShape="1">
                    <a:blip r:embed="rId6"/>
                    <a:srcRect t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24" cy="606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6D44B" w14:textId="5126328C" w:rsidR="00311983" w:rsidRPr="00311983" w:rsidRDefault="00311983" w:rsidP="00311983">
      <w:pPr>
        <w:rPr>
          <w:i/>
          <w:iCs/>
          <w:sz w:val="20"/>
          <w:szCs w:val="20"/>
        </w:rPr>
      </w:pPr>
      <w:r w:rsidRPr="005655BD">
        <w:rPr>
          <w:b/>
          <w:bCs/>
          <w:i/>
          <w:iCs/>
          <w:sz w:val="20"/>
          <w:szCs w:val="20"/>
          <w:lang w:val="en-US"/>
        </w:rPr>
        <w:t xml:space="preserve">Supplementary </w:t>
      </w:r>
      <w:r w:rsidRPr="005655BD">
        <w:rPr>
          <w:b/>
          <w:bCs/>
          <w:i/>
          <w:iCs/>
          <w:sz w:val="20"/>
          <w:szCs w:val="20"/>
        </w:rPr>
        <w:t>Figure 3. Temporal Exposure-Response Relationships Between 3-Year Lagged Pesticide Intensity and Neurological Burden Across MENA Countries, 2010–2023.</w:t>
      </w:r>
      <w:r w:rsidRPr="00033692">
        <w:rPr>
          <w:i/>
          <w:iCs/>
          <w:sz w:val="20"/>
          <w:szCs w:val="20"/>
        </w:rPr>
        <w:t> (A) Overall log-log scatter plot of 3-year lagged pesticide application intensity (kg/ha) versus total age-standardized neurological DALY rate per 100,000, across 198 country-year observations (18 MENA countries, burden years 2013–2023). Points are coloured by subregion; the black line represents the OLS log-linear regression fit with 95% confidence interval (grey shading). (B) Stratified exposure-response relationships for the two neurological burden components: intellectual disability YLD rate (blue, positive slope) and Parkinson's disease DALY rate (red, negative slope), each with separate OLS regression lines and 95% confidence bands on log-log axes. (C) Country-specific Spearman rank correlations (ρ) between 3-year lagged pesticide intensity and total DALY rate, computed within each country across 11 year-pairs (burden 2013–2023); the Global (pooled) row uses all 198 observations. Countries are ranked from strongest positive (top) to strongest negative (bottom); horizontal bars represent 95% confidence intervals via Fisher z-transformation; points are coloured by ρ value (red = positive, blue = negative). * p &lt; 0.05 (two-sided). The dashed horizontal line separates individual country rows from the Global (pooled) row (diamond symbol).</w:t>
      </w:r>
    </w:p>
    <w:p w14:paraId="067B1B3D" w14:textId="77777777" w:rsidR="00311983" w:rsidRPr="00DD4D9E" w:rsidRDefault="00311983" w:rsidP="00311983">
      <w:pPr>
        <w:rPr>
          <w:i/>
          <w:iCs/>
          <w:sz w:val="20"/>
          <w:szCs w:val="20"/>
        </w:rPr>
      </w:pPr>
    </w:p>
    <w:p w14:paraId="3BD0AC68" w14:textId="77777777" w:rsidR="00311983" w:rsidRDefault="00311983" w:rsidP="00311983">
      <w:pPr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6E01E587" wp14:editId="55082214">
            <wp:extent cx="6239882" cy="2729948"/>
            <wp:effectExtent l="0" t="0" r="0" b="635"/>
            <wp:docPr id="121434464" name="Picture 1" descr="A graph of a dise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4464" name="Picture 1" descr="A graph of a diseas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9385" cy="274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2E2EE" w14:textId="77777777" w:rsidR="00311983" w:rsidRPr="008F5B57" w:rsidRDefault="00311983" w:rsidP="00311983">
      <w:pPr>
        <w:rPr>
          <w:lang w:val="en-US"/>
        </w:rPr>
      </w:pPr>
    </w:p>
    <w:p w14:paraId="05789370" w14:textId="77777777" w:rsidR="00311983" w:rsidRDefault="00311983" w:rsidP="00311983">
      <w:pPr>
        <w:rPr>
          <w:i/>
          <w:iCs/>
          <w:sz w:val="20"/>
          <w:szCs w:val="20"/>
        </w:rPr>
      </w:pPr>
      <w:r w:rsidRPr="003F1AED">
        <w:rPr>
          <w:b/>
          <w:bCs/>
          <w:i/>
          <w:iCs/>
          <w:sz w:val="20"/>
          <w:szCs w:val="20"/>
          <w:lang w:val="en-US"/>
        </w:rPr>
        <w:t xml:space="preserve">Supplementary </w:t>
      </w:r>
      <w:r w:rsidRPr="003F1AED">
        <w:rPr>
          <w:b/>
          <w:bCs/>
          <w:i/>
          <w:iCs/>
          <w:sz w:val="20"/>
          <w:szCs w:val="20"/>
        </w:rPr>
        <w:t xml:space="preserve">Figure </w:t>
      </w:r>
      <w:r>
        <w:rPr>
          <w:b/>
          <w:bCs/>
          <w:i/>
          <w:iCs/>
          <w:sz w:val="20"/>
          <w:szCs w:val="20"/>
        </w:rPr>
        <w:t>4</w:t>
      </w:r>
      <w:r w:rsidRPr="000050BE">
        <w:rPr>
          <w:b/>
          <w:bCs/>
          <w:i/>
          <w:iCs/>
          <w:sz w:val="20"/>
          <w:szCs w:val="20"/>
        </w:rPr>
        <w:t>. Lag Sensitivity Analysis: Model Fit (R²) by Exposure Lag Period.</w:t>
      </w:r>
      <w:r w:rsidRPr="000050BE">
        <w:rPr>
          <w:i/>
          <w:iCs/>
          <w:sz w:val="20"/>
          <w:szCs w:val="20"/>
        </w:rPr>
        <w:t> R² from log-linear OLS regression of lagged pesticide application intensity versus neurological burden rate across 18 MENA countries, 2010–2023, for three burden outcomes: (A) total neurological DALY rate (dark grey), (B) intellectual disability YLD rate (blue), and (C) Parkinson's disease DALY rate (red). Each point represents the R² at a given lag (0–7 years), with shaded bands showing 95% bootstrap confidence intervals (B = 999, seed = 2024). Sample sizes decrease with increasing lag (n = 252 at lag 0 to n = 126 at lag 7) as matched country-year pairs are lost at each end of the study window. Dashed vertical lines mark the lag period yielding maximum R² for each outcome. Significance of each regression: *** p &lt; 0.001, ** p &lt; 0.01, * p &lt; 0.05.</w:t>
      </w:r>
    </w:p>
    <w:p w14:paraId="7DBCF465" w14:textId="77777777" w:rsidR="00311983" w:rsidRDefault="00311983" w:rsidP="00311983">
      <w:pPr>
        <w:rPr>
          <w:i/>
          <w:iCs/>
          <w:sz w:val="20"/>
          <w:szCs w:val="20"/>
        </w:rPr>
      </w:pPr>
    </w:p>
    <w:p w14:paraId="54F8B62F" w14:textId="77777777" w:rsidR="00311983" w:rsidRDefault="00311983" w:rsidP="00311983">
      <w:pPr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00B5B579" wp14:editId="55FF8B91">
            <wp:extent cx="5943600" cy="4953000"/>
            <wp:effectExtent l="0" t="0" r="0" b="0"/>
            <wp:docPr id="1518630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30234" name="Picture 1518630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0DB3" w14:textId="77777777" w:rsidR="00311983" w:rsidRDefault="00311983" w:rsidP="00311983">
      <w:pPr>
        <w:rPr>
          <w:i/>
          <w:iCs/>
          <w:sz w:val="20"/>
          <w:szCs w:val="20"/>
        </w:rPr>
      </w:pPr>
      <w:r w:rsidRPr="005A6801">
        <w:rPr>
          <w:b/>
          <w:bCs/>
          <w:i/>
          <w:iCs/>
          <w:sz w:val="20"/>
          <w:szCs w:val="20"/>
        </w:rPr>
        <w:t>Supplementary Figure 5. Sensitivity Analysis of Parkinson's Disease-Pesticide Intensity Relationship Across MENA Countries, 2010-2023.</w:t>
      </w:r>
      <w:r w:rsidRPr="005A6801">
        <w:rPr>
          <w:i/>
          <w:iCs/>
          <w:sz w:val="20"/>
          <w:szCs w:val="20"/>
        </w:rPr>
        <w:t xml:space="preserve"> Scatter plots display mean pesticide application intensity (kg/ha, logarithmic scale) versus mean PD burden rate (DALYs per 100,000 population) under four analysis scenarios: (A) All 18 MENA countries (n=18, ρ=-0.35, p=0.14); (B) Excluding Gulf countries (n=12, ρ=+0.28, p=0.36); (C) Excluding conflict-affected countries (n=15, ρ=-0.58, p=0.02); (D) Core MENA only—excluding both Gulf and conflict countries (n=9, ρ=-0.13, p=0.73). Points color-coded by analysis subset. Dashed trend lines show OLS regression with 95% confidence intervals (gray shading). The reversal from negative to positive correlation when excluding Gulf countries demonstrates that the inverse relationship is an artifact of agricultural mechanization patterns rather than a biological dose-response phenomenon.</w:t>
      </w:r>
    </w:p>
    <w:p w14:paraId="1870F61D" w14:textId="77777777" w:rsidR="007F4437" w:rsidRDefault="007F4437"/>
    <w:sectPr w:rsidR="007F443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E82"/>
    <w:rsid w:val="0000506C"/>
    <w:rsid w:val="00010089"/>
    <w:rsid w:val="00012C0D"/>
    <w:rsid w:val="00023A03"/>
    <w:rsid w:val="00026D14"/>
    <w:rsid w:val="00027AE0"/>
    <w:rsid w:val="00031B21"/>
    <w:rsid w:val="00037B38"/>
    <w:rsid w:val="0004081C"/>
    <w:rsid w:val="00064CB2"/>
    <w:rsid w:val="00070BA7"/>
    <w:rsid w:val="00071D10"/>
    <w:rsid w:val="00072CE2"/>
    <w:rsid w:val="00074D3D"/>
    <w:rsid w:val="000871A4"/>
    <w:rsid w:val="00090853"/>
    <w:rsid w:val="00093CA6"/>
    <w:rsid w:val="0009719F"/>
    <w:rsid w:val="000A1CFB"/>
    <w:rsid w:val="000B47DD"/>
    <w:rsid w:val="000B4FF8"/>
    <w:rsid w:val="000B7CA6"/>
    <w:rsid w:val="000C4153"/>
    <w:rsid w:val="000C5D0E"/>
    <w:rsid w:val="000C5DFF"/>
    <w:rsid w:val="000D666E"/>
    <w:rsid w:val="000E1E35"/>
    <w:rsid w:val="000E2E4A"/>
    <w:rsid w:val="000E5C86"/>
    <w:rsid w:val="000F02E3"/>
    <w:rsid w:val="000F6E90"/>
    <w:rsid w:val="00102B85"/>
    <w:rsid w:val="00103069"/>
    <w:rsid w:val="0011151E"/>
    <w:rsid w:val="00114CC3"/>
    <w:rsid w:val="00120B93"/>
    <w:rsid w:val="00121C84"/>
    <w:rsid w:val="00124279"/>
    <w:rsid w:val="00127830"/>
    <w:rsid w:val="00127AFD"/>
    <w:rsid w:val="00131DB6"/>
    <w:rsid w:val="00132973"/>
    <w:rsid w:val="001354C1"/>
    <w:rsid w:val="0013581E"/>
    <w:rsid w:val="00135E86"/>
    <w:rsid w:val="00147C21"/>
    <w:rsid w:val="00153EF5"/>
    <w:rsid w:val="00154261"/>
    <w:rsid w:val="00156F4D"/>
    <w:rsid w:val="00161FBF"/>
    <w:rsid w:val="00165E17"/>
    <w:rsid w:val="0017286B"/>
    <w:rsid w:val="001736B5"/>
    <w:rsid w:val="00173BBC"/>
    <w:rsid w:val="00174BB6"/>
    <w:rsid w:val="00176465"/>
    <w:rsid w:val="001807F9"/>
    <w:rsid w:val="001809D9"/>
    <w:rsid w:val="00182B00"/>
    <w:rsid w:val="00183829"/>
    <w:rsid w:val="00183842"/>
    <w:rsid w:val="0018395A"/>
    <w:rsid w:val="001A7D7D"/>
    <w:rsid w:val="001B6C9F"/>
    <w:rsid w:val="001C3AED"/>
    <w:rsid w:val="001C629D"/>
    <w:rsid w:val="001D30F8"/>
    <w:rsid w:val="001E223C"/>
    <w:rsid w:val="001E2F41"/>
    <w:rsid w:val="001F1079"/>
    <w:rsid w:val="00200294"/>
    <w:rsid w:val="00200A90"/>
    <w:rsid w:val="00201682"/>
    <w:rsid w:val="002016D0"/>
    <w:rsid w:val="00205DE1"/>
    <w:rsid w:val="00211416"/>
    <w:rsid w:val="00214B43"/>
    <w:rsid w:val="002156AE"/>
    <w:rsid w:val="00215C58"/>
    <w:rsid w:val="00220DB9"/>
    <w:rsid w:val="00220DE8"/>
    <w:rsid w:val="00221F64"/>
    <w:rsid w:val="0023474C"/>
    <w:rsid w:val="00235568"/>
    <w:rsid w:val="002455C1"/>
    <w:rsid w:val="00246E51"/>
    <w:rsid w:val="00250D5E"/>
    <w:rsid w:val="00253C4A"/>
    <w:rsid w:val="0025546B"/>
    <w:rsid w:val="00255868"/>
    <w:rsid w:val="00260C49"/>
    <w:rsid w:val="0026170C"/>
    <w:rsid w:val="00262B69"/>
    <w:rsid w:val="00285902"/>
    <w:rsid w:val="00287506"/>
    <w:rsid w:val="00291B29"/>
    <w:rsid w:val="00294797"/>
    <w:rsid w:val="002961FE"/>
    <w:rsid w:val="002A26C5"/>
    <w:rsid w:val="002A2C76"/>
    <w:rsid w:val="002B1ED5"/>
    <w:rsid w:val="002B212E"/>
    <w:rsid w:val="002C0CE7"/>
    <w:rsid w:val="002C4F11"/>
    <w:rsid w:val="002D0251"/>
    <w:rsid w:val="002E0961"/>
    <w:rsid w:val="002E5339"/>
    <w:rsid w:val="002E7B88"/>
    <w:rsid w:val="002F5A20"/>
    <w:rsid w:val="002F655B"/>
    <w:rsid w:val="002F77EB"/>
    <w:rsid w:val="0030152A"/>
    <w:rsid w:val="003024A9"/>
    <w:rsid w:val="00303910"/>
    <w:rsid w:val="00304421"/>
    <w:rsid w:val="0030781A"/>
    <w:rsid w:val="00311983"/>
    <w:rsid w:val="0031215E"/>
    <w:rsid w:val="0031246F"/>
    <w:rsid w:val="00314AD3"/>
    <w:rsid w:val="00325C22"/>
    <w:rsid w:val="0032694C"/>
    <w:rsid w:val="003317B7"/>
    <w:rsid w:val="00331C83"/>
    <w:rsid w:val="00332614"/>
    <w:rsid w:val="00333172"/>
    <w:rsid w:val="003365E8"/>
    <w:rsid w:val="0033799A"/>
    <w:rsid w:val="00344A39"/>
    <w:rsid w:val="00347A39"/>
    <w:rsid w:val="00351590"/>
    <w:rsid w:val="00363753"/>
    <w:rsid w:val="00363B9F"/>
    <w:rsid w:val="00365812"/>
    <w:rsid w:val="00365957"/>
    <w:rsid w:val="003666CC"/>
    <w:rsid w:val="0037652B"/>
    <w:rsid w:val="00377D8F"/>
    <w:rsid w:val="003840E6"/>
    <w:rsid w:val="00393899"/>
    <w:rsid w:val="003A131E"/>
    <w:rsid w:val="003A4D1E"/>
    <w:rsid w:val="003B3365"/>
    <w:rsid w:val="003B52D0"/>
    <w:rsid w:val="003C4527"/>
    <w:rsid w:val="003C4622"/>
    <w:rsid w:val="003C5DFE"/>
    <w:rsid w:val="003D5C7A"/>
    <w:rsid w:val="003E30A2"/>
    <w:rsid w:val="003E4FD5"/>
    <w:rsid w:val="003F219F"/>
    <w:rsid w:val="003F22CC"/>
    <w:rsid w:val="003F3170"/>
    <w:rsid w:val="0040152F"/>
    <w:rsid w:val="00412985"/>
    <w:rsid w:val="004244CD"/>
    <w:rsid w:val="004267EF"/>
    <w:rsid w:val="00441B67"/>
    <w:rsid w:val="00442498"/>
    <w:rsid w:val="004468A2"/>
    <w:rsid w:val="0044746E"/>
    <w:rsid w:val="004539DB"/>
    <w:rsid w:val="00457D01"/>
    <w:rsid w:val="0046022F"/>
    <w:rsid w:val="004650BB"/>
    <w:rsid w:val="0046646D"/>
    <w:rsid w:val="00466FBD"/>
    <w:rsid w:val="004675D0"/>
    <w:rsid w:val="0047222C"/>
    <w:rsid w:val="00492E9A"/>
    <w:rsid w:val="004A3556"/>
    <w:rsid w:val="004B6947"/>
    <w:rsid w:val="004B74F2"/>
    <w:rsid w:val="004B7B88"/>
    <w:rsid w:val="004C0C5B"/>
    <w:rsid w:val="004C6037"/>
    <w:rsid w:val="004F1A0A"/>
    <w:rsid w:val="00507D5D"/>
    <w:rsid w:val="0051034F"/>
    <w:rsid w:val="00510A06"/>
    <w:rsid w:val="00512FA5"/>
    <w:rsid w:val="00515623"/>
    <w:rsid w:val="00521640"/>
    <w:rsid w:val="00521DEA"/>
    <w:rsid w:val="00522099"/>
    <w:rsid w:val="00523B30"/>
    <w:rsid w:val="00526083"/>
    <w:rsid w:val="0053286B"/>
    <w:rsid w:val="00535CC0"/>
    <w:rsid w:val="005377AD"/>
    <w:rsid w:val="00537A57"/>
    <w:rsid w:val="005732E8"/>
    <w:rsid w:val="00573869"/>
    <w:rsid w:val="00576045"/>
    <w:rsid w:val="00582FA0"/>
    <w:rsid w:val="00585295"/>
    <w:rsid w:val="00586F9B"/>
    <w:rsid w:val="00594233"/>
    <w:rsid w:val="005A4F7F"/>
    <w:rsid w:val="005A58A4"/>
    <w:rsid w:val="005B6347"/>
    <w:rsid w:val="005C3A9C"/>
    <w:rsid w:val="005D0B84"/>
    <w:rsid w:val="005D223C"/>
    <w:rsid w:val="005D430D"/>
    <w:rsid w:val="005E3182"/>
    <w:rsid w:val="005E6862"/>
    <w:rsid w:val="005E7578"/>
    <w:rsid w:val="005F2337"/>
    <w:rsid w:val="00605F19"/>
    <w:rsid w:val="006070DC"/>
    <w:rsid w:val="00616940"/>
    <w:rsid w:val="0063357C"/>
    <w:rsid w:val="006465A9"/>
    <w:rsid w:val="00646925"/>
    <w:rsid w:val="00653897"/>
    <w:rsid w:val="00655FA6"/>
    <w:rsid w:val="00657E8B"/>
    <w:rsid w:val="00661CCE"/>
    <w:rsid w:val="00664ADA"/>
    <w:rsid w:val="00666633"/>
    <w:rsid w:val="00666D6C"/>
    <w:rsid w:val="0067277B"/>
    <w:rsid w:val="00674C50"/>
    <w:rsid w:val="00680486"/>
    <w:rsid w:val="00692C58"/>
    <w:rsid w:val="00695CEC"/>
    <w:rsid w:val="00695EE9"/>
    <w:rsid w:val="00697124"/>
    <w:rsid w:val="006A1DF2"/>
    <w:rsid w:val="006A576D"/>
    <w:rsid w:val="006B10F6"/>
    <w:rsid w:val="006C596D"/>
    <w:rsid w:val="006D39CB"/>
    <w:rsid w:val="006D3AD2"/>
    <w:rsid w:val="006D7960"/>
    <w:rsid w:val="006D7B49"/>
    <w:rsid w:val="006E6625"/>
    <w:rsid w:val="006E7BC1"/>
    <w:rsid w:val="006E7D7E"/>
    <w:rsid w:val="006F0498"/>
    <w:rsid w:val="006F36B0"/>
    <w:rsid w:val="006F471B"/>
    <w:rsid w:val="007005EB"/>
    <w:rsid w:val="00701A37"/>
    <w:rsid w:val="00703EA3"/>
    <w:rsid w:val="0071096A"/>
    <w:rsid w:val="00713457"/>
    <w:rsid w:val="007206B8"/>
    <w:rsid w:val="007322ED"/>
    <w:rsid w:val="0073291F"/>
    <w:rsid w:val="00746149"/>
    <w:rsid w:val="00765951"/>
    <w:rsid w:val="00767537"/>
    <w:rsid w:val="007701FC"/>
    <w:rsid w:val="00771BA0"/>
    <w:rsid w:val="00772D36"/>
    <w:rsid w:val="0078140A"/>
    <w:rsid w:val="00782352"/>
    <w:rsid w:val="0078273B"/>
    <w:rsid w:val="00794D8A"/>
    <w:rsid w:val="007B32CC"/>
    <w:rsid w:val="007B4347"/>
    <w:rsid w:val="007C19AF"/>
    <w:rsid w:val="007C546C"/>
    <w:rsid w:val="007C6272"/>
    <w:rsid w:val="007D0E2E"/>
    <w:rsid w:val="007D1DB9"/>
    <w:rsid w:val="007D2535"/>
    <w:rsid w:val="007D58BE"/>
    <w:rsid w:val="007D6DDA"/>
    <w:rsid w:val="007F2184"/>
    <w:rsid w:val="007F4437"/>
    <w:rsid w:val="007F5A4A"/>
    <w:rsid w:val="007F6B9B"/>
    <w:rsid w:val="00804F87"/>
    <w:rsid w:val="008073E3"/>
    <w:rsid w:val="00811D09"/>
    <w:rsid w:val="008136F1"/>
    <w:rsid w:val="00813AD3"/>
    <w:rsid w:val="00815529"/>
    <w:rsid w:val="008220B7"/>
    <w:rsid w:val="00825FA3"/>
    <w:rsid w:val="0083130B"/>
    <w:rsid w:val="00832B72"/>
    <w:rsid w:val="00835ECA"/>
    <w:rsid w:val="008414EF"/>
    <w:rsid w:val="00853C82"/>
    <w:rsid w:val="00864658"/>
    <w:rsid w:val="00870F60"/>
    <w:rsid w:val="008710FD"/>
    <w:rsid w:val="00871714"/>
    <w:rsid w:val="008744FF"/>
    <w:rsid w:val="00876E8E"/>
    <w:rsid w:val="00877C4B"/>
    <w:rsid w:val="008857EA"/>
    <w:rsid w:val="00890170"/>
    <w:rsid w:val="008A15BA"/>
    <w:rsid w:val="008A3155"/>
    <w:rsid w:val="008B78F3"/>
    <w:rsid w:val="008C3B68"/>
    <w:rsid w:val="008C6E60"/>
    <w:rsid w:val="008D0991"/>
    <w:rsid w:val="008D1ADD"/>
    <w:rsid w:val="008D1BA5"/>
    <w:rsid w:val="008D2932"/>
    <w:rsid w:val="008E1E1A"/>
    <w:rsid w:val="008E272F"/>
    <w:rsid w:val="008E577F"/>
    <w:rsid w:val="008E748C"/>
    <w:rsid w:val="008F12B3"/>
    <w:rsid w:val="008F51FE"/>
    <w:rsid w:val="009011E6"/>
    <w:rsid w:val="00904823"/>
    <w:rsid w:val="009200AA"/>
    <w:rsid w:val="0092221E"/>
    <w:rsid w:val="00925AAE"/>
    <w:rsid w:val="009307F3"/>
    <w:rsid w:val="00944793"/>
    <w:rsid w:val="00944CB5"/>
    <w:rsid w:val="00946734"/>
    <w:rsid w:val="00946D9F"/>
    <w:rsid w:val="00956130"/>
    <w:rsid w:val="009762CD"/>
    <w:rsid w:val="00980A20"/>
    <w:rsid w:val="00994913"/>
    <w:rsid w:val="009A052D"/>
    <w:rsid w:val="009A318A"/>
    <w:rsid w:val="009A694A"/>
    <w:rsid w:val="009A7EF7"/>
    <w:rsid w:val="009B189A"/>
    <w:rsid w:val="009B5978"/>
    <w:rsid w:val="009D27A7"/>
    <w:rsid w:val="009D3D4F"/>
    <w:rsid w:val="009D44B4"/>
    <w:rsid w:val="009D7408"/>
    <w:rsid w:val="009E5E9A"/>
    <w:rsid w:val="009E7F7C"/>
    <w:rsid w:val="009F0115"/>
    <w:rsid w:val="009F59F7"/>
    <w:rsid w:val="00A05731"/>
    <w:rsid w:val="00A060FF"/>
    <w:rsid w:val="00A07035"/>
    <w:rsid w:val="00A11625"/>
    <w:rsid w:val="00A1227B"/>
    <w:rsid w:val="00A12344"/>
    <w:rsid w:val="00A17BB0"/>
    <w:rsid w:val="00A17CB7"/>
    <w:rsid w:val="00A17D47"/>
    <w:rsid w:val="00A21E6C"/>
    <w:rsid w:val="00A2475C"/>
    <w:rsid w:val="00A2660B"/>
    <w:rsid w:val="00A27273"/>
    <w:rsid w:val="00A32A01"/>
    <w:rsid w:val="00A366D2"/>
    <w:rsid w:val="00A404A0"/>
    <w:rsid w:val="00A40E82"/>
    <w:rsid w:val="00A440AB"/>
    <w:rsid w:val="00A445D7"/>
    <w:rsid w:val="00A45FA5"/>
    <w:rsid w:val="00A525D3"/>
    <w:rsid w:val="00A559C7"/>
    <w:rsid w:val="00A65CF9"/>
    <w:rsid w:val="00A7007B"/>
    <w:rsid w:val="00A70BF0"/>
    <w:rsid w:val="00A72C6D"/>
    <w:rsid w:val="00A7434B"/>
    <w:rsid w:val="00A75FFE"/>
    <w:rsid w:val="00A85700"/>
    <w:rsid w:val="00A90680"/>
    <w:rsid w:val="00AB1CF7"/>
    <w:rsid w:val="00AB1D46"/>
    <w:rsid w:val="00AB6B1D"/>
    <w:rsid w:val="00AC1FA3"/>
    <w:rsid w:val="00AC6E75"/>
    <w:rsid w:val="00AD1F2B"/>
    <w:rsid w:val="00AD21EC"/>
    <w:rsid w:val="00AD2443"/>
    <w:rsid w:val="00AD2AA1"/>
    <w:rsid w:val="00AE66B1"/>
    <w:rsid w:val="00AF0358"/>
    <w:rsid w:val="00B1292E"/>
    <w:rsid w:val="00B13A9D"/>
    <w:rsid w:val="00B16EEE"/>
    <w:rsid w:val="00B21EA7"/>
    <w:rsid w:val="00B26EA2"/>
    <w:rsid w:val="00B27A25"/>
    <w:rsid w:val="00B364F4"/>
    <w:rsid w:val="00B409AC"/>
    <w:rsid w:val="00B41A3F"/>
    <w:rsid w:val="00B47DBB"/>
    <w:rsid w:val="00B50B19"/>
    <w:rsid w:val="00B527C2"/>
    <w:rsid w:val="00B53503"/>
    <w:rsid w:val="00B55492"/>
    <w:rsid w:val="00B556EF"/>
    <w:rsid w:val="00B5614B"/>
    <w:rsid w:val="00B5699A"/>
    <w:rsid w:val="00B67417"/>
    <w:rsid w:val="00B70D46"/>
    <w:rsid w:val="00B716CF"/>
    <w:rsid w:val="00B75E2F"/>
    <w:rsid w:val="00B83744"/>
    <w:rsid w:val="00B87BCD"/>
    <w:rsid w:val="00B90DCA"/>
    <w:rsid w:val="00B96CCF"/>
    <w:rsid w:val="00BA1610"/>
    <w:rsid w:val="00BA49A6"/>
    <w:rsid w:val="00BA6A37"/>
    <w:rsid w:val="00BA7027"/>
    <w:rsid w:val="00BA7107"/>
    <w:rsid w:val="00BB086C"/>
    <w:rsid w:val="00BC2F6A"/>
    <w:rsid w:val="00BD45F3"/>
    <w:rsid w:val="00BD6511"/>
    <w:rsid w:val="00BD6F87"/>
    <w:rsid w:val="00BE4AA6"/>
    <w:rsid w:val="00BE609B"/>
    <w:rsid w:val="00C01A5E"/>
    <w:rsid w:val="00C01FAC"/>
    <w:rsid w:val="00C157FE"/>
    <w:rsid w:val="00C21F9F"/>
    <w:rsid w:val="00C24C56"/>
    <w:rsid w:val="00C256B0"/>
    <w:rsid w:val="00C3378D"/>
    <w:rsid w:val="00C50D46"/>
    <w:rsid w:val="00C51AB9"/>
    <w:rsid w:val="00C5669F"/>
    <w:rsid w:val="00C57508"/>
    <w:rsid w:val="00C63CDA"/>
    <w:rsid w:val="00C652D8"/>
    <w:rsid w:val="00C74305"/>
    <w:rsid w:val="00C85A8C"/>
    <w:rsid w:val="00C901F3"/>
    <w:rsid w:val="00C906F6"/>
    <w:rsid w:val="00C956F0"/>
    <w:rsid w:val="00C96578"/>
    <w:rsid w:val="00CA3E15"/>
    <w:rsid w:val="00CB3B10"/>
    <w:rsid w:val="00CB5EDD"/>
    <w:rsid w:val="00CB6512"/>
    <w:rsid w:val="00CC0AA9"/>
    <w:rsid w:val="00CC5997"/>
    <w:rsid w:val="00CD1D39"/>
    <w:rsid w:val="00CD5232"/>
    <w:rsid w:val="00CE097E"/>
    <w:rsid w:val="00CF031D"/>
    <w:rsid w:val="00CF05FD"/>
    <w:rsid w:val="00D023C9"/>
    <w:rsid w:val="00D03CB8"/>
    <w:rsid w:val="00D06C89"/>
    <w:rsid w:val="00D110B8"/>
    <w:rsid w:val="00D1369C"/>
    <w:rsid w:val="00D142AA"/>
    <w:rsid w:val="00D14BBD"/>
    <w:rsid w:val="00D5017B"/>
    <w:rsid w:val="00D54840"/>
    <w:rsid w:val="00D60F54"/>
    <w:rsid w:val="00D61DF9"/>
    <w:rsid w:val="00D670F9"/>
    <w:rsid w:val="00D718EA"/>
    <w:rsid w:val="00D77197"/>
    <w:rsid w:val="00D77482"/>
    <w:rsid w:val="00D81DA1"/>
    <w:rsid w:val="00D82AFD"/>
    <w:rsid w:val="00D92FF4"/>
    <w:rsid w:val="00DA5D3D"/>
    <w:rsid w:val="00DB0ADC"/>
    <w:rsid w:val="00DB1DEF"/>
    <w:rsid w:val="00DB3C5B"/>
    <w:rsid w:val="00DB490A"/>
    <w:rsid w:val="00DB6230"/>
    <w:rsid w:val="00DC0C86"/>
    <w:rsid w:val="00DC1F57"/>
    <w:rsid w:val="00DC71C4"/>
    <w:rsid w:val="00DD35EF"/>
    <w:rsid w:val="00DE32D0"/>
    <w:rsid w:val="00DE3849"/>
    <w:rsid w:val="00DE6E79"/>
    <w:rsid w:val="00DF1601"/>
    <w:rsid w:val="00DF64D3"/>
    <w:rsid w:val="00E13706"/>
    <w:rsid w:val="00E274E9"/>
    <w:rsid w:val="00E3156B"/>
    <w:rsid w:val="00E32559"/>
    <w:rsid w:val="00E33408"/>
    <w:rsid w:val="00E43385"/>
    <w:rsid w:val="00E44253"/>
    <w:rsid w:val="00E44B2C"/>
    <w:rsid w:val="00E46452"/>
    <w:rsid w:val="00E47C42"/>
    <w:rsid w:val="00E525DE"/>
    <w:rsid w:val="00E52613"/>
    <w:rsid w:val="00E62F34"/>
    <w:rsid w:val="00E660B5"/>
    <w:rsid w:val="00E6674E"/>
    <w:rsid w:val="00E66A47"/>
    <w:rsid w:val="00E82B1F"/>
    <w:rsid w:val="00E912A4"/>
    <w:rsid w:val="00E9319A"/>
    <w:rsid w:val="00E958BD"/>
    <w:rsid w:val="00E972D4"/>
    <w:rsid w:val="00EB0943"/>
    <w:rsid w:val="00EB17F0"/>
    <w:rsid w:val="00EB54FA"/>
    <w:rsid w:val="00EC0C0E"/>
    <w:rsid w:val="00EC2E28"/>
    <w:rsid w:val="00EC3A6F"/>
    <w:rsid w:val="00EE01A9"/>
    <w:rsid w:val="00EE094F"/>
    <w:rsid w:val="00EE700D"/>
    <w:rsid w:val="00EE72BA"/>
    <w:rsid w:val="00EF228F"/>
    <w:rsid w:val="00EF6CF7"/>
    <w:rsid w:val="00F0079D"/>
    <w:rsid w:val="00F07311"/>
    <w:rsid w:val="00F07D6C"/>
    <w:rsid w:val="00F127DE"/>
    <w:rsid w:val="00F13107"/>
    <w:rsid w:val="00F1566A"/>
    <w:rsid w:val="00F15D62"/>
    <w:rsid w:val="00F22D6E"/>
    <w:rsid w:val="00F32A03"/>
    <w:rsid w:val="00F32BB0"/>
    <w:rsid w:val="00F43E90"/>
    <w:rsid w:val="00F51A41"/>
    <w:rsid w:val="00F55298"/>
    <w:rsid w:val="00F55CCC"/>
    <w:rsid w:val="00F701E3"/>
    <w:rsid w:val="00F726E9"/>
    <w:rsid w:val="00F72A01"/>
    <w:rsid w:val="00F7574A"/>
    <w:rsid w:val="00F80743"/>
    <w:rsid w:val="00F816D4"/>
    <w:rsid w:val="00F823FD"/>
    <w:rsid w:val="00F828F4"/>
    <w:rsid w:val="00F82BE8"/>
    <w:rsid w:val="00F84FCE"/>
    <w:rsid w:val="00F86604"/>
    <w:rsid w:val="00F86CF1"/>
    <w:rsid w:val="00FA73D5"/>
    <w:rsid w:val="00FB2BED"/>
    <w:rsid w:val="00FB3639"/>
    <w:rsid w:val="00FC2C61"/>
    <w:rsid w:val="00FC6B21"/>
    <w:rsid w:val="00FD2506"/>
    <w:rsid w:val="00FD4E8A"/>
    <w:rsid w:val="00FD7E77"/>
    <w:rsid w:val="00FE00EC"/>
    <w:rsid w:val="00FE0604"/>
    <w:rsid w:val="00FE17E9"/>
    <w:rsid w:val="00FE2275"/>
    <w:rsid w:val="00FE3A27"/>
    <w:rsid w:val="00FF0708"/>
    <w:rsid w:val="00FF1B62"/>
    <w:rsid w:val="00FF2547"/>
    <w:rsid w:val="00FF3593"/>
    <w:rsid w:val="00FF4F1F"/>
    <w:rsid w:val="00FF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1A170F"/>
  <w15:chartTrackingRefBased/>
  <w15:docId w15:val="{4418B1F0-5E00-AA40-B60F-8854C999F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98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E8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0E8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E8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0E8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0E8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0E8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E8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E8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E8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E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0E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E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E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E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E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E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E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E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0E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40E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E8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40E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0E8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40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0E8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40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E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0E82"/>
    <w:rPr>
      <w:b/>
      <w:bCs/>
      <w:smallCaps/>
      <w:color w:val="0F4761" w:themeColor="accent1" w:themeShade="BF"/>
      <w:spacing w:val="5"/>
    </w:rPr>
  </w:style>
  <w:style w:type="paragraph" w:customStyle="1" w:styleId="font-claude-response-body">
    <w:name w:val="font-claude-response-body"/>
    <w:basedOn w:val="Normal"/>
    <w:rsid w:val="0031198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638</Words>
  <Characters>4196</Characters>
  <Application>Microsoft Office Word</Application>
  <DocSecurity>0</DocSecurity>
  <Lines>99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mustafa.shref@fvtm.bu.edu.eg</dc:creator>
  <cp:keywords/>
  <dc:description/>
  <cp:lastModifiedBy>mustafa.shref@fvtm.bu.edu.eg</cp:lastModifiedBy>
  <cp:revision>3</cp:revision>
  <dcterms:created xsi:type="dcterms:W3CDTF">2026-03-05T13:18:00Z</dcterms:created>
  <dcterms:modified xsi:type="dcterms:W3CDTF">2026-03-11T14:21:00Z</dcterms:modified>
</cp:coreProperties>
</file>