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A4B04" w14:textId="77777777" w:rsidR="00E61093" w:rsidRPr="009A3711" w:rsidRDefault="00E61093" w:rsidP="00E61093">
      <w:pPr>
        <w:jc w:val="both"/>
      </w:pPr>
    </w:p>
    <w:p w14:paraId="688CBDDE" w14:textId="77777777" w:rsidR="00E61093" w:rsidRPr="009A3711" w:rsidRDefault="00E61093" w:rsidP="00E61093">
      <w:pPr>
        <w:jc w:val="center"/>
        <w:rPr>
          <w:b/>
          <w:bCs/>
          <w:u w:val="single"/>
        </w:rPr>
      </w:pPr>
      <w:r w:rsidRPr="009A3711">
        <w:rPr>
          <w:b/>
          <w:bCs/>
          <w:u w:val="single"/>
        </w:rPr>
        <w:t xml:space="preserve">Supplementary </w:t>
      </w:r>
      <w:r>
        <w:rPr>
          <w:b/>
          <w:bCs/>
          <w:u w:val="single"/>
        </w:rPr>
        <w:t>Fig.</w:t>
      </w:r>
      <w:r w:rsidRPr="009A3711">
        <w:rPr>
          <w:b/>
          <w:bCs/>
          <w:u w:val="single"/>
        </w:rPr>
        <w:t xml:space="preserve"> and Tables</w:t>
      </w:r>
    </w:p>
    <w:p w14:paraId="7A5CD4E5" w14:textId="77777777" w:rsidR="00E61093" w:rsidRPr="009A3711" w:rsidRDefault="00E61093" w:rsidP="00E61093">
      <w:pPr>
        <w:ind w:left="720"/>
      </w:pPr>
    </w:p>
    <w:p w14:paraId="566060EE" w14:textId="77777777" w:rsidR="00E61093" w:rsidRPr="009A3711" w:rsidRDefault="00E61093" w:rsidP="00E61093">
      <w:pPr>
        <w:pStyle w:val="SMText"/>
        <w:rPr>
          <w:sz w:val="20"/>
        </w:rPr>
      </w:pPr>
    </w:p>
    <w:p w14:paraId="4A738186" w14:textId="77777777" w:rsidR="00E61093" w:rsidRPr="009A3711" w:rsidRDefault="00E61093" w:rsidP="00E61093">
      <w:pPr>
        <w:pStyle w:val="SMcaption"/>
        <w:rPr>
          <w:sz w:val="20"/>
        </w:rPr>
      </w:pPr>
      <w:r w:rsidRPr="009A3711">
        <w:rPr>
          <w:noProof/>
          <w:sz w:val="20"/>
        </w:rPr>
        <w:drawing>
          <wp:inline distT="0" distB="0" distL="0" distR="0" wp14:anchorId="6356AC7F" wp14:editId="0F2481B8">
            <wp:extent cx="5486400" cy="3112770"/>
            <wp:effectExtent l="0" t="0" r="0" b="0"/>
            <wp:docPr id="21236013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1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0"/>
        </w:rPr>
        <w:t>Fig.</w:t>
      </w:r>
      <w:r w:rsidRPr="009A3711">
        <w:rPr>
          <w:b/>
          <w:bCs/>
          <w:sz w:val="20"/>
        </w:rPr>
        <w:t> S1 </w:t>
      </w:r>
      <w:r w:rsidRPr="000F190A">
        <w:rPr>
          <w:sz w:val="20"/>
        </w:rPr>
        <w:t>Daily and monthly variations of flash counts during the May and year 2023 using the ISS-LIS dataset over the study region</w:t>
      </w:r>
    </w:p>
    <w:p w14:paraId="4C3CBD35" w14:textId="77777777" w:rsidR="00E61093" w:rsidRPr="009A3711" w:rsidRDefault="00E61093" w:rsidP="00E61093">
      <w:pPr>
        <w:pStyle w:val="SMcaption"/>
        <w:rPr>
          <w:sz w:val="20"/>
          <w:lang w:val="en-IN"/>
        </w:rPr>
      </w:pPr>
      <w:r w:rsidRPr="009A3711">
        <w:rPr>
          <w:noProof/>
          <w:sz w:val="20"/>
          <w:lang w:val="en-IN"/>
        </w:rPr>
        <w:lastRenderedPageBreak/>
        <w:drawing>
          <wp:inline distT="0" distB="0" distL="0" distR="0" wp14:anchorId="069133CF" wp14:editId="0B7D3603">
            <wp:extent cx="5486400" cy="4976495"/>
            <wp:effectExtent l="0" t="0" r="0" b="0"/>
            <wp:docPr id="14015933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97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711">
        <w:rPr>
          <w:sz w:val="20"/>
          <w:lang w:val="en-IN"/>
        </w:rPr>
        <w:t> </w:t>
      </w:r>
    </w:p>
    <w:p w14:paraId="513377B0" w14:textId="77777777" w:rsidR="00E61093" w:rsidRPr="009A3711" w:rsidRDefault="00E61093" w:rsidP="00E61093">
      <w:pPr>
        <w:pStyle w:val="SMcaption"/>
        <w:jc w:val="both"/>
        <w:rPr>
          <w:sz w:val="20"/>
          <w:lang w:val="en-IN"/>
        </w:rPr>
      </w:pPr>
      <w:r>
        <w:rPr>
          <w:b/>
          <w:bCs/>
          <w:sz w:val="20"/>
        </w:rPr>
        <w:t>Fig.</w:t>
      </w:r>
      <w:r w:rsidRPr="009A3711">
        <w:rPr>
          <w:b/>
          <w:bCs/>
          <w:sz w:val="20"/>
        </w:rPr>
        <w:t> </w:t>
      </w:r>
      <w:r w:rsidRPr="00C9644F">
        <w:rPr>
          <w:b/>
          <w:bCs/>
          <w:sz w:val="20"/>
        </w:rPr>
        <w:t>S2</w:t>
      </w:r>
      <w:r w:rsidRPr="00C9644F">
        <w:rPr>
          <w:sz w:val="20"/>
        </w:rPr>
        <w:t> </w:t>
      </w:r>
      <w:r w:rsidRPr="000F190A">
        <w:rPr>
          <w:sz w:val="20"/>
        </w:rPr>
        <w:t>Spatial distribution of hourly CAPE simulated by WSM6 (a,</w:t>
      </w:r>
      <w:r>
        <w:rPr>
          <w:sz w:val="20"/>
        </w:rPr>
        <w:t xml:space="preserve"> </w:t>
      </w:r>
      <w:r w:rsidRPr="000F190A">
        <w:rPr>
          <w:sz w:val="20"/>
        </w:rPr>
        <w:t>b &amp; c), Thompson (d,</w:t>
      </w:r>
      <w:r>
        <w:rPr>
          <w:sz w:val="20"/>
        </w:rPr>
        <w:t xml:space="preserve"> </w:t>
      </w:r>
      <w:r w:rsidRPr="000F190A">
        <w:rPr>
          <w:sz w:val="20"/>
        </w:rPr>
        <w:t>e &amp; f), Morrison (g, h &amp; i), WDM5 (j,</w:t>
      </w:r>
      <w:r>
        <w:rPr>
          <w:sz w:val="20"/>
        </w:rPr>
        <w:t xml:space="preserve"> </w:t>
      </w:r>
      <w:r w:rsidRPr="000F190A">
        <w:rPr>
          <w:sz w:val="20"/>
        </w:rPr>
        <w:t>k &amp; i) during initial (22 May 2023-18:00 to 23 May 2023 07:00 UTC), active   (23 May 2023-8:00 to 23 May 2023-20:00 UTC) and decay (23 May 2023-21:00 to 24 May 2023-6:00 UTC) phase of lightning activities at 850</w:t>
      </w:r>
      <w:r>
        <w:rPr>
          <w:sz w:val="20"/>
        </w:rPr>
        <w:t xml:space="preserve"> </w:t>
      </w:r>
      <w:r w:rsidRPr="000F190A">
        <w:rPr>
          <w:sz w:val="20"/>
        </w:rPr>
        <w:t>h</w:t>
      </w:r>
      <w:r>
        <w:rPr>
          <w:sz w:val="20"/>
        </w:rPr>
        <w:t>P</w:t>
      </w:r>
      <w:r w:rsidRPr="000F190A">
        <w:rPr>
          <w:sz w:val="20"/>
        </w:rPr>
        <w:t>a </w:t>
      </w:r>
      <w:r w:rsidRPr="009A3711">
        <w:rPr>
          <w:sz w:val="20"/>
          <w:lang w:val="en-IN"/>
        </w:rPr>
        <w:t> </w:t>
      </w:r>
    </w:p>
    <w:p w14:paraId="3E83882F" w14:textId="77777777" w:rsidR="00E61093" w:rsidRPr="009A3711" w:rsidRDefault="00E61093" w:rsidP="00E61093">
      <w:pPr>
        <w:pStyle w:val="SMcaption"/>
        <w:rPr>
          <w:sz w:val="20"/>
          <w:lang w:val="en-IN"/>
        </w:rPr>
      </w:pPr>
    </w:p>
    <w:p w14:paraId="570C4678" w14:textId="77777777" w:rsidR="00E61093" w:rsidRPr="009A3711" w:rsidRDefault="00E61093" w:rsidP="00E61093">
      <w:pPr>
        <w:pStyle w:val="SMHeading"/>
        <w:rPr>
          <w:sz w:val="20"/>
          <w:szCs w:val="20"/>
        </w:rPr>
      </w:pPr>
      <w:r w:rsidRPr="009A3711">
        <w:rPr>
          <w:b w:val="0"/>
          <w:sz w:val="20"/>
          <w:szCs w:val="20"/>
        </w:rPr>
        <w:t xml:space="preserve">. </w:t>
      </w:r>
      <w:r w:rsidRPr="009A3711">
        <w:rPr>
          <w:sz w:val="20"/>
          <w:szCs w:val="20"/>
        </w:rPr>
        <w:t xml:space="preserve"> </w:t>
      </w:r>
    </w:p>
    <w:p w14:paraId="0CF849CE" w14:textId="77777777" w:rsidR="00E61093" w:rsidRPr="009A3711" w:rsidRDefault="00E61093" w:rsidP="00E61093">
      <w:pPr>
        <w:pStyle w:val="SMcaption"/>
        <w:rPr>
          <w:sz w:val="20"/>
        </w:rPr>
      </w:pPr>
    </w:p>
    <w:p w14:paraId="2C342001" w14:textId="77777777" w:rsidR="00E61093" w:rsidRPr="009A3711" w:rsidRDefault="00E61093" w:rsidP="00E61093">
      <w:pPr>
        <w:pStyle w:val="SMHeading"/>
        <w:rPr>
          <w:sz w:val="20"/>
          <w:szCs w:val="20"/>
        </w:rPr>
      </w:pPr>
      <w:r w:rsidRPr="009A3711">
        <w:rPr>
          <w:sz w:val="20"/>
          <w:szCs w:val="20"/>
        </w:rPr>
        <w:lastRenderedPageBreak/>
        <w:t xml:space="preserve">Table S1 </w:t>
      </w:r>
      <w:r w:rsidRPr="009A3711">
        <w:rPr>
          <w:b w:val="0"/>
          <w:sz w:val="20"/>
          <w:szCs w:val="20"/>
        </w:rPr>
        <w:t xml:space="preserve"> Key elements of contingency table.   </w:t>
      </w:r>
    </w:p>
    <w:tbl>
      <w:tblPr>
        <w:tblW w:w="62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1384"/>
        <w:gridCol w:w="1383"/>
        <w:gridCol w:w="1736"/>
      </w:tblGrid>
      <w:tr w:rsidR="00E61093" w:rsidRPr="009A3711" w14:paraId="5AEC87AF" w14:textId="77777777" w:rsidTr="00892948">
        <w:trPr>
          <w:trHeight w:val="390"/>
        </w:trPr>
        <w:tc>
          <w:tcPr>
            <w:tcW w:w="309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6BC9ABB" w14:textId="77777777" w:rsidR="00E61093" w:rsidRPr="009A3711" w:rsidRDefault="00E61093" w:rsidP="00892948">
            <w:pPr>
              <w:pStyle w:val="SMHeading"/>
              <w:rPr>
                <w:sz w:val="20"/>
                <w:szCs w:val="20"/>
                <w:lang w:val="en-IN"/>
              </w:rPr>
            </w:pPr>
            <w:r w:rsidRPr="009A3711">
              <w:rPr>
                <w:sz w:val="20"/>
                <w:szCs w:val="20"/>
                <w:lang w:val="en-IN"/>
              </w:rPr>
              <w:t>Contingency Table  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88E600" w14:textId="77777777" w:rsidR="00E61093" w:rsidRPr="009A3711" w:rsidRDefault="00E61093" w:rsidP="00892948">
            <w:pPr>
              <w:pStyle w:val="SMHeading"/>
              <w:rPr>
                <w:sz w:val="20"/>
                <w:szCs w:val="20"/>
                <w:lang w:val="en-IN"/>
              </w:rPr>
            </w:pPr>
            <w:r w:rsidRPr="009A3711">
              <w:rPr>
                <w:sz w:val="20"/>
                <w:szCs w:val="20"/>
                <w:lang w:val="en-IN"/>
              </w:rPr>
              <w:t>Observation  </w:t>
            </w:r>
          </w:p>
        </w:tc>
      </w:tr>
      <w:tr w:rsidR="00E61093" w:rsidRPr="009A3711" w14:paraId="0882220E" w14:textId="77777777" w:rsidTr="00892948">
        <w:trPr>
          <w:trHeight w:val="405"/>
        </w:trPr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1E1DD0" w14:textId="77777777" w:rsidR="00E61093" w:rsidRPr="009A3711" w:rsidRDefault="00E61093" w:rsidP="00892948">
            <w:pPr>
              <w:pStyle w:val="SMHeading"/>
              <w:rPr>
                <w:sz w:val="20"/>
                <w:szCs w:val="20"/>
                <w:lang w:val="en-IN"/>
              </w:rPr>
            </w:pPr>
          </w:p>
        </w:tc>
        <w:tc>
          <w:tcPr>
            <w:tcW w:w="1383" w:type="dxa"/>
            <w:tcBorders>
              <w:top w:val="single" w:sz="4" w:space="0" w:color="auto"/>
            </w:tcBorders>
            <w:hideMark/>
          </w:tcPr>
          <w:p w14:paraId="016A9B38" w14:textId="77777777" w:rsidR="00E61093" w:rsidRPr="009A3711" w:rsidRDefault="00E61093" w:rsidP="00892948">
            <w:pPr>
              <w:pStyle w:val="SMHeading"/>
              <w:rPr>
                <w:sz w:val="20"/>
                <w:szCs w:val="20"/>
                <w:lang w:val="en-IN"/>
              </w:rPr>
            </w:pPr>
            <w:r w:rsidRPr="009A3711">
              <w:rPr>
                <w:sz w:val="20"/>
                <w:szCs w:val="20"/>
                <w:lang w:val="en-IN"/>
              </w:rPr>
              <w:t>Yes  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hideMark/>
          </w:tcPr>
          <w:p w14:paraId="71D160F9" w14:textId="77777777" w:rsidR="00E61093" w:rsidRPr="009A3711" w:rsidRDefault="00E61093" w:rsidP="00892948">
            <w:pPr>
              <w:pStyle w:val="SMHeading"/>
              <w:rPr>
                <w:sz w:val="20"/>
                <w:szCs w:val="20"/>
                <w:lang w:val="en-IN"/>
              </w:rPr>
            </w:pPr>
            <w:r w:rsidRPr="009A3711">
              <w:rPr>
                <w:sz w:val="20"/>
                <w:szCs w:val="20"/>
                <w:lang w:val="en-IN"/>
              </w:rPr>
              <w:t>No  </w:t>
            </w:r>
          </w:p>
        </w:tc>
      </w:tr>
      <w:tr w:rsidR="00E61093" w:rsidRPr="009A3711" w14:paraId="2C59B588" w14:textId="77777777" w:rsidTr="00892948">
        <w:trPr>
          <w:trHeight w:val="360"/>
        </w:trPr>
        <w:tc>
          <w:tcPr>
            <w:tcW w:w="1708" w:type="dxa"/>
            <w:vMerge w:val="restart"/>
            <w:tcBorders>
              <w:top w:val="single" w:sz="4" w:space="0" w:color="auto"/>
            </w:tcBorders>
            <w:hideMark/>
          </w:tcPr>
          <w:p w14:paraId="036119D4" w14:textId="77777777" w:rsidR="00E61093" w:rsidRPr="009A3711" w:rsidRDefault="00E61093" w:rsidP="00892948">
            <w:pPr>
              <w:pStyle w:val="SMHeading"/>
              <w:rPr>
                <w:sz w:val="20"/>
                <w:szCs w:val="20"/>
                <w:lang w:val="en-IN"/>
              </w:rPr>
            </w:pPr>
            <w:r w:rsidRPr="009A3711">
              <w:rPr>
                <w:sz w:val="20"/>
                <w:szCs w:val="20"/>
                <w:lang w:val="en-IN"/>
              </w:rPr>
              <w:t>WRF Simulations   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hideMark/>
          </w:tcPr>
          <w:p w14:paraId="3F2889F8" w14:textId="77777777" w:rsidR="00E61093" w:rsidRPr="009A3711" w:rsidRDefault="00E61093" w:rsidP="00892948">
            <w:pPr>
              <w:pStyle w:val="SMHeading"/>
              <w:rPr>
                <w:sz w:val="20"/>
                <w:szCs w:val="20"/>
                <w:lang w:val="en-IN"/>
              </w:rPr>
            </w:pPr>
            <w:r w:rsidRPr="009A3711">
              <w:rPr>
                <w:sz w:val="20"/>
                <w:szCs w:val="20"/>
                <w:lang w:val="en-IN"/>
              </w:rPr>
              <w:t>Yes   </w:t>
            </w:r>
          </w:p>
        </w:tc>
        <w:tc>
          <w:tcPr>
            <w:tcW w:w="1383" w:type="dxa"/>
            <w:hideMark/>
          </w:tcPr>
          <w:p w14:paraId="1141D287" w14:textId="77777777" w:rsidR="00E61093" w:rsidRPr="009A3711" w:rsidRDefault="00E61093" w:rsidP="00892948">
            <w:pPr>
              <w:pStyle w:val="SMHeading"/>
              <w:rPr>
                <w:sz w:val="20"/>
                <w:szCs w:val="20"/>
                <w:lang w:val="en-IN"/>
              </w:rPr>
            </w:pPr>
            <w:r w:rsidRPr="009A3711">
              <w:rPr>
                <w:sz w:val="20"/>
                <w:szCs w:val="20"/>
                <w:lang w:val="en-IN"/>
              </w:rPr>
              <w:t>Hit (A)  </w:t>
            </w:r>
          </w:p>
        </w:tc>
        <w:tc>
          <w:tcPr>
            <w:tcW w:w="1736" w:type="dxa"/>
            <w:hideMark/>
          </w:tcPr>
          <w:p w14:paraId="253639F2" w14:textId="77777777" w:rsidR="00E61093" w:rsidRPr="009A3711" w:rsidRDefault="00E61093" w:rsidP="00892948">
            <w:pPr>
              <w:pStyle w:val="SMHeading"/>
              <w:rPr>
                <w:sz w:val="20"/>
                <w:szCs w:val="20"/>
                <w:lang w:val="en-IN"/>
              </w:rPr>
            </w:pPr>
            <w:r w:rsidRPr="009A3711">
              <w:rPr>
                <w:sz w:val="20"/>
                <w:szCs w:val="20"/>
                <w:lang w:val="en-IN"/>
              </w:rPr>
              <w:t>False Alarm (B)  </w:t>
            </w:r>
          </w:p>
        </w:tc>
      </w:tr>
      <w:tr w:rsidR="00E61093" w:rsidRPr="009A3711" w14:paraId="210A84A3" w14:textId="77777777" w:rsidTr="00892948">
        <w:trPr>
          <w:trHeight w:val="78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0895FA3A" w14:textId="77777777" w:rsidR="00E61093" w:rsidRPr="009A3711" w:rsidRDefault="00E61093" w:rsidP="00892948">
            <w:pPr>
              <w:pStyle w:val="SMHeading"/>
              <w:rPr>
                <w:sz w:val="20"/>
                <w:szCs w:val="20"/>
                <w:lang w:val="en-IN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  <w:hideMark/>
          </w:tcPr>
          <w:p w14:paraId="7CAD320C" w14:textId="77777777" w:rsidR="00E61093" w:rsidRPr="009A3711" w:rsidRDefault="00E61093" w:rsidP="00892948">
            <w:pPr>
              <w:pStyle w:val="SMHeading"/>
              <w:rPr>
                <w:sz w:val="20"/>
                <w:szCs w:val="20"/>
                <w:lang w:val="en-IN"/>
              </w:rPr>
            </w:pPr>
            <w:r w:rsidRPr="009A3711">
              <w:rPr>
                <w:sz w:val="20"/>
                <w:szCs w:val="20"/>
                <w:lang w:val="en-IN"/>
              </w:rPr>
              <w:t>No  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hideMark/>
          </w:tcPr>
          <w:p w14:paraId="1B65F24B" w14:textId="77777777" w:rsidR="00E61093" w:rsidRPr="009A3711" w:rsidRDefault="00E61093" w:rsidP="00892948">
            <w:pPr>
              <w:pStyle w:val="SMHeading"/>
              <w:rPr>
                <w:sz w:val="20"/>
                <w:szCs w:val="20"/>
                <w:lang w:val="en-IN"/>
              </w:rPr>
            </w:pPr>
            <w:r w:rsidRPr="009A3711">
              <w:rPr>
                <w:sz w:val="20"/>
                <w:szCs w:val="20"/>
                <w:lang w:val="en-IN"/>
              </w:rPr>
              <w:t>Miss (C)  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hideMark/>
          </w:tcPr>
          <w:p w14:paraId="310CEB82" w14:textId="77777777" w:rsidR="00E61093" w:rsidRPr="009A3711" w:rsidRDefault="00E61093" w:rsidP="00892948">
            <w:pPr>
              <w:pStyle w:val="SMHeading"/>
              <w:rPr>
                <w:sz w:val="20"/>
                <w:szCs w:val="20"/>
                <w:lang w:val="en-IN"/>
              </w:rPr>
            </w:pPr>
            <w:r w:rsidRPr="009A3711">
              <w:rPr>
                <w:sz w:val="20"/>
                <w:szCs w:val="20"/>
                <w:lang w:val="en-IN"/>
              </w:rPr>
              <w:t>Correct   </w:t>
            </w:r>
          </w:p>
          <w:p w14:paraId="57B39FE9" w14:textId="77777777" w:rsidR="00E61093" w:rsidRPr="009A3711" w:rsidRDefault="00E61093" w:rsidP="00892948">
            <w:pPr>
              <w:pStyle w:val="SMHeading"/>
              <w:rPr>
                <w:sz w:val="20"/>
                <w:szCs w:val="20"/>
                <w:lang w:val="en-IN"/>
              </w:rPr>
            </w:pPr>
            <w:r w:rsidRPr="009A3711">
              <w:rPr>
                <w:sz w:val="20"/>
                <w:szCs w:val="20"/>
                <w:lang w:val="en-IN"/>
              </w:rPr>
              <w:t>Rejection (D)  </w:t>
            </w:r>
          </w:p>
        </w:tc>
      </w:tr>
    </w:tbl>
    <w:p w14:paraId="2B8F36A2" w14:textId="77777777" w:rsidR="00E61093" w:rsidRPr="009A3711" w:rsidRDefault="00E61093" w:rsidP="00E61093">
      <w:pPr>
        <w:pStyle w:val="SMHeading"/>
        <w:rPr>
          <w:sz w:val="20"/>
          <w:szCs w:val="20"/>
        </w:rPr>
      </w:pPr>
      <w:r w:rsidRPr="009A3711">
        <w:rPr>
          <w:sz w:val="20"/>
          <w:szCs w:val="20"/>
        </w:rPr>
        <w:t>Table S2</w:t>
      </w:r>
      <w:r w:rsidRPr="009A3711">
        <w:rPr>
          <w:b w:val="0"/>
          <w:bCs w:val="0"/>
          <w:sz w:val="20"/>
          <w:szCs w:val="20"/>
        </w:rPr>
        <w:t> Significance, Range and Skill Score of different evaluations tools. </w:t>
      </w:r>
      <w:r w:rsidRPr="009A3711">
        <w:rPr>
          <w:sz w:val="20"/>
          <w:szCs w:val="20"/>
        </w:rPr>
        <w:t> </w:t>
      </w:r>
    </w:p>
    <w:tbl>
      <w:tblPr>
        <w:tblW w:w="0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5"/>
        <w:gridCol w:w="4785"/>
        <w:gridCol w:w="1575"/>
      </w:tblGrid>
      <w:tr w:rsidR="00E61093" w:rsidRPr="009A3711" w14:paraId="02B4845C" w14:textId="77777777" w:rsidTr="00892948">
        <w:trPr>
          <w:trHeight w:val="285"/>
        </w:trPr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02FC164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b/>
                <w:bCs/>
                <w:sz w:val="20"/>
                <w:lang w:val="en-IN"/>
              </w:rPr>
              <w:t>FSS</w:t>
            </w:r>
            <w:r w:rsidRPr="009A3711">
              <w:rPr>
                <w:sz w:val="20"/>
                <w:lang w:val="en-IN"/>
              </w:rPr>
              <w:t> 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31AD951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b/>
                <w:bCs/>
                <w:sz w:val="20"/>
                <w:lang w:val="en-IN"/>
              </w:rPr>
              <w:t>Significance/Definitions </w:t>
            </w:r>
            <w:r w:rsidRPr="009A3711">
              <w:rPr>
                <w:sz w:val="20"/>
                <w:lang w:val="en-IN"/>
              </w:rPr>
              <w:t>  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0FD6EA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b/>
                <w:bCs/>
                <w:sz w:val="20"/>
                <w:lang w:val="en-IN"/>
              </w:rPr>
              <w:t>Range</w:t>
            </w:r>
            <w:r w:rsidRPr="009A3711">
              <w:rPr>
                <w:sz w:val="20"/>
                <w:lang w:val="en-IN"/>
              </w:rPr>
              <w:t>  </w:t>
            </w:r>
          </w:p>
        </w:tc>
      </w:tr>
      <w:tr w:rsidR="00E61093" w:rsidRPr="009A3711" w14:paraId="6B0156E5" w14:textId="77777777" w:rsidTr="00892948">
        <w:trPr>
          <w:trHeight w:val="285"/>
        </w:trPr>
        <w:tc>
          <w:tcPr>
            <w:tcW w:w="2955" w:type="dxa"/>
            <w:tcBorders>
              <w:top w:val="single" w:sz="4" w:space="0" w:color="auto"/>
            </w:tcBorders>
            <w:hideMark/>
          </w:tcPr>
          <w:p w14:paraId="62467D7C" w14:textId="77777777" w:rsidR="00E61093" w:rsidRPr="009A3711" w:rsidRDefault="00E61093" w:rsidP="00892948">
            <w:pPr>
              <w:pStyle w:val="SMcaption"/>
              <w:rPr>
                <w:sz w:val="20"/>
                <w:lang w:val="nl-NL"/>
              </w:rPr>
            </w:pPr>
            <w:r w:rsidRPr="009A3711">
              <w:rPr>
                <w:sz w:val="20"/>
                <w:lang w:val="nl-NL"/>
              </w:rPr>
              <w:t> POD= </w:t>
            </w:r>
            <m:oMath>
              <m:f>
                <m:fPr>
                  <m:ctrlPr>
                    <w:rPr>
                      <w:rFonts w:ascii="Cambria Math" w:hAnsi="Cambria Math"/>
                      <w:sz w:val="20"/>
                      <w:lang w:val="en-IN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lang w:val="en-IN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0"/>
                      <w:lang w:val="en-IN"/>
                    </w:rPr>
                    <m:t>A</m:t>
                  </m:r>
                  <m:r>
                    <w:rPr>
                      <w:rFonts w:ascii="Cambria Math" w:hAnsi="Cambria Math"/>
                      <w:sz w:val="20"/>
                      <w:lang w:val="nl-NL"/>
                    </w:rPr>
                    <m:t>+</m:t>
                  </m:r>
                  <m:r>
                    <w:rPr>
                      <w:rFonts w:ascii="Cambria Math" w:hAnsi="Cambria Math"/>
                      <w:sz w:val="20"/>
                      <w:lang w:val="en-IN"/>
                    </w:rPr>
                    <m:t>C</m:t>
                  </m:r>
                </m:den>
              </m:f>
            </m:oMath>
          </w:p>
          <w:p w14:paraId="4548E381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  </w:t>
            </w:r>
          </w:p>
        </w:tc>
        <w:tc>
          <w:tcPr>
            <w:tcW w:w="4785" w:type="dxa"/>
            <w:tcBorders>
              <w:top w:val="single" w:sz="4" w:space="0" w:color="auto"/>
            </w:tcBorders>
            <w:hideMark/>
          </w:tcPr>
          <w:p w14:paraId="184C9419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Indicates the fraction of correct forecast  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hideMark/>
          </w:tcPr>
          <w:p w14:paraId="4CDA3A74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0-1  </w:t>
            </w:r>
          </w:p>
        </w:tc>
      </w:tr>
      <w:tr w:rsidR="00E61093" w:rsidRPr="009A3711" w14:paraId="4944E472" w14:textId="77777777" w:rsidTr="00892948">
        <w:trPr>
          <w:trHeight w:val="285"/>
        </w:trPr>
        <w:tc>
          <w:tcPr>
            <w:tcW w:w="2955" w:type="dxa"/>
            <w:hideMark/>
          </w:tcPr>
          <w:p w14:paraId="2D6F7878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FAR =</w:t>
            </w:r>
            <m:oMath>
              <m:r>
                <w:rPr>
                  <w:rFonts w:ascii="Cambria Math" w:hAnsi="Cambria Math"/>
                  <w:sz w:val="20"/>
                  <w:lang w:val="en-IN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sz w:val="20"/>
                      <w:lang w:val="en-IN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lang w:val="en-IN"/>
                    </w:rPr>
                    <m:t xml:space="preserve"> B</m:t>
                  </m:r>
                </m:num>
                <m:den>
                  <m:r>
                    <w:rPr>
                      <w:rFonts w:ascii="Cambria Math" w:hAnsi="Cambria Math"/>
                      <w:sz w:val="20"/>
                      <w:lang w:val="en-IN"/>
                    </w:rPr>
                    <m:t>B+A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0"/>
                  <w:lang w:val="en-IN"/>
                </w:rPr>
                <w:br/>
              </m:r>
            </m:oMath>
          </w:p>
          <w:p w14:paraId="286D4F03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  </w:t>
            </w:r>
          </w:p>
        </w:tc>
        <w:tc>
          <w:tcPr>
            <w:tcW w:w="4785" w:type="dxa"/>
            <w:hideMark/>
          </w:tcPr>
          <w:p w14:paraId="047D0182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Indicates the proportion of forecasted events that did not occur.  </w:t>
            </w:r>
          </w:p>
        </w:tc>
        <w:tc>
          <w:tcPr>
            <w:tcW w:w="1575" w:type="dxa"/>
            <w:hideMark/>
          </w:tcPr>
          <w:p w14:paraId="4AAF7C6B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0-1  </w:t>
            </w:r>
          </w:p>
        </w:tc>
      </w:tr>
      <w:tr w:rsidR="00E61093" w:rsidRPr="009A3711" w14:paraId="77DE61DE" w14:textId="77777777" w:rsidTr="00892948">
        <w:trPr>
          <w:trHeight w:val="285"/>
        </w:trPr>
        <w:tc>
          <w:tcPr>
            <w:tcW w:w="2955" w:type="dxa"/>
            <w:hideMark/>
          </w:tcPr>
          <w:p w14:paraId="72FCBF81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BIAS=</w:t>
            </w:r>
            <m:oMath>
              <m:r>
                <w:rPr>
                  <w:rFonts w:ascii="Cambria Math" w:hAnsi="Cambria Math"/>
                  <w:sz w:val="20"/>
                  <w:lang w:val="en-IN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sz w:val="20"/>
                      <w:lang w:val="en-IN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lang w:val="en-IN"/>
                    </w:rPr>
                    <m:t xml:space="preserve"> A+B</m:t>
                  </m:r>
                </m:num>
                <m:den>
                  <m:r>
                    <w:rPr>
                      <w:rFonts w:ascii="Cambria Math" w:hAnsi="Cambria Math"/>
                      <w:sz w:val="20"/>
                      <w:lang w:val="en-IN"/>
                    </w:rPr>
                    <m:t>C+A</m:t>
                  </m:r>
                </m:den>
              </m:f>
            </m:oMath>
          </w:p>
          <w:p w14:paraId="654BACC0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  </w:t>
            </w:r>
          </w:p>
        </w:tc>
        <w:tc>
          <w:tcPr>
            <w:tcW w:w="4785" w:type="dxa"/>
            <w:hideMark/>
          </w:tcPr>
          <w:p w14:paraId="232F2961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Compares the frequency of forecasted events to the observed events.  </w:t>
            </w:r>
          </w:p>
        </w:tc>
        <w:tc>
          <w:tcPr>
            <w:tcW w:w="1575" w:type="dxa"/>
            <w:hideMark/>
          </w:tcPr>
          <w:p w14:paraId="635329BB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&lt;1: More miss counts   </w:t>
            </w:r>
          </w:p>
          <w:p w14:paraId="0874CD51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&gt;1: False alarm  </w:t>
            </w:r>
          </w:p>
          <w:p w14:paraId="03F562DD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1: Best score  </w:t>
            </w:r>
          </w:p>
        </w:tc>
      </w:tr>
      <w:tr w:rsidR="00E61093" w:rsidRPr="009A3711" w14:paraId="20D1244B" w14:textId="77777777" w:rsidTr="00892948">
        <w:trPr>
          <w:trHeight w:val="285"/>
        </w:trPr>
        <w:tc>
          <w:tcPr>
            <w:tcW w:w="2955" w:type="dxa"/>
            <w:hideMark/>
          </w:tcPr>
          <w:p w14:paraId="295D7A96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 CSI=</w:t>
            </w:r>
            <m:oMath>
              <m:r>
                <w:rPr>
                  <w:rFonts w:ascii="Cambria Math" w:hAnsi="Cambria Math"/>
                  <w:sz w:val="20"/>
                  <w:lang w:val="en-IN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sz w:val="20"/>
                      <w:lang w:val="en-IN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lang w:val="en-IN"/>
                    </w:rPr>
                    <m:t xml:space="preserve"> A</m:t>
                  </m:r>
                </m:num>
                <m:den>
                  <m:r>
                    <w:rPr>
                      <w:rFonts w:ascii="Cambria Math" w:hAnsi="Cambria Math"/>
                      <w:sz w:val="20"/>
                      <w:lang w:val="en-IN"/>
                    </w:rPr>
                    <m:t>A+B+C</m:t>
                  </m:r>
                </m:den>
              </m:f>
            </m:oMath>
          </w:p>
          <w:p w14:paraId="02348691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  </w:t>
            </w:r>
          </w:p>
        </w:tc>
        <w:tc>
          <w:tcPr>
            <w:tcW w:w="4785" w:type="dxa"/>
            <w:hideMark/>
          </w:tcPr>
          <w:p w14:paraId="341B1363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Evaluates the accuracy of forecasts, considering both misses and false alarms.  </w:t>
            </w:r>
          </w:p>
        </w:tc>
        <w:tc>
          <w:tcPr>
            <w:tcW w:w="1575" w:type="dxa"/>
            <w:hideMark/>
          </w:tcPr>
          <w:p w14:paraId="0DC384FA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0 – 1  </w:t>
            </w:r>
          </w:p>
        </w:tc>
      </w:tr>
      <w:tr w:rsidR="00E61093" w:rsidRPr="009A3711" w14:paraId="0CD4CA07" w14:textId="77777777" w:rsidTr="00892948">
        <w:trPr>
          <w:trHeight w:val="285"/>
        </w:trPr>
        <w:tc>
          <w:tcPr>
            <w:tcW w:w="2955" w:type="dxa"/>
            <w:hideMark/>
          </w:tcPr>
          <w:p w14:paraId="126A10F0" w14:textId="77777777" w:rsidR="00E61093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Accuracy</w:t>
            </w:r>
          </w:p>
          <w:p w14:paraId="0A1889CD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= </w:t>
            </w:r>
            <w:r>
              <w:rPr>
                <w:sz w:val="20"/>
                <w:lang w:val="en-IN"/>
              </w:rPr>
              <w:t xml:space="preserve"> </w:t>
            </w:r>
            <w:r w:rsidRPr="009A3711">
              <w:rPr>
                <w:sz w:val="20"/>
                <w:lang w:val="en-IN"/>
              </w:rPr>
              <w:t> </w:t>
            </w:r>
            <m:oMath>
              <m:f>
                <m:fPr>
                  <m:ctrlPr>
                    <w:rPr>
                      <w:rFonts w:ascii="Cambria Math" w:hAnsi="Cambria Math"/>
                      <w:sz w:val="20"/>
                      <w:lang w:val="en-IN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lang w:val="en-IN"/>
                    </w:rPr>
                    <m:t xml:space="preserve"> A+D</m:t>
                  </m:r>
                </m:num>
                <m:den>
                  <m:r>
                    <w:rPr>
                      <w:rFonts w:ascii="Cambria Math" w:hAnsi="Cambria Math"/>
                      <w:sz w:val="20"/>
                      <w:lang w:val="en-IN"/>
                    </w:rPr>
                    <m:t>A+B+C+D</m:t>
                  </m:r>
                </m:den>
              </m:f>
            </m:oMath>
          </w:p>
          <w:p w14:paraId="6A6B434E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  </w:t>
            </w:r>
          </w:p>
        </w:tc>
        <w:tc>
          <w:tcPr>
            <w:tcW w:w="4785" w:type="dxa"/>
            <w:hideMark/>
          </w:tcPr>
          <w:p w14:paraId="3001EC44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Fraction of predicted events that were correct.  </w:t>
            </w:r>
          </w:p>
        </w:tc>
        <w:tc>
          <w:tcPr>
            <w:tcW w:w="1575" w:type="dxa"/>
            <w:hideMark/>
          </w:tcPr>
          <w:p w14:paraId="54D1B9E1" w14:textId="77777777" w:rsidR="00E61093" w:rsidRPr="009A3711" w:rsidRDefault="00E61093" w:rsidP="00892948">
            <w:pPr>
              <w:pStyle w:val="SMcaption"/>
              <w:rPr>
                <w:sz w:val="20"/>
                <w:lang w:val="en-IN"/>
              </w:rPr>
            </w:pPr>
            <w:r w:rsidRPr="009A3711">
              <w:rPr>
                <w:sz w:val="20"/>
                <w:lang w:val="en-IN"/>
              </w:rPr>
              <w:t>Between 0 to 1  </w:t>
            </w:r>
          </w:p>
        </w:tc>
      </w:tr>
    </w:tbl>
    <w:p w14:paraId="5A57277D" w14:textId="77777777" w:rsidR="00E61093" w:rsidRPr="009A3711" w:rsidRDefault="00E61093" w:rsidP="00E61093">
      <w:pPr>
        <w:pStyle w:val="SMcaption"/>
        <w:rPr>
          <w:sz w:val="20"/>
        </w:rPr>
      </w:pPr>
    </w:p>
    <w:p w14:paraId="5C92C20C" w14:textId="77777777" w:rsidR="00E61093" w:rsidRPr="009A3711" w:rsidRDefault="00E61093" w:rsidP="00E61093">
      <w:pPr>
        <w:pStyle w:val="SMcaption"/>
        <w:rPr>
          <w:sz w:val="20"/>
        </w:rPr>
      </w:pPr>
    </w:p>
    <w:p w14:paraId="052B25D2" w14:textId="77777777" w:rsidR="00E61093" w:rsidRPr="009A3711" w:rsidRDefault="00E61093" w:rsidP="00E61093">
      <w:pPr>
        <w:jc w:val="both"/>
      </w:pPr>
    </w:p>
    <w:p w14:paraId="050BB3F5" w14:textId="77777777" w:rsidR="00F553FF" w:rsidRDefault="00F553FF"/>
    <w:sectPr w:rsidR="00F553FF" w:rsidSect="00E61093">
      <w:pgSz w:w="12240" w:h="15840"/>
      <w:pgMar w:top="1890" w:right="1440" w:bottom="1620" w:left="1440" w:header="432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093"/>
    <w:rsid w:val="003C2EF4"/>
    <w:rsid w:val="00446799"/>
    <w:rsid w:val="00646EF6"/>
    <w:rsid w:val="006A7E07"/>
    <w:rsid w:val="00701021"/>
    <w:rsid w:val="00B74216"/>
    <w:rsid w:val="00D62F8C"/>
    <w:rsid w:val="00E61093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054AE"/>
  <w15:chartTrackingRefBased/>
  <w15:docId w15:val="{1058EAFF-B89A-4B5E-89EC-19C99719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093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0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10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09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09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09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09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09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09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09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1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0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0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0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0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0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0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0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1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09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1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09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10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09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10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0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093"/>
    <w:rPr>
      <w:b/>
      <w:bCs/>
      <w:smallCaps/>
      <w:color w:val="0F4761" w:themeColor="accent1" w:themeShade="BF"/>
      <w:spacing w:val="5"/>
    </w:rPr>
  </w:style>
  <w:style w:type="paragraph" w:customStyle="1" w:styleId="SMHeading">
    <w:name w:val="SM Heading"/>
    <w:basedOn w:val="Heading1"/>
    <w:qFormat/>
    <w:rsid w:val="00E61093"/>
    <w:pPr>
      <w:keepLines w:val="0"/>
      <w:spacing w:before="240" w:after="60" w:line="240" w:lineRule="auto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  <w14:ligatures w14:val="none"/>
    </w:rPr>
  </w:style>
  <w:style w:type="paragraph" w:customStyle="1" w:styleId="SMText">
    <w:name w:val="SM Text"/>
    <w:basedOn w:val="Normal"/>
    <w:qFormat/>
    <w:rsid w:val="00E61093"/>
    <w:pPr>
      <w:ind w:firstLine="480"/>
    </w:pPr>
    <w:rPr>
      <w:rFonts w:eastAsia="Times New Roman"/>
      <w:sz w:val="24"/>
    </w:rPr>
  </w:style>
  <w:style w:type="paragraph" w:customStyle="1" w:styleId="SMcaption">
    <w:name w:val="SM caption"/>
    <w:basedOn w:val="SMText"/>
    <w:qFormat/>
    <w:rsid w:val="00E61093"/>
    <w:pPr>
      <w:ind w:firstLine="0"/>
    </w:pPr>
  </w:style>
  <w:style w:type="character" w:styleId="LineNumber">
    <w:name w:val="line number"/>
    <w:basedOn w:val="DefaultParagraphFont"/>
    <w:uiPriority w:val="99"/>
    <w:semiHidden/>
    <w:unhideWhenUsed/>
    <w:rsid w:val="00E61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205</Words>
  <Characters>1174</Characters>
  <Application>Microsoft Office Word</Application>
  <DocSecurity>0</DocSecurity>
  <Lines>9</Lines>
  <Paragraphs>2</Paragraphs>
  <ScaleCrop>false</ScaleCrop>
  <Company>Springer Nature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2026-05-14T11:31:00Z</dcterms:created>
  <dcterms:modified xsi:type="dcterms:W3CDTF">2026-05-14T11:31:00Z</dcterms:modified>
</cp:coreProperties>
</file>