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BF2" w:rsidRDefault="00A25BF2" w:rsidP="00A25BF2">
      <w:pPr>
        <w:spacing w:line="480" w:lineRule="auto"/>
        <w:jc w:val="both"/>
        <w:rPr>
          <w:rFonts w:ascii="Arial" w:eastAsia="Arial" w:hAnsi="Arial" w:cs="Arial"/>
          <w:b/>
        </w:rPr>
      </w:pPr>
      <w:bookmarkStart w:id="0" w:name="_heading=h.2hqelspq37zi" w:colFirst="0" w:colLast="0"/>
      <w:bookmarkEnd w:id="0"/>
      <w:r>
        <w:rPr>
          <w:rFonts w:ascii="Arial" w:eastAsia="Arial" w:hAnsi="Arial" w:cs="Arial"/>
          <w:b/>
        </w:rPr>
        <w:t>Blockade of the KRAS-FOSL1 axis elicits DNA damage repair deficiency exploitable with local and systemic genotoxic therapies (Welch et al.)</w:t>
      </w:r>
    </w:p>
    <w:p w:rsidR="00A25BF2" w:rsidRDefault="00A25BF2" w:rsidP="00A25BF2">
      <w:pPr>
        <w:spacing w:line="480" w:lineRule="auto"/>
        <w:rPr>
          <w:rFonts w:ascii="Arial" w:hAnsi="Arial" w:cs="Arial"/>
          <w:b/>
        </w:rPr>
      </w:pPr>
    </w:p>
    <w:p w:rsidR="00A25BF2" w:rsidRPr="00A25BF2" w:rsidRDefault="00A25BF2" w:rsidP="00A25BF2">
      <w:pPr>
        <w:spacing w:line="480" w:lineRule="auto"/>
        <w:rPr>
          <w:rFonts w:ascii="Arial" w:hAnsi="Arial" w:cs="Arial"/>
          <w:b/>
          <w:u w:val="single"/>
        </w:rPr>
      </w:pPr>
      <w:r w:rsidRPr="00A25BF2">
        <w:rPr>
          <w:rFonts w:ascii="Arial" w:hAnsi="Arial" w:cs="Arial"/>
          <w:b/>
          <w:u w:val="single"/>
        </w:rPr>
        <w:t>SUPPLEMENTARY INFORMATION</w:t>
      </w:r>
    </w:p>
    <w:p w:rsidR="00A25BF2" w:rsidRDefault="00A25BF2" w:rsidP="00A25BF2">
      <w:pPr>
        <w:pStyle w:val="ListParagraph"/>
        <w:numPr>
          <w:ilvl w:val="0"/>
          <w:numId w:val="1"/>
        </w:numPr>
        <w:spacing w:line="480" w:lineRule="auto"/>
        <w:rPr>
          <w:rFonts w:ascii="Arial" w:hAnsi="Arial" w:cs="Arial"/>
          <w:b/>
        </w:rPr>
      </w:pPr>
      <w:r>
        <w:rPr>
          <w:rFonts w:ascii="Arial" w:hAnsi="Arial" w:cs="Arial"/>
          <w:b/>
        </w:rPr>
        <w:t>Supplementary Figures and Legends (1-5).</w:t>
      </w:r>
    </w:p>
    <w:p w:rsidR="00A25BF2" w:rsidRDefault="00A16B05" w:rsidP="00A25BF2">
      <w:pPr>
        <w:pStyle w:val="ListParagraph"/>
        <w:numPr>
          <w:ilvl w:val="0"/>
          <w:numId w:val="1"/>
        </w:numPr>
        <w:spacing w:line="480" w:lineRule="auto"/>
        <w:rPr>
          <w:rFonts w:ascii="Arial" w:hAnsi="Arial" w:cs="Arial"/>
          <w:b/>
        </w:rPr>
      </w:pPr>
      <w:r>
        <w:rPr>
          <w:rFonts w:ascii="Arial" w:hAnsi="Arial" w:cs="Arial"/>
          <w:b/>
        </w:rPr>
        <w:t>Supplementary Table Legends (1-4</w:t>
      </w:r>
      <w:r w:rsidR="00A25BF2">
        <w:rPr>
          <w:rFonts w:ascii="Arial" w:hAnsi="Arial" w:cs="Arial"/>
          <w:b/>
        </w:rPr>
        <w:t>).</w:t>
      </w:r>
    </w:p>
    <w:p w:rsidR="00A16B05" w:rsidRPr="00A25BF2" w:rsidRDefault="00A16B05" w:rsidP="00A25BF2">
      <w:pPr>
        <w:pStyle w:val="ListParagraph"/>
        <w:numPr>
          <w:ilvl w:val="0"/>
          <w:numId w:val="1"/>
        </w:numPr>
        <w:spacing w:line="480" w:lineRule="auto"/>
        <w:rPr>
          <w:rFonts w:ascii="Arial" w:hAnsi="Arial" w:cs="Arial"/>
          <w:b/>
        </w:rPr>
      </w:pPr>
      <w:r>
        <w:rPr>
          <w:rFonts w:ascii="Arial" w:hAnsi="Arial" w:cs="Arial"/>
          <w:b/>
        </w:rPr>
        <w:t>Supplementary References.</w:t>
      </w:r>
    </w:p>
    <w:p w:rsidR="00A25BF2" w:rsidRDefault="00A25BF2" w:rsidP="00A25BF2">
      <w:pPr>
        <w:spacing w:line="480" w:lineRule="auto"/>
        <w:rPr>
          <w:rFonts w:ascii="Arial" w:hAnsi="Arial" w:cs="Arial"/>
          <w:b/>
        </w:rPr>
      </w:pPr>
    </w:p>
    <w:p w:rsidR="00A25BF2" w:rsidRPr="00A25BF2" w:rsidRDefault="00A25BF2" w:rsidP="00A25BF2">
      <w:pPr>
        <w:spacing w:line="480" w:lineRule="auto"/>
        <w:rPr>
          <w:rFonts w:ascii="Arial" w:hAnsi="Arial" w:cs="Arial"/>
          <w:b/>
        </w:rPr>
      </w:pPr>
      <w:r w:rsidRPr="00A25BF2">
        <w:rPr>
          <w:rFonts w:ascii="Arial" w:hAnsi="Arial" w:cs="Arial"/>
          <w:b/>
        </w:rPr>
        <w:t>SUPPLEMENTARY FIGURES</w:t>
      </w:r>
    </w:p>
    <w:p w:rsidR="00A25BF2" w:rsidRPr="001F3E74" w:rsidRDefault="00A25BF2" w:rsidP="00A25BF2">
      <w:pPr>
        <w:spacing w:line="480" w:lineRule="auto"/>
        <w:rPr>
          <w:rFonts w:ascii="Arial" w:hAnsi="Arial" w:cs="Arial"/>
          <w:b/>
        </w:rPr>
      </w:pPr>
      <w:r>
        <w:object w:dxaOrig="21644" w:dyaOrig="13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326.25pt" o:ole="">
            <v:imagedata r:id="rId8" o:title=""/>
          </v:shape>
          <o:OLEObject Type="Embed" ProgID="Unknown" ShapeID="_x0000_i1025" DrawAspect="Content" ObjectID="_1834650681" r:id="rId9"/>
        </w:object>
      </w:r>
    </w:p>
    <w:p w:rsidR="00A25BF2" w:rsidRPr="00F24839" w:rsidRDefault="00A25BF2" w:rsidP="00A25BF2">
      <w:pPr>
        <w:spacing w:line="480" w:lineRule="auto"/>
        <w:jc w:val="both"/>
        <w:rPr>
          <w:rFonts w:ascii="Arial" w:hAnsi="Arial" w:cs="Arial"/>
        </w:rPr>
      </w:pPr>
      <w:r w:rsidRPr="00F24839">
        <w:rPr>
          <w:rFonts w:ascii="Arial" w:hAnsi="Arial" w:cs="Arial"/>
          <w:b/>
          <w:bCs/>
        </w:rPr>
        <w:t>Suppl. Fig. 1.</w:t>
      </w:r>
      <w:r w:rsidRPr="00F24839">
        <w:rPr>
          <w:rFonts w:ascii="Arial" w:hAnsi="Arial" w:cs="Arial"/>
        </w:rPr>
        <w:t xml:space="preserve"> </w:t>
      </w:r>
      <w:r w:rsidRPr="00F24839">
        <w:rPr>
          <w:rFonts w:ascii="Arial" w:hAnsi="Arial" w:cs="Arial"/>
          <w:b/>
          <w:bCs/>
        </w:rPr>
        <w:t>KRAS inhibition induces DNA damage repair deficiency. A and B.</w:t>
      </w:r>
      <w:r w:rsidRPr="00F24839">
        <w:rPr>
          <w:rFonts w:ascii="Arial" w:hAnsi="Arial" w:cs="Arial"/>
        </w:rPr>
        <w:t xml:space="preserve"> Expression of LKB1, KEAP1 and P53 proteins in mouse NSCLC LKR10 (KRAS G12C, A) and KLA (KRAS G12D, B) cells (loading control: GAPDH). </w:t>
      </w:r>
      <w:r w:rsidRPr="00F24839">
        <w:rPr>
          <w:rFonts w:ascii="Arial" w:hAnsi="Arial" w:cs="Arial"/>
          <w:b/>
          <w:bCs/>
        </w:rPr>
        <w:t>C-D.</w:t>
      </w:r>
      <w:r w:rsidRPr="00F24839">
        <w:rPr>
          <w:rFonts w:ascii="Arial" w:hAnsi="Arial" w:cs="Arial"/>
        </w:rPr>
        <w:t xml:space="preserve"> </w:t>
      </w:r>
      <w:r w:rsidRPr="00F24839">
        <w:rPr>
          <w:rFonts w:ascii="Arial" w:hAnsi="Arial" w:cs="Arial"/>
          <w:bCs/>
        </w:rPr>
        <w:t>Gene Ontology analysis of</w:t>
      </w:r>
      <w:r w:rsidRPr="00F24839">
        <w:rPr>
          <w:rFonts w:ascii="Arial" w:hAnsi="Arial" w:cs="Arial"/>
          <w:b/>
          <w:bCs/>
        </w:rPr>
        <w:t xml:space="preserve"> </w:t>
      </w:r>
      <w:r w:rsidRPr="00F24839">
        <w:rPr>
          <w:rFonts w:ascii="Arial" w:hAnsi="Arial" w:cs="Arial"/>
        </w:rPr>
        <w:t xml:space="preserve">biological pathways in the downregulated protein data sets from H358 (NSCLC, C) and MiaPaca2 (PDAC, D) cells after Sotorasib treatment, using ShinyGo. Proteomics data obtained from </w:t>
      </w:r>
      <w:r w:rsidRPr="00F24839">
        <w:rPr>
          <w:rFonts w:ascii="Arial" w:hAnsi="Arial" w:cs="Arial"/>
          <w:noProof/>
        </w:rPr>
        <w:t>Santana-Codina N et al.</w:t>
      </w:r>
      <w:r w:rsidRPr="00F24839">
        <w:rPr>
          <w:rFonts w:ascii="Arial" w:hAnsi="Arial" w:cs="Arial"/>
          <w:noProof/>
          <w:vertAlign w:val="superscript"/>
        </w:rPr>
        <w:t>19</w:t>
      </w:r>
      <w:r w:rsidRPr="00F24839">
        <w:rPr>
          <w:rFonts w:ascii="Arial" w:hAnsi="Arial" w:cs="Arial"/>
          <w:noProof/>
        </w:rPr>
        <w:t>.</w:t>
      </w:r>
    </w:p>
    <w:p w:rsidR="00A25BF2" w:rsidRDefault="00A25BF2" w:rsidP="00A25BF2">
      <w:pPr>
        <w:spacing w:line="480" w:lineRule="auto"/>
        <w:rPr>
          <w:rFonts w:ascii="Arial" w:eastAsia="Arial" w:hAnsi="Arial" w:cs="Arial"/>
          <w:b/>
          <w:color w:val="000000"/>
        </w:rPr>
      </w:pPr>
    </w:p>
    <w:p w:rsidR="00A25BF2" w:rsidRDefault="00A25BF2" w:rsidP="00A25BF2">
      <w:pPr>
        <w:spacing w:line="480" w:lineRule="auto"/>
        <w:jc w:val="center"/>
        <w:rPr>
          <w:rFonts w:ascii="Arial" w:eastAsia="Arial" w:hAnsi="Arial" w:cs="Arial"/>
          <w:b/>
          <w:color w:val="000000"/>
        </w:rPr>
      </w:pPr>
      <w:r>
        <w:object w:dxaOrig="20184" w:dyaOrig="26942">
          <v:shape id="_x0000_i1026" type="#_x0000_t75" style="width:495.75pt;height:661.5pt" o:ole="">
            <v:imagedata r:id="rId10" o:title=""/>
          </v:shape>
          <o:OLEObject Type="Embed" ProgID="Unknown" ShapeID="_x0000_i1026" DrawAspect="Content" ObjectID="_1834650682" r:id="rId11"/>
        </w:object>
      </w:r>
    </w:p>
    <w:p w:rsidR="00A25BF2" w:rsidRPr="000606F5" w:rsidRDefault="00A25BF2" w:rsidP="00A25BF2">
      <w:pPr>
        <w:spacing w:line="480" w:lineRule="auto"/>
        <w:jc w:val="both"/>
        <w:rPr>
          <w:rFonts w:ascii="Arial" w:eastAsia="Arial" w:hAnsi="Arial" w:cs="Arial"/>
          <w:color w:val="000000"/>
        </w:rPr>
      </w:pPr>
      <w:r>
        <w:rPr>
          <w:rFonts w:ascii="Arial" w:eastAsia="Arial" w:hAnsi="Arial" w:cs="Arial"/>
          <w:b/>
          <w:color w:val="000000"/>
        </w:rPr>
        <w:t xml:space="preserve">Suppl. Fig. 2. </w:t>
      </w:r>
      <w:r w:rsidRPr="00D15E50">
        <w:rPr>
          <w:rFonts w:ascii="Arial" w:eastAsia="Arial" w:hAnsi="Arial" w:cs="Arial"/>
          <w:b/>
          <w:bCs/>
          <w:color w:val="000000"/>
        </w:rPr>
        <w:t xml:space="preserve">Synergistic antitumor effect of radiotherapy and KRASi on mutant </w:t>
      </w:r>
      <w:r w:rsidRPr="00D15E50">
        <w:rPr>
          <w:rFonts w:ascii="Arial" w:eastAsia="Arial" w:hAnsi="Arial" w:cs="Arial"/>
          <w:b/>
          <w:bCs/>
          <w:i/>
          <w:iCs/>
          <w:color w:val="000000"/>
        </w:rPr>
        <w:t>KRAS</w:t>
      </w:r>
      <w:r w:rsidRPr="00D15E50">
        <w:rPr>
          <w:rFonts w:ascii="Arial" w:eastAsia="Arial" w:hAnsi="Arial" w:cs="Arial"/>
          <w:b/>
          <w:bCs/>
          <w:color w:val="000000"/>
        </w:rPr>
        <w:t xml:space="preserve"> LUAD and PDAC cell lines.</w:t>
      </w:r>
      <w:r>
        <w:rPr>
          <w:rFonts w:ascii="Arial" w:eastAsia="Arial" w:hAnsi="Arial" w:cs="Arial"/>
          <w:b/>
          <w:bCs/>
          <w:color w:val="000000"/>
        </w:rPr>
        <w:t xml:space="preserve"> </w:t>
      </w:r>
      <w:r w:rsidRPr="00D15E50">
        <w:rPr>
          <w:rFonts w:ascii="Arial" w:eastAsia="Arial" w:hAnsi="Arial" w:cs="Arial"/>
          <w:b/>
          <w:bCs/>
          <w:color w:val="000000"/>
        </w:rPr>
        <w:t>A.</w:t>
      </w:r>
      <w:r w:rsidRPr="000606F5">
        <w:rPr>
          <w:rFonts w:ascii="Arial" w:eastAsia="Arial" w:hAnsi="Arial" w:cs="Arial"/>
          <w:color w:val="000000"/>
        </w:rPr>
        <w:t xml:space="preserve"> Long-term </w:t>
      </w:r>
      <w:r w:rsidRPr="006739C6">
        <w:rPr>
          <w:rFonts w:ascii="Arial" w:eastAsia="Arial" w:hAnsi="Arial" w:cs="Arial"/>
          <w:color w:val="000000"/>
        </w:rPr>
        <w:t xml:space="preserve">effect of RT and KRASi combination on cell viability of </w:t>
      </w:r>
      <w:r w:rsidRPr="006739C6">
        <w:rPr>
          <w:rFonts w:ascii="Arial" w:eastAsia="Arial" w:hAnsi="Arial" w:cs="Arial"/>
          <w:iCs/>
          <w:color w:val="000000"/>
        </w:rPr>
        <w:t xml:space="preserve">mutant </w:t>
      </w:r>
      <w:r w:rsidRPr="006739C6">
        <w:rPr>
          <w:rFonts w:ascii="Arial" w:eastAsia="Arial" w:hAnsi="Arial" w:cs="Arial"/>
          <w:i/>
          <w:color w:val="000000"/>
        </w:rPr>
        <w:t xml:space="preserve">KRAS </w:t>
      </w:r>
      <w:r w:rsidRPr="006739C6">
        <w:rPr>
          <w:rFonts w:ascii="Arial" w:eastAsia="Arial" w:hAnsi="Arial" w:cs="Arial"/>
          <w:iCs/>
          <w:color w:val="000000"/>
        </w:rPr>
        <w:t xml:space="preserve">HPAFII cells (PDAC). </w:t>
      </w:r>
      <w:r w:rsidRPr="006739C6">
        <w:rPr>
          <w:rFonts w:ascii="Arial" w:eastAsia="Arial" w:hAnsi="Arial" w:cs="Arial"/>
          <w:color w:val="000000"/>
        </w:rPr>
        <w:t xml:space="preserve">10-day treatment (control: Ctrl; RT: 1 Gy; KRASi:  </w:t>
      </w:r>
      <w:r>
        <w:rPr>
          <w:rFonts w:ascii="Arial" w:eastAsia="Arial" w:hAnsi="Arial" w:cs="Arial"/>
          <w:color w:val="000000"/>
        </w:rPr>
        <w:t xml:space="preserve">12.5 </w:t>
      </w:r>
      <w:r w:rsidRPr="006739C6">
        <w:rPr>
          <w:rFonts w:ascii="Arial" w:eastAsia="Arial" w:hAnsi="Arial" w:cs="Arial"/>
          <w:color w:val="000000"/>
        </w:rPr>
        <w:t xml:space="preserve">nM MRTX1133) (data: mean +/- SD; test: one-way ANOVA, Tukey’s adjustment). Representative crystal violet staining images are shown. </w:t>
      </w:r>
      <w:r w:rsidRPr="006739C6">
        <w:rPr>
          <w:rFonts w:ascii="Arial" w:eastAsia="Arial" w:hAnsi="Arial" w:cs="Arial"/>
          <w:b/>
          <w:bCs/>
          <w:color w:val="000000"/>
        </w:rPr>
        <w:t>B-D.</w:t>
      </w:r>
      <w:r w:rsidRPr="006739C6">
        <w:rPr>
          <w:rFonts w:ascii="Arial" w:eastAsia="Arial" w:hAnsi="Arial" w:cs="Arial"/>
          <w:color w:val="000000"/>
        </w:rPr>
        <w:t xml:space="preserve"> Growth of H1792 (NSCLC, B), MiaPaca2 (PDAC, C) and 511950 (mouse PDAC, D) cells upon indicated treatments (RT: 10, 10 and 20 Gy respectively; KRASi: 0.5 </w:t>
      </w:r>
      <w:r w:rsidRPr="006739C6">
        <w:rPr>
          <w:rFonts w:ascii="Arial" w:hAnsi="Arial" w:cs="Arial"/>
        </w:rPr>
        <w:t>μ</w:t>
      </w:r>
      <w:r w:rsidRPr="006739C6">
        <w:rPr>
          <w:rFonts w:ascii="Arial" w:eastAsia="Arial" w:hAnsi="Arial" w:cs="Arial"/>
          <w:color w:val="000000"/>
        </w:rPr>
        <w:t xml:space="preserve">M, 0.1 </w:t>
      </w:r>
      <w:r w:rsidRPr="006739C6">
        <w:rPr>
          <w:rFonts w:ascii="Arial" w:hAnsi="Arial" w:cs="Arial"/>
        </w:rPr>
        <w:t>μ</w:t>
      </w:r>
      <w:r w:rsidRPr="006739C6">
        <w:rPr>
          <w:rFonts w:ascii="Arial" w:eastAsia="Arial" w:hAnsi="Arial" w:cs="Arial"/>
          <w:color w:val="000000"/>
        </w:rPr>
        <w:t xml:space="preserve">M and 2.5 </w:t>
      </w:r>
      <w:r w:rsidRPr="006739C6">
        <w:rPr>
          <w:rFonts w:ascii="Arial" w:hAnsi="Arial" w:cs="Arial"/>
        </w:rPr>
        <w:t>μ</w:t>
      </w:r>
      <w:r w:rsidRPr="006739C6">
        <w:rPr>
          <w:rFonts w:ascii="Arial" w:eastAsia="Arial" w:hAnsi="Arial" w:cs="Arial"/>
          <w:color w:val="000000"/>
        </w:rPr>
        <w:t xml:space="preserve">M respectively) until the emergence of resistance (n = 1 biological experiment). </w:t>
      </w:r>
      <w:r w:rsidRPr="006739C6">
        <w:rPr>
          <w:rFonts w:ascii="Arial" w:eastAsia="Arial" w:hAnsi="Arial" w:cs="Arial"/>
          <w:b/>
          <w:bCs/>
          <w:color w:val="000000"/>
        </w:rPr>
        <w:t>E.</w:t>
      </w:r>
      <w:r w:rsidRPr="006739C6">
        <w:rPr>
          <w:rFonts w:ascii="Arial" w:eastAsia="Arial" w:hAnsi="Arial" w:cs="Arial"/>
          <w:color w:val="000000"/>
        </w:rPr>
        <w:t xml:space="preserve"> </w:t>
      </w:r>
      <w:r w:rsidRPr="006739C6">
        <w:rPr>
          <w:rFonts w:ascii="Arial" w:eastAsia="Arial" w:hAnsi="Arial" w:cs="Arial"/>
          <w:color w:val="000000"/>
          <w:lang w:val="en-US"/>
        </w:rPr>
        <w:t xml:space="preserve">Mouse weight at the start (S) or at the end (E) of subcutaneous growth experiments of H358, H2030, MiaPaca2, T1 (mouse) and 511950 (mouse) cell lines </w:t>
      </w:r>
      <w:r w:rsidRPr="006739C6">
        <w:rPr>
          <w:rFonts w:ascii="Arial" w:eastAsia="Arial" w:hAnsi="Arial" w:cs="Arial"/>
          <w:color w:val="000000"/>
        </w:rPr>
        <w:t>upon indicated treatments</w:t>
      </w:r>
      <w:r w:rsidRPr="006739C6">
        <w:rPr>
          <w:rFonts w:ascii="Arial" w:eastAsia="Arial" w:hAnsi="Arial" w:cs="Arial"/>
          <w:color w:val="000000"/>
          <w:lang w:val="en-US"/>
        </w:rPr>
        <w:t>. N: 8-12</w:t>
      </w:r>
      <w:r w:rsidRPr="006739C6">
        <w:rPr>
          <w:rFonts w:ascii="Arial" w:eastAsia="Arial" w:hAnsi="Arial" w:cs="Arial"/>
          <w:color w:val="000000"/>
        </w:rPr>
        <w:t xml:space="preserve"> Rag2</w:t>
      </w:r>
      <w:r w:rsidRPr="006739C6">
        <w:rPr>
          <w:rFonts w:ascii="Arial" w:eastAsia="Arial" w:hAnsi="Arial" w:cs="Arial"/>
          <w:color w:val="000000"/>
          <w:vertAlign w:val="superscript"/>
        </w:rPr>
        <w:t>-/-</w:t>
      </w:r>
      <w:r w:rsidRPr="006739C6">
        <w:rPr>
          <w:rFonts w:ascii="Arial" w:eastAsia="Arial" w:hAnsi="Arial" w:cs="Arial"/>
          <w:color w:val="000000"/>
        </w:rPr>
        <w:t>; Il2</w:t>
      </w:r>
      <w:r w:rsidRPr="006739C6">
        <w:rPr>
          <w:rFonts w:ascii="Arial" w:eastAsia="Arial" w:hAnsi="Arial" w:cs="Arial"/>
          <w:color w:val="000000"/>
          <w:lang w:val="es-ES"/>
        </w:rPr>
        <w:t>γ</w:t>
      </w:r>
      <w:r w:rsidRPr="006739C6">
        <w:rPr>
          <w:rFonts w:ascii="Arial" w:eastAsia="Arial" w:hAnsi="Arial" w:cs="Arial"/>
          <w:color w:val="000000"/>
        </w:rPr>
        <w:t>r</w:t>
      </w:r>
      <w:r w:rsidRPr="006739C6">
        <w:rPr>
          <w:rFonts w:ascii="Arial" w:eastAsia="Arial" w:hAnsi="Arial" w:cs="Arial"/>
          <w:color w:val="000000"/>
          <w:vertAlign w:val="superscript"/>
        </w:rPr>
        <w:t>-/-</w:t>
      </w:r>
      <w:r w:rsidRPr="006739C6">
        <w:rPr>
          <w:rFonts w:ascii="Arial" w:eastAsia="Arial" w:hAnsi="Arial" w:cs="Arial"/>
          <w:color w:val="000000"/>
        </w:rPr>
        <w:t xml:space="preserve"> mice</w:t>
      </w:r>
      <w:r w:rsidRPr="006739C6">
        <w:rPr>
          <w:rFonts w:ascii="Arial" w:eastAsia="Arial" w:hAnsi="Arial" w:cs="Arial"/>
          <w:color w:val="000000"/>
          <w:lang w:val="en-US"/>
        </w:rPr>
        <w:t xml:space="preserve"> (human cell lines) or </w:t>
      </w:r>
      <w:r w:rsidRPr="006739C6">
        <w:rPr>
          <w:rFonts w:ascii="Arial" w:eastAsia="Arial" w:hAnsi="Arial" w:cs="Arial"/>
          <w:color w:val="000000"/>
        </w:rPr>
        <w:t xml:space="preserve">F1 C57BL/6 x 129S4/Sv mice (mouse cell lines) </w:t>
      </w:r>
      <w:r w:rsidRPr="006739C6">
        <w:rPr>
          <w:rFonts w:ascii="Arial" w:eastAsia="Arial" w:hAnsi="Arial" w:cs="Arial"/>
          <w:color w:val="000000"/>
          <w:lang w:val="en-US"/>
        </w:rPr>
        <w:t xml:space="preserve">per group (data: mean +/- SEM; test: </w:t>
      </w:r>
      <w:r w:rsidRPr="006739C6">
        <w:rPr>
          <w:rFonts w:ascii="Arial" w:eastAsia="Arial" w:hAnsi="Arial" w:cs="Arial"/>
          <w:color w:val="000000"/>
        </w:rPr>
        <w:t>one-way ANOVA, Tukey’s adjustment)</w:t>
      </w:r>
      <w:r w:rsidRPr="006739C6">
        <w:rPr>
          <w:rFonts w:ascii="Arial" w:eastAsia="Arial" w:hAnsi="Arial" w:cs="Arial"/>
          <w:color w:val="000000"/>
          <w:lang w:val="en-US"/>
        </w:rPr>
        <w:t xml:space="preserve">. </w:t>
      </w:r>
      <w:r w:rsidRPr="006739C6">
        <w:rPr>
          <w:rFonts w:ascii="Arial" w:eastAsia="Arial" w:hAnsi="Arial" w:cs="Arial"/>
          <w:b/>
          <w:bCs/>
          <w:color w:val="000000"/>
          <w:lang w:val="en-US"/>
        </w:rPr>
        <w:t>F.</w:t>
      </w:r>
      <w:r w:rsidRPr="006739C6">
        <w:rPr>
          <w:rFonts w:ascii="Arial" w:eastAsia="Arial" w:hAnsi="Arial" w:cs="Arial"/>
          <w:color w:val="000000"/>
          <w:lang w:val="en-US"/>
        </w:rPr>
        <w:t xml:space="preserve"> C</w:t>
      </w:r>
      <w:r w:rsidRPr="000606F5">
        <w:rPr>
          <w:rFonts w:ascii="Arial" w:eastAsia="Arial" w:hAnsi="Arial" w:cs="Arial"/>
          <w:color w:val="000000"/>
          <w:lang w:val="en-US"/>
        </w:rPr>
        <w:t xml:space="preserve">oncentration of </w:t>
      </w:r>
      <w:r w:rsidRPr="0020570A">
        <w:rPr>
          <w:rFonts w:ascii="Arial" w:eastAsia="Arial" w:hAnsi="Arial" w:cs="Arial"/>
          <w:color w:val="000000"/>
          <w:lang w:val="en-US"/>
        </w:rPr>
        <w:t xml:space="preserve">liver damage </w:t>
      </w:r>
      <w:r w:rsidRPr="000606F5">
        <w:rPr>
          <w:rFonts w:ascii="Arial" w:eastAsia="Arial" w:hAnsi="Arial" w:cs="Arial"/>
          <w:color w:val="000000"/>
          <w:lang w:val="en-US"/>
        </w:rPr>
        <w:t xml:space="preserve">serum markers in </w:t>
      </w:r>
      <w:r w:rsidRPr="000606F5">
        <w:rPr>
          <w:rFonts w:ascii="Arial" w:eastAsia="Arial" w:hAnsi="Arial" w:cs="Arial"/>
          <w:color w:val="000000"/>
        </w:rPr>
        <w:t>Rag2</w:t>
      </w:r>
      <w:r w:rsidRPr="000606F5">
        <w:rPr>
          <w:rFonts w:ascii="Arial" w:eastAsia="Arial" w:hAnsi="Arial" w:cs="Arial"/>
          <w:color w:val="000000"/>
          <w:vertAlign w:val="superscript"/>
        </w:rPr>
        <w:t>-/-</w:t>
      </w:r>
      <w:r w:rsidRPr="000606F5">
        <w:rPr>
          <w:rFonts w:ascii="Arial" w:eastAsia="Arial" w:hAnsi="Arial" w:cs="Arial"/>
          <w:color w:val="000000"/>
        </w:rPr>
        <w:t>; Il2</w:t>
      </w:r>
      <w:r w:rsidRPr="000606F5">
        <w:rPr>
          <w:rFonts w:ascii="Arial" w:eastAsia="Arial" w:hAnsi="Arial" w:cs="Arial"/>
          <w:color w:val="000000"/>
          <w:lang w:val="es-ES"/>
        </w:rPr>
        <w:t>γ</w:t>
      </w:r>
      <w:r w:rsidRPr="000606F5">
        <w:rPr>
          <w:rFonts w:ascii="Arial" w:eastAsia="Arial" w:hAnsi="Arial" w:cs="Arial"/>
          <w:color w:val="000000"/>
        </w:rPr>
        <w:t>r</w:t>
      </w:r>
      <w:r w:rsidRPr="000606F5">
        <w:rPr>
          <w:rFonts w:ascii="Arial" w:eastAsia="Arial" w:hAnsi="Arial" w:cs="Arial"/>
          <w:color w:val="000000"/>
          <w:vertAlign w:val="superscript"/>
        </w:rPr>
        <w:t>-/-</w:t>
      </w:r>
      <w:r w:rsidRPr="000606F5">
        <w:rPr>
          <w:rFonts w:ascii="Arial" w:eastAsia="Arial" w:hAnsi="Arial" w:cs="Arial"/>
          <w:color w:val="000000"/>
        </w:rPr>
        <w:t xml:space="preserve"> mice of subcutaneous growth </w:t>
      </w:r>
      <w:r w:rsidRPr="006739C6">
        <w:rPr>
          <w:rFonts w:ascii="Arial" w:eastAsia="Arial" w:hAnsi="Arial" w:cs="Arial"/>
          <w:color w:val="000000"/>
        </w:rPr>
        <w:t xml:space="preserve">experiments of H358 and H2030 cell lines upon indicated treatments. ALP: alkaline phosphatase; ASP: aspartate aminotransferase; ALT: alanine aminotransferase; ALB: albumin </w:t>
      </w:r>
      <w:r w:rsidRPr="006739C6">
        <w:rPr>
          <w:rFonts w:ascii="Arial" w:eastAsia="Arial" w:hAnsi="Arial" w:cs="Arial"/>
          <w:color w:val="000000"/>
          <w:lang w:val="en-US"/>
        </w:rPr>
        <w:t xml:space="preserve">(data: mean +/- SEM; test: </w:t>
      </w:r>
      <w:r w:rsidRPr="006739C6">
        <w:rPr>
          <w:rFonts w:ascii="Arial" w:eastAsia="Arial" w:hAnsi="Arial" w:cs="Arial"/>
          <w:color w:val="000000"/>
        </w:rPr>
        <w:t xml:space="preserve">one-way ANOVA, Tukey’s adjustment). </w:t>
      </w:r>
      <w:r w:rsidRPr="006739C6">
        <w:rPr>
          <w:rFonts w:ascii="Arial" w:eastAsia="Arial" w:hAnsi="Arial" w:cs="Arial"/>
          <w:b/>
          <w:bCs/>
          <w:color w:val="000000"/>
          <w:lang w:val="en-US"/>
        </w:rPr>
        <w:t>G.</w:t>
      </w:r>
      <w:r w:rsidRPr="006739C6">
        <w:rPr>
          <w:rFonts w:ascii="Arial" w:eastAsia="Arial" w:hAnsi="Arial" w:cs="Arial"/>
          <w:color w:val="000000"/>
          <w:lang w:val="en-US"/>
        </w:rPr>
        <w:t xml:space="preserve"> Concentration of liver damage serum markers in </w:t>
      </w:r>
      <w:r w:rsidRPr="006739C6">
        <w:rPr>
          <w:rFonts w:ascii="Arial" w:eastAsia="Arial" w:hAnsi="Arial" w:cs="Arial"/>
          <w:color w:val="000000"/>
        </w:rPr>
        <w:t xml:space="preserve">F1 C57BL/6 x 129S4/Sv mice of subcutaneous growth experiments of T1 cell line upon indicated treatments. ALP: alkaline phosphatase; ASP: aspartate aminotransferase; ALT: alanine aminotransferase; ALB: albumin (data: median ± 95% CI; test: one-way ANOVA, Tukey’s adjustment). </w:t>
      </w:r>
      <w:r w:rsidRPr="006739C6">
        <w:rPr>
          <w:rFonts w:ascii="Arial" w:eastAsia="Arial" w:hAnsi="Arial" w:cs="Arial"/>
          <w:b/>
          <w:bCs/>
          <w:color w:val="000000"/>
        </w:rPr>
        <w:t>H-I.</w:t>
      </w:r>
      <w:r w:rsidRPr="006739C6">
        <w:rPr>
          <w:rFonts w:ascii="Arial" w:eastAsia="Arial" w:hAnsi="Arial" w:cs="Arial"/>
          <w:color w:val="000000"/>
        </w:rPr>
        <w:t xml:space="preserve"> Blood cell counts </w:t>
      </w:r>
      <w:r w:rsidRPr="006739C6">
        <w:rPr>
          <w:rFonts w:ascii="Arial" w:eastAsia="Arial" w:hAnsi="Arial" w:cs="Arial"/>
          <w:color w:val="000000"/>
          <w:lang w:val="en-US"/>
        </w:rPr>
        <w:t xml:space="preserve">in </w:t>
      </w:r>
      <w:r w:rsidRPr="006739C6">
        <w:rPr>
          <w:rFonts w:ascii="Arial" w:eastAsia="Arial" w:hAnsi="Arial" w:cs="Arial"/>
          <w:color w:val="000000"/>
        </w:rPr>
        <w:t>F1 C57BL/6 x 129S4/Sv mice of subcutaneous growth experiments of T1 (H) and 511950 (I) cell lines upon indicated treatments. WBC: white blood cells (data: median ± 95% CI; test: one-way ANOVA, Tukey’s adjustment).</w:t>
      </w:r>
    </w:p>
    <w:p w:rsidR="00A25BF2" w:rsidRDefault="00A25BF2" w:rsidP="00A25BF2">
      <w:pPr>
        <w:spacing w:line="480" w:lineRule="auto"/>
        <w:jc w:val="both"/>
        <w:rPr>
          <w:rFonts w:ascii="Arial" w:eastAsia="Arial" w:hAnsi="Arial" w:cs="Arial"/>
          <w:b/>
          <w:color w:val="000000"/>
        </w:rPr>
      </w:pPr>
    </w:p>
    <w:p w:rsidR="00A25BF2" w:rsidRDefault="00A25BF2" w:rsidP="00A25BF2">
      <w:pPr>
        <w:spacing w:line="480" w:lineRule="auto"/>
        <w:jc w:val="both"/>
        <w:rPr>
          <w:rFonts w:ascii="Arial" w:eastAsia="Arial" w:hAnsi="Arial" w:cs="Arial"/>
          <w:b/>
          <w:color w:val="000000"/>
        </w:rPr>
      </w:pPr>
    </w:p>
    <w:p w:rsidR="00A25BF2" w:rsidRDefault="00A25BF2" w:rsidP="00A25BF2">
      <w:pPr>
        <w:spacing w:line="480" w:lineRule="auto"/>
        <w:jc w:val="both"/>
        <w:rPr>
          <w:rFonts w:ascii="Arial" w:eastAsia="Arial" w:hAnsi="Arial" w:cs="Arial"/>
          <w:b/>
          <w:color w:val="000000"/>
        </w:rPr>
      </w:pPr>
      <w:r>
        <w:object w:dxaOrig="20184" w:dyaOrig="14695">
          <v:shape id="_x0000_i1027" type="#_x0000_t75" style="width:522.75pt;height:380.25pt" o:ole="">
            <v:imagedata r:id="rId12" o:title=""/>
          </v:shape>
          <o:OLEObject Type="Embed" ProgID="Unknown" ShapeID="_x0000_i1027" DrawAspect="Content" ObjectID="_1834650683" r:id="rId13"/>
        </w:object>
      </w:r>
    </w:p>
    <w:p w:rsidR="00A25BF2" w:rsidRDefault="00A25BF2" w:rsidP="00A25BF2">
      <w:pPr>
        <w:spacing w:line="480" w:lineRule="auto"/>
        <w:jc w:val="center"/>
        <w:rPr>
          <w:rFonts w:ascii="Arial" w:eastAsia="Arial" w:hAnsi="Arial" w:cs="Arial"/>
          <w:b/>
          <w:color w:val="000000"/>
        </w:rPr>
      </w:pPr>
    </w:p>
    <w:p w:rsidR="00A25BF2" w:rsidRPr="006739C6" w:rsidRDefault="00A25BF2" w:rsidP="00A25BF2">
      <w:pPr>
        <w:spacing w:line="480" w:lineRule="auto"/>
        <w:jc w:val="both"/>
        <w:rPr>
          <w:rFonts w:ascii="Arial" w:eastAsia="Arial" w:hAnsi="Arial" w:cs="Arial"/>
          <w:b/>
          <w:bCs/>
          <w:color w:val="000000"/>
        </w:rPr>
      </w:pPr>
      <w:r w:rsidRPr="00793D9E">
        <w:rPr>
          <w:rFonts w:ascii="Arial" w:eastAsia="Arial" w:hAnsi="Arial" w:cs="Arial"/>
          <w:b/>
          <w:bCs/>
          <w:color w:val="000000"/>
        </w:rPr>
        <w:t>Suppl. Fig. 3. KRASi induces a homologous recombination deficiency stat</w:t>
      </w:r>
      <w:r>
        <w:rPr>
          <w:rFonts w:ascii="Arial" w:eastAsia="Arial" w:hAnsi="Arial" w:cs="Arial"/>
          <w:b/>
          <w:bCs/>
          <w:color w:val="000000"/>
        </w:rPr>
        <w:t xml:space="preserve">e in drug-tolerant populations. </w:t>
      </w:r>
      <w:r w:rsidRPr="00793D9E">
        <w:rPr>
          <w:rFonts w:ascii="Arial" w:eastAsia="Arial" w:hAnsi="Arial" w:cs="Arial"/>
          <w:b/>
          <w:color w:val="000000"/>
        </w:rPr>
        <w:t>A.</w:t>
      </w:r>
      <w:r w:rsidRPr="006739C6">
        <w:rPr>
          <w:rFonts w:ascii="Arial" w:eastAsia="Arial" w:hAnsi="Arial" w:cs="Arial"/>
          <w:bCs/>
          <w:color w:val="000000"/>
        </w:rPr>
        <w:t xml:space="preserve"> </w:t>
      </w:r>
      <w:r>
        <w:rPr>
          <w:rFonts w:ascii="Arial" w:eastAsia="Arial" w:hAnsi="Arial" w:cs="Arial"/>
          <w:bCs/>
          <w:color w:val="000000"/>
        </w:rPr>
        <w:t xml:space="preserve">Heat map of </w:t>
      </w:r>
      <w:r w:rsidRPr="006739C6">
        <w:rPr>
          <w:rFonts w:ascii="Arial" w:eastAsia="Arial" w:hAnsi="Arial" w:cs="Arial"/>
          <w:bCs/>
          <w:color w:val="000000"/>
        </w:rPr>
        <w:t xml:space="preserve">RNA expression of HR genes in </w:t>
      </w:r>
      <w:r w:rsidRPr="0020570A">
        <w:rPr>
          <w:rFonts w:ascii="Arial" w:eastAsia="Arial" w:hAnsi="Arial" w:cs="Arial"/>
          <w:bCs/>
          <w:color w:val="000000"/>
        </w:rPr>
        <w:t xml:space="preserve">mouse </w:t>
      </w:r>
      <w:r w:rsidRPr="006739C6">
        <w:rPr>
          <w:rFonts w:ascii="Arial" w:eastAsia="Arial" w:hAnsi="Arial" w:cs="Arial"/>
          <w:bCs/>
          <w:color w:val="000000"/>
        </w:rPr>
        <w:t xml:space="preserve">mutant </w:t>
      </w:r>
      <w:r w:rsidRPr="006739C6">
        <w:rPr>
          <w:rFonts w:ascii="Arial" w:eastAsia="Arial" w:hAnsi="Arial" w:cs="Arial"/>
          <w:bCs/>
          <w:i/>
          <w:iCs/>
          <w:color w:val="000000"/>
        </w:rPr>
        <w:t>KRAS</w:t>
      </w:r>
      <w:r w:rsidRPr="006739C6">
        <w:rPr>
          <w:rFonts w:ascii="Arial" w:eastAsia="Arial" w:hAnsi="Arial" w:cs="Arial"/>
          <w:bCs/>
          <w:color w:val="000000"/>
        </w:rPr>
        <w:t xml:space="preserve"> PDAC (FC1242), </w:t>
      </w:r>
      <w:r>
        <w:rPr>
          <w:rFonts w:ascii="Arial" w:eastAsia="Arial" w:hAnsi="Arial" w:cs="Arial"/>
          <w:bCs/>
          <w:color w:val="000000"/>
        </w:rPr>
        <w:t>NSCLC</w:t>
      </w:r>
      <w:r w:rsidRPr="006739C6">
        <w:rPr>
          <w:rFonts w:ascii="Arial" w:eastAsia="Arial" w:hAnsi="Arial" w:cs="Arial"/>
          <w:bCs/>
          <w:color w:val="000000"/>
        </w:rPr>
        <w:t xml:space="preserve"> (KLA and LKR10</w:t>
      </w:r>
      <w:r>
        <w:rPr>
          <w:rFonts w:ascii="Arial" w:eastAsia="Arial" w:hAnsi="Arial" w:cs="Arial"/>
          <w:bCs/>
          <w:color w:val="000000"/>
        </w:rPr>
        <w:t xml:space="preserve"> cells CRISPR-edited for </w:t>
      </w:r>
      <w:r w:rsidRPr="006739C6">
        <w:rPr>
          <w:rFonts w:ascii="Arial" w:eastAsia="Arial" w:hAnsi="Arial" w:cs="Arial"/>
          <w:bCs/>
          <w:i/>
          <w:iCs/>
          <w:color w:val="000000"/>
        </w:rPr>
        <w:t>Trp53</w:t>
      </w:r>
      <w:r>
        <w:rPr>
          <w:rFonts w:ascii="Arial" w:eastAsia="Arial" w:hAnsi="Arial" w:cs="Arial"/>
          <w:bCs/>
          <w:color w:val="000000"/>
        </w:rPr>
        <w:t xml:space="preserve">, </w:t>
      </w:r>
      <w:r w:rsidRPr="006739C6">
        <w:rPr>
          <w:rFonts w:ascii="Arial" w:eastAsia="Arial" w:hAnsi="Arial" w:cs="Arial"/>
          <w:bCs/>
          <w:i/>
          <w:iCs/>
          <w:color w:val="000000"/>
        </w:rPr>
        <w:t>Stk11</w:t>
      </w:r>
      <w:r>
        <w:rPr>
          <w:rFonts w:ascii="Arial" w:eastAsia="Arial" w:hAnsi="Arial" w:cs="Arial"/>
          <w:bCs/>
          <w:color w:val="000000"/>
        </w:rPr>
        <w:t xml:space="preserve"> and </w:t>
      </w:r>
      <w:r w:rsidRPr="006739C6">
        <w:rPr>
          <w:rFonts w:ascii="Arial" w:eastAsia="Arial" w:hAnsi="Arial" w:cs="Arial"/>
          <w:bCs/>
          <w:i/>
          <w:iCs/>
          <w:color w:val="000000"/>
        </w:rPr>
        <w:t>Keap1</w:t>
      </w:r>
      <w:r>
        <w:rPr>
          <w:rFonts w:ascii="Arial" w:eastAsia="Arial" w:hAnsi="Arial" w:cs="Arial"/>
          <w:bCs/>
          <w:color w:val="000000"/>
        </w:rPr>
        <w:t xml:space="preserve"> genes. NT: non-targeting</w:t>
      </w:r>
      <w:r w:rsidRPr="006739C6">
        <w:rPr>
          <w:rFonts w:ascii="Arial" w:eastAsia="Arial" w:hAnsi="Arial" w:cs="Arial"/>
          <w:bCs/>
          <w:color w:val="000000"/>
        </w:rPr>
        <w:t>) and CCA (KPch) cells lines</w:t>
      </w:r>
      <w:r>
        <w:rPr>
          <w:rFonts w:ascii="Arial" w:eastAsia="Arial" w:hAnsi="Arial" w:cs="Arial"/>
          <w:bCs/>
          <w:color w:val="000000"/>
        </w:rPr>
        <w:t xml:space="preserve"> </w:t>
      </w:r>
      <w:r w:rsidRPr="008F0B6A">
        <w:rPr>
          <w:rFonts w:ascii="Arial" w:eastAsia="Arial" w:hAnsi="Arial" w:cs="Arial"/>
          <w:bCs/>
          <w:color w:val="000000"/>
        </w:rPr>
        <w:t>subjected to pharmacological KRAS inhibition</w:t>
      </w:r>
      <w:r w:rsidRPr="006739C6">
        <w:rPr>
          <w:rFonts w:ascii="Arial" w:eastAsia="Arial" w:hAnsi="Arial" w:cs="Arial"/>
          <w:bCs/>
          <w:color w:val="000000"/>
        </w:rPr>
        <w:t>.</w:t>
      </w:r>
      <w:r>
        <w:rPr>
          <w:rFonts w:ascii="Arial" w:eastAsia="Arial" w:hAnsi="Arial" w:cs="Arial"/>
          <w:bCs/>
          <w:color w:val="000000"/>
        </w:rPr>
        <w:t xml:space="preserve"> </w:t>
      </w:r>
      <w:r w:rsidRPr="006739C6">
        <w:rPr>
          <w:rFonts w:ascii="Arial" w:eastAsia="Arial" w:hAnsi="Arial" w:cs="Arial"/>
          <w:b/>
          <w:color w:val="000000"/>
        </w:rPr>
        <w:t>B.</w:t>
      </w:r>
      <w:r>
        <w:rPr>
          <w:rFonts w:ascii="Arial" w:eastAsia="Arial" w:hAnsi="Arial" w:cs="Arial"/>
          <w:bCs/>
          <w:color w:val="000000"/>
        </w:rPr>
        <w:t xml:space="preserve"> qPCR analysis of RNA expression of </w:t>
      </w:r>
      <w:r w:rsidRPr="006739C6">
        <w:rPr>
          <w:rFonts w:ascii="Arial" w:eastAsia="Arial" w:hAnsi="Arial" w:cs="Arial"/>
          <w:bCs/>
          <w:i/>
          <w:iCs/>
          <w:color w:val="000000"/>
        </w:rPr>
        <w:t>BRCA1</w:t>
      </w:r>
      <w:r>
        <w:rPr>
          <w:rFonts w:ascii="Arial" w:eastAsia="Arial" w:hAnsi="Arial" w:cs="Arial"/>
          <w:bCs/>
          <w:color w:val="000000"/>
        </w:rPr>
        <w:t xml:space="preserve">, </w:t>
      </w:r>
      <w:r w:rsidRPr="006739C6">
        <w:rPr>
          <w:rFonts w:ascii="Arial" w:eastAsia="Arial" w:hAnsi="Arial" w:cs="Arial"/>
          <w:bCs/>
          <w:i/>
          <w:iCs/>
          <w:color w:val="000000"/>
        </w:rPr>
        <w:t>BRCA2</w:t>
      </w:r>
      <w:r>
        <w:rPr>
          <w:rFonts w:ascii="Arial" w:eastAsia="Arial" w:hAnsi="Arial" w:cs="Arial"/>
          <w:bCs/>
          <w:color w:val="000000"/>
        </w:rPr>
        <w:t xml:space="preserve"> and </w:t>
      </w:r>
      <w:r w:rsidRPr="006739C6">
        <w:rPr>
          <w:rFonts w:ascii="Arial" w:eastAsia="Arial" w:hAnsi="Arial" w:cs="Arial"/>
          <w:bCs/>
          <w:i/>
          <w:iCs/>
          <w:color w:val="000000"/>
        </w:rPr>
        <w:t>RAD51</w:t>
      </w:r>
      <w:r>
        <w:rPr>
          <w:rFonts w:ascii="Arial" w:eastAsia="Arial" w:hAnsi="Arial" w:cs="Arial"/>
          <w:bCs/>
          <w:color w:val="000000"/>
        </w:rPr>
        <w:t xml:space="preserve"> genes in H2030 (NSCLC) and MiaPaca2 (PDAC) cell lines. </w:t>
      </w:r>
      <w:r>
        <w:rPr>
          <w:rFonts w:ascii="Arial" w:eastAsia="Arial" w:hAnsi="Arial" w:cs="Arial"/>
          <w:b/>
          <w:color w:val="000000"/>
        </w:rPr>
        <w:t>C and D.</w:t>
      </w:r>
      <w:r>
        <w:rPr>
          <w:rFonts w:ascii="Arial" w:eastAsia="Arial" w:hAnsi="Arial" w:cs="Arial"/>
          <w:bCs/>
          <w:color w:val="000000"/>
        </w:rPr>
        <w:t xml:space="preserve"> </w:t>
      </w:r>
      <w:r w:rsidRPr="006739C6">
        <w:rPr>
          <w:rFonts w:ascii="Arial" w:eastAsia="Arial" w:hAnsi="Arial" w:cs="Arial"/>
          <w:bCs/>
          <w:color w:val="000000"/>
        </w:rPr>
        <w:t>Normalized expression of BRCA1, BRCA2 and RAD51 RNA expression from KRAS</w:t>
      </w:r>
      <w:r>
        <w:rPr>
          <w:rFonts w:ascii="Arial" w:eastAsia="Arial" w:hAnsi="Arial" w:cs="Arial"/>
          <w:bCs/>
          <w:color w:val="000000"/>
        </w:rPr>
        <w:t xml:space="preserve"> </w:t>
      </w:r>
      <w:r w:rsidRPr="006739C6">
        <w:rPr>
          <w:rFonts w:ascii="Arial" w:eastAsia="Arial" w:hAnsi="Arial" w:cs="Arial"/>
          <w:bCs/>
          <w:color w:val="000000"/>
        </w:rPr>
        <w:t xml:space="preserve">G12D </w:t>
      </w:r>
      <w:r w:rsidRPr="0020570A">
        <w:rPr>
          <w:rFonts w:ascii="Arial" w:eastAsia="Arial" w:hAnsi="Arial" w:cs="Arial"/>
          <w:bCs/>
          <w:color w:val="000000"/>
        </w:rPr>
        <w:t xml:space="preserve">NSCLC </w:t>
      </w:r>
      <w:r w:rsidRPr="006739C6">
        <w:rPr>
          <w:rFonts w:ascii="Arial" w:eastAsia="Arial" w:hAnsi="Arial" w:cs="Arial"/>
          <w:bCs/>
          <w:color w:val="000000"/>
        </w:rPr>
        <w:t xml:space="preserve">mouse cells (proliferative + non-proliferative) treated with vehicle or KRASi (MRTX1133) for 5 </w:t>
      </w:r>
      <w:r w:rsidRPr="0020570A">
        <w:rPr>
          <w:rFonts w:ascii="Arial" w:eastAsia="Arial" w:hAnsi="Arial" w:cs="Arial"/>
          <w:bCs/>
          <w:color w:val="000000"/>
        </w:rPr>
        <w:t xml:space="preserve">(B) </w:t>
      </w:r>
      <w:r w:rsidRPr="006739C6">
        <w:rPr>
          <w:rFonts w:ascii="Arial" w:eastAsia="Arial" w:hAnsi="Arial" w:cs="Arial"/>
          <w:bCs/>
          <w:color w:val="000000"/>
        </w:rPr>
        <w:t xml:space="preserve">or 20 </w:t>
      </w:r>
      <w:r w:rsidRPr="0020570A">
        <w:rPr>
          <w:rFonts w:ascii="Arial" w:eastAsia="Arial" w:hAnsi="Arial" w:cs="Arial"/>
          <w:bCs/>
          <w:color w:val="000000"/>
        </w:rPr>
        <w:t xml:space="preserve">(D) </w:t>
      </w:r>
      <w:r w:rsidRPr="006739C6">
        <w:rPr>
          <w:rFonts w:ascii="Arial" w:eastAsia="Arial" w:hAnsi="Arial" w:cs="Arial"/>
          <w:bCs/>
          <w:color w:val="000000"/>
        </w:rPr>
        <w:t>days (data: median +/- SD; analysis method: DESeq2).</w:t>
      </w:r>
      <w:r>
        <w:rPr>
          <w:rFonts w:ascii="Arial" w:eastAsia="Arial" w:hAnsi="Arial" w:cs="Arial"/>
          <w:bCs/>
          <w:color w:val="000000"/>
        </w:rPr>
        <w:t xml:space="preserve"> </w:t>
      </w:r>
      <w:r w:rsidRPr="006739C6">
        <w:rPr>
          <w:rFonts w:ascii="Arial" w:eastAsia="Arial" w:hAnsi="Arial" w:cs="Arial"/>
          <w:b/>
          <w:bCs/>
          <w:color w:val="000000"/>
        </w:rPr>
        <w:t>E and F</w:t>
      </w:r>
      <w:r w:rsidRPr="00793D9E">
        <w:rPr>
          <w:rFonts w:ascii="Arial" w:eastAsia="Arial" w:hAnsi="Arial" w:cs="Arial"/>
          <w:b/>
          <w:color w:val="000000"/>
        </w:rPr>
        <w:t>.</w:t>
      </w:r>
      <w:r w:rsidRPr="006739C6">
        <w:rPr>
          <w:rFonts w:ascii="Arial" w:eastAsia="Arial" w:hAnsi="Arial" w:cs="Arial"/>
          <w:bCs/>
          <w:color w:val="000000"/>
        </w:rPr>
        <w:t xml:space="preserve"> Normalized expression of BRCA1, BRCA2 and RAD51 RNA expression from KRAS</w:t>
      </w:r>
      <w:r>
        <w:rPr>
          <w:rFonts w:ascii="Arial" w:eastAsia="Arial" w:hAnsi="Arial" w:cs="Arial"/>
          <w:bCs/>
          <w:color w:val="000000"/>
        </w:rPr>
        <w:t xml:space="preserve"> </w:t>
      </w:r>
      <w:r w:rsidRPr="006739C6">
        <w:rPr>
          <w:rFonts w:ascii="Arial" w:eastAsia="Arial" w:hAnsi="Arial" w:cs="Arial"/>
          <w:bCs/>
          <w:color w:val="000000"/>
        </w:rPr>
        <w:t xml:space="preserve">G12D </w:t>
      </w:r>
      <w:r w:rsidRPr="0020570A">
        <w:rPr>
          <w:rFonts w:ascii="Arial" w:eastAsia="Arial" w:hAnsi="Arial" w:cs="Arial"/>
          <w:bCs/>
          <w:color w:val="000000"/>
        </w:rPr>
        <w:t xml:space="preserve">NSCLC </w:t>
      </w:r>
      <w:r w:rsidRPr="006739C6">
        <w:rPr>
          <w:rFonts w:ascii="Arial" w:eastAsia="Arial" w:hAnsi="Arial" w:cs="Arial"/>
          <w:bCs/>
          <w:color w:val="000000"/>
        </w:rPr>
        <w:t xml:space="preserve">mouse proliferative cells treated with vehicle or KRASi (MRTX1133) for (B) </w:t>
      </w:r>
      <w:r>
        <w:rPr>
          <w:rFonts w:ascii="Arial" w:eastAsia="Arial" w:hAnsi="Arial" w:cs="Arial"/>
          <w:bCs/>
          <w:color w:val="000000"/>
        </w:rPr>
        <w:t xml:space="preserve">5 or (D) 20 days </w:t>
      </w:r>
      <w:r w:rsidRPr="006739C6">
        <w:rPr>
          <w:rFonts w:ascii="Arial" w:eastAsia="Arial" w:hAnsi="Arial" w:cs="Arial"/>
          <w:bCs/>
          <w:color w:val="000000"/>
        </w:rPr>
        <w:t xml:space="preserve">(data: median +/- SD; analysis method: DESeq2). </w:t>
      </w:r>
      <w:r>
        <w:rPr>
          <w:rFonts w:ascii="Arial" w:eastAsia="Arial" w:hAnsi="Arial" w:cs="Arial"/>
          <w:b/>
          <w:color w:val="000000"/>
        </w:rPr>
        <w:t>G</w:t>
      </w:r>
      <w:r w:rsidRPr="00793D9E">
        <w:rPr>
          <w:rFonts w:ascii="Arial" w:eastAsia="Arial" w:hAnsi="Arial" w:cs="Arial"/>
          <w:b/>
          <w:color w:val="000000"/>
        </w:rPr>
        <w:t>.</w:t>
      </w:r>
      <w:r w:rsidRPr="006739C6">
        <w:rPr>
          <w:rFonts w:ascii="Arial" w:eastAsia="Arial" w:hAnsi="Arial" w:cs="Arial"/>
          <w:bCs/>
          <w:color w:val="000000"/>
        </w:rPr>
        <w:t xml:space="preserve"> Scheme of “mVenusP27</w:t>
      </w:r>
      <w:r>
        <w:rPr>
          <w:rFonts w:ascii="Arial" w:eastAsia="Arial" w:hAnsi="Arial" w:cs="Arial"/>
          <w:bCs/>
          <w:color w:val="000000"/>
        </w:rPr>
        <w:t>K</w:t>
      </w:r>
      <w:r w:rsidRPr="006739C6">
        <w:rPr>
          <w:rFonts w:ascii="Arial" w:eastAsia="Arial" w:hAnsi="Arial" w:cs="Arial"/>
          <w:bCs/>
          <w:color w:val="000000"/>
        </w:rPr>
        <w:t>-” plasmid which expresses mVenus fluorescent protein only when cells are in G0 and G1 phases of the cell cycle.</w:t>
      </w:r>
    </w:p>
    <w:p w:rsidR="00A25BF2" w:rsidRPr="006739C6" w:rsidRDefault="00A25BF2" w:rsidP="00A25BF2">
      <w:pPr>
        <w:spacing w:line="480" w:lineRule="auto"/>
        <w:jc w:val="both"/>
        <w:rPr>
          <w:rFonts w:ascii="Arial" w:eastAsia="Arial" w:hAnsi="Arial" w:cs="Arial"/>
          <w:b/>
          <w:color w:val="000000"/>
        </w:rPr>
      </w:pPr>
      <w:r>
        <w:object w:dxaOrig="20184" w:dyaOrig="28167">
          <v:shape id="_x0000_i1028" type="#_x0000_t75" style="width:492.75pt;height:687pt" o:ole="">
            <v:imagedata r:id="rId14" o:title=""/>
          </v:shape>
          <o:OLEObject Type="Embed" ProgID="Unknown" ShapeID="_x0000_i1028" DrawAspect="Content" ObjectID="_1834650684" r:id="rId15"/>
        </w:object>
      </w:r>
      <w:r w:rsidRPr="00526464">
        <w:rPr>
          <w:rFonts w:ascii="Arial" w:eastAsia="Arial" w:hAnsi="Arial" w:cs="Arial"/>
          <w:b/>
          <w:bCs/>
          <w:color w:val="000000"/>
        </w:rPr>
        <w:t xml:space="preserve">Suppl. Fig. 4. Synergistic antitumor effect of PARPi and KRASi on mutant </w:t>
      </w:r>
      <w:r w:rsidRPr="00526464">
        <w:rPr>
          <w:rFonts w:ascii="Arial" w:eastAsia="Arial" w:hAnsi="Arial" w:cs="Arial"/>
          <w:b/>
          <w:bCs/>
          <w:i/>
          <w:iCs/>
          <w:color w:val="000000"/>
        </w:rPr>
        <w:t>KRAS</w:t>
      </w:r>
      <w:r>
        <w:rPr>
          <w:rFonts w:ascii="Arial" w:eastAsia="Arial" w:hAnsi="Arial" w:cs="Arial"/>
          <w:b/>
          <w:bCs/>
          <w:color w:val="000000"/>
        </w:rPr>
        <w:t xml:space="preserve"> NSCLC</w:t>
      </w:r>
      <w:r w:rsidRPr="00526464">
        <w:rPr>
          <w:rFonts w:ascii="Arial" w:eastAsia="Arial" w:hAnsi="Arial" w:cs="Arial"/>
          <w:b/>
          <w:bCs/>
          <w:color w:val="000000"/>
        </w:rPr>
        <w:t xml:space="preserve"> and PDAC cell lines.</w:t>
      </w:r>
      <w:r>
        <w:rPr>
          <w:rFonts w:ascii="Arial" w:eastAsia="Arial" w:hAnsi="Arial" w:cs="Arial"/>
          <w:b/>
          <w:bCs/>
          <w:color w:val="000000"/>
        </w:rPr>
        <w:t xml:space="preserve"> </w:t>
      </w:r>
      <w:r w:rsidRPr="007C26E6">
        <w:rPr>
          <w:rFonts w:ascii="Arial" w:eastAsia="Arial" w:hAnsi="Arial" w:cs="Arial"/>
          <w:b/>
          <w:bCs/>
          <w:color w:val="000000"/>
        </w:rPr>
        <w:t>A.</w:t>
      </w:r>
      <w:r w:rsidRPr="006739C6">
        <w:rPr>
          <w:rFonts w:ascii="Arial" w:eastAsia="Arial" w:hAnsi="Arial" w:cs="Arial"/>
          <w:color w:val="000000"/>
        </w:rPr>
        <w:t xml:space="preserve"> </w:t>
      </w:r>
      <w:r w:rsidRPr="00B130E2">
        <w:rPr>
          <w:rFonts w:ascii="Arial" w:hAnsi="Arial" w:cs="Arial"/>
        </w:rPr>
        <w:t>γ</w:t>
      </w:r>
      <w:r w:rsidRPr="006739C6">
        <w:rPr>
          <w:rFonts w:ascii="Arial" w:eastAsia="Arial" w:hAnsi="Arial" w:cs="Arial"/>
          <w:color w:val="000000"/>
        </w:rPr>
        <w:t xml:space="preserve">H2AX protein expression in H358 and HPAFII cell lines after 48 h of PARPi (5 </w:t>
      </w:r>
      <w:r>
        <w:rPr>
          <w:rFonts w:ascii="Arial" w:hAnsi="Arial" w:cs="Arial"/>
        </w:rPr>
        <w:t>μ</w:t>
      </w:r>
      <w:r w:rsidRPr="006739C6">
        <w:rPr>
          <w:rFonts w:ascii="Arial" w:eastAsia="Arial" w:hAnsi="Arial" w:cs="Arial"/>
          <w:color w:val="000000"/>
        </w:rPr>
        <w:t>M) and KRASi (</w:t>
      </w:r>
      <w:r>
        <w:rPr>
          <w:rFonts w:ascii="Arial" w:eastAsia="Arial" w:hAnsi="Arial" w:cs="Arial"/>
          <w:color w:val="000000"/>
        </w:rPr>
        <w:t>10</w:t>
      </w:r>
      <w:r w:rsidRPr="006739C6">
        <w:rPr>
          <w:rFonts w:ascii="Arial" w:eastAsia="Arial" w:hAnsi="Arial" w:cs="Arial"/>
          <w:color w:val="000000"/>
        </w:rPr>
        <w:t xml:space="preserve"> and 50 nM respectively) treatment (loading control: </w:t>
      </w:r>
      <w:r>
        <w:rPr>
          <w:rFonts w:ascii="Arial" w:eastAsia="Arial" w:hAnsi="Arial" w:cs="Arial"/>
          <w:color w:val="000000"/>
        </w:rPr>
        <w:t>β</w:t>
      </w:r>
      <w:r w:rsidRPr="006739C6">
        <w:rPr>
          <w:rFonts w:ascii="Arial" w:eastAsia="Arial" w:hAnsi="Arial" w:cs="Arial"/>
          <w:color w:val="000000"/>
        </w:rPr>
        <w:t>-Tubulin).</w:t>
      </w:r>
      <w:r>
        <w:rPr>
          <w:rFonts w:ascii="Arial" w:eastAsia="Arial" w:hAnsi="Arial" w:cs="Arial"/>
          <w:color w:val="000000"/>
        </w:rPr>
        <w:t xml:space="preserve"> </w:t>
      </w:r>
      <w:r w:rsidRPr="007C26E6">
        <w:rPr>
          <w:rFonts w:ascii="Arial" w:eastAsia="Arial" w:hAnsi="Arial" w:cs="Arial"/>
          <w:b/>
          <w:bCs/>
          <w:color w:val="000000"/>
        </w:rPr>
        <w:t>B-D.</w:t>
      </w:r>
      <w:r>
        <w:rPr>
          <w:rFonts w:ascii="Arial" w:eastAsia="Arial" w:hAnsi="Arial" w:cs="Arial"/>
          <w:color w:val="000000"/>
        </w:rPr>
        <w:t xml:space="preserve"> Growth of </w:t>
      </w:r>
      <w:r w:rsidRPr="006739C6">
        <w:rPr>
          <w:rFonts w:ascii="Arial" w:eastAsia="Arial" w:hAnsi="Arial" w:cs="Arial"/>
          <w:color w:val="000000"/>
        </w:rPr>
        <w:t>H2030</w:t>
      </w:r>
      <w:r>
        <w:rPr>
          <w:rFonts w:ascii="Arial" w:eastAsia="Arial" w:hAnsi="Arial" w:cs="Arial"/>
          <w:color w:val="000000"/>
        </w:rPr>
        <w:t xml:space="preserve"> </w:t>
      </w:r>
      <w:r w:rsidRPr="0020570A">
        <w:rPr>
          <w:rFonts w:ascii="Arial" w:eastAsia="Arial" w:hAnsi="Arial" w:cs="Arial"/>
          <w:color w:val="000000"/>
        </w:rPr>
        <w:t>(</w:t>
      </w:r>
      <w:r>
        <w:rPr>
          <w:rFonts w:ascii="Arial" w:eastAsia="Arial" w:hAnsi="Arial" w:cs="Arial"/>
          <w:color w:val="000000"/>
        </w:rPr>
        <w:t xml:space="preserve">human, </w:t>
      </w:r>
      <w:r w:rsidRPr="0020570A">
        <w:rPr>
          <w:rFonts w:ascii="Arial" w:eastAsia="Arial" w:hAnsi="Arial" w:cs="Arial"/>
          <w:color w:val="000000"/>
        </w:rPr>
        <w:t>B)</w:t>
      </w:r>
      <w:r>
        <w:rPr>
          <w:rFonts w:ascii="Arial" w:eastAsia="Arial" w:hAnsi="Arial" w:cs="Arial"/>
          <w:color w:val="000000"/>
        </w:rPr>
        <w:t xml:space="preserve">, </w:t>
      </w:r>
      <w:r w:rsidRPr="006739C6">
        <w:rPr>
          <w:rFonts w:ascii="Arial" w:eastAsia="Arial" w:hAnsi="Arial" w:cs="Arial"/>
          <w:color w:val="000000"/>
        </w:rPr>
        <w:t>H1792 (</w:t>
      </w:r>
      <w:r>
        <w:rPr>
          <w:rFonts w:ascii="Arial" w:eastAsia="Arial" w:hAnsi="Arial" w:cs="Arial"/>
          <w:color w:val="000000"/>
        </w:rPr>
        <w:t>human, C</w:t>
      </w:r>
      <w:r w:rsidRPr="006739C6">
        <w:rPr>
          <w:rFonts w:ascii="Arial" w:eastAsia="Arial" w:hAnsi="Arial" w:cs="Arial"/>
          <w:color w:val="000000"/>
        </w:rPr>
        <w:t>) and 511950 (mouse</w:t>
      </w:r>
      <w:r>
        <w:rPr>
          <w:rFonts w:ascii="Arial" w:eastAsia="Arial" w:hAnsi="Arial" w:cs="Arial"/>
          <w:color w:val="000000"/>
        </w:rPr>
        <w:t>, D)</w:t>
      </w:r>
      <w:r w:rsidRPr="006739C6">
        <w:rPr>
          <w:rFonts w:ascii="Arial" w:eastAsia="Arial" w:hAnsi="Arial" w:cs="Arial"/>
          <w:color w:val="000000"/>
        </w:rPr>
        <w:t xml:space="preserve"> cells treated with indicated drugs (PARPi: 5 </w:t>
      </w:r>
      <w:r>
        <w:rPr>
          <w:rFonts w:ascii="Arial" w:hAnsi="Arial" w:cs="Arial"/>
        </w:rPr>
        <w:t>μ</w:t>
      </w:r>
      <w:r w:rsidRPr="006739C6">
        <w:rPr>
          <w:rFonts w:ascii="Arial" w:eastAsia="Arial" w:hAnsi="Arial" w:cs="Arial"/>
          <w:color w:val="000000"/>
        </w:rPr>
        <w:t xml:space="preserve">M; KRASi: 5 </w:t>
      </w:r>
      <w:r>
        <w:rPr>
          <w:rFonts w:ascii="Arial" w:hAnsi="Arial" w:cs="Arial"/>
        </w:rPr>
        <w:t>μ</w:t>
      </w:r>
      <w:r w:rsidRPr="006739C6">
        <w:rPr>
          <w:rFonts w:ascii="Arial" w:eastAsia="Arial" w:hAnsi="Arial" w:cs="Arial"/>
          <w:color w:val="000000"/>
        </w:rPr>
        <w:t xml:space="preserve">M, 0.5 </w:t>
      </w:r>
      <w:r>
        <w:rPr>
          <w:rFonts w:ascii="Arial" w:hAnsi="Arial" w:cs="Arial"/>
        </w:rPr>
        <w:t>μ</w:t>
      </w:r>
      <w:r w:rsidRPr="006739C6">
        <w:rPr>
          <w:rFonts w:ascii="Arial" w:eastAsia="Arial" w:hAnsi="Arial" w:cs="Arial"/>
          <w:color w:val="000000"/>
        </w:rPr>
        <w:t xml:space="preserve">M and 2.5 </w:t>
      </w:r>
      <w:r>
        <w:rPr>
          <w:rFonts w:ascii="Arial" w:hAnsi="Arial" w:cs="Arial"/>
        </w:rPr>
        <w:t>μ</w:t>
      </w:r>
      <w:r w:rsidRPr="006739C6">
        <w:rPr>
          <w:rFonts w:ascii="Arial" w:eastAsia="Arial" w:hAnsi="Arial" w:cs="Arial"/>
          <w:color w:val="000000"/>
        </w:rPr>
        <w:t>M respectively) until the emergence of resistance (n = 1 biological experiment).</w:t>
      </w:r>
      <w:r>
        <w:rPr>
          <w:rFonts w:ascii="Arial" w:eastAsia="Arial" w:hAnsi="Arial" w:cs="Arial"/>
          <w:color w:val="000000"/>
        </w:rPr>
        <w:t xml:space="preserve"> </w:t>
      </w:r>
      <w:r>
        <w:rPr>
          <w:rFonts w:ascii="Arial" w:eastAsia="Arial" w:hAnsi="Arial" w:cs="Arial"/>
          <w:b/>
          <w:bCs/>
          <w:color w:val="000000"/>
        </w:rPr>
        <w:t xml:space="preserve">E. </w:t>
      </w:r>
      <w:r>
        <w:rPr>
          <w:rFonts w:ascii="Arial" w:eastAsia="Arial" w:hAnsi="Arial" w:cs="Arial"/>
          <w:color w:val="000000"/>
        </w:rPr>
        <w:t xml:space="preserve">RAD51 and BRCA2 protein expression in CRC cell lines (LS513, RW7213 and C106) treated with KRASi (100 nM MRTX1133, 50 nM and 1 </w:t>
      </w:r>
      <w:r>
        <w:rPr>
          <w:rFonts w:ascii="Arial" w:hAnsi="Arial" w:cs="Arial"/>
        </w:rPr>
        <w:t>μ</w:t>
      </w:r>
      <w:r w:rsidRPr="0020570A">
        <w:rPr>
          <w:rFonts w:ascii="Arial" w:eastAsia="Arial" w:hAnsi="Arial" w:cs="Arial"/>
          <w:color w:val="000000"/>
        </w:rPr>
        <w:t>M</w:t>
      </w:r>
      <w:r>
        <w:rPr>
          <w:rFonts w:ascii="Arial" w:eastAsia="Arial" w:hAnsi="Arial" w:cs="Arial"/>
          <w:color w:val="000000"/>
        </w:rPr>
        <w:t xml:space="preserve"> sotorasib respectively) and EGFRi (cetuximab: </w:t>
      </w:r>
      <w:r w:rsidRPr="006739C6">
        <w:rPr>
          <w:rFonts w:ascii="Arial" w:eastAsia="Arial" w:hAnsi="Arial" w:cs="Arial"/>
          <w:color w:val="000000"/>
        </w:rPr>
        <w:t xml:space="preserve">CTX, 50 </w:t>
      </w:r>
      <w:r w:rsidRPr="006739C6">
        <w:rPr>
          <w:rFonts w:ascii="Arial" w:hAnsi="Arial" w:cs="Arial"/>
        </w:rPr>
        <w:t>μ</w:t>
      </w:r>
      <w:r w:rsidRPr="006739C6">
        <w:rPr>
          <w:rFonts w:ascii="Arial" w:eastAsia="Arial" w:hAnsi="Arial" w:cs="Arial"/>
          <w:color w:val="000000"/>
        </w:rPr>
        <w:t xml:space="preserve">g/mL) for 72 and 96 h (loading control: vinculin). </w:t>
      </w:r>
      <w:r w:rsidRPr="006739C6">
        <w:rPr>
          <w:rFonts w:ascii="Arial" w:eastAsia="Arial" w:hAnsi="Arial" w:cs="Arial"/>
          <w:b/>
          <w:bCs/>
          <w:color w:val="000000"/>
        </w:rPr>
        <w:t>F and G.</w:t>
      </w:r>
      <w:r w:rsidRPr="006739C6">
        <w:rPr>
          <w:rFonts w:ascii="Arial" w:eastAsia="Arial" w:hAnsi="Arial" w:cs="Arial"/>
          <w:color w:val="000000"/>
        </w:rPr>
        <w:t xml:space="preserve"> Growth of RW7213 (F) and C106 (G) CRC cells treated with indicated drugs (PARPi: 5 </w:t>
      </w:r>
      <w:r>
        <w:rPr>
          <w:rFonts w:ascii="Arial" w:hAnsi="Arial" w:cs="Arial"/>
        </w:rPr>
        <w:t>μ</w:t>
      </w:r>
      <w:r w:rsidRPr="006739C6">
        <w:rPr>
          <w:rFonts w:ascii="Arial" w:eastAsia="Arial" w:hAnsi="Arial" w:cs="Arial"/>
          <w:color w:val="000000"/>
        </w:rPr>
        <w:t xml:space="preserve">M; KRASi: 0.05 </w:t>
      </w:r>
      <w:r>
        <w:rPr>
          <w:rFonts w:ascii="Arial" w:hAnsi="Arial" w:cs="Arial"/>
        </w:rPr>
        <w:t>μ</w:t>
      </w:r>
      <w:r w:rsidRPr="006739C6">
        <w:rPr>
          <w:rFonts w:ascii="Arial" w:eastAsia="Arial" w:hAnsi="Arial" w:cs="Arial"/>
          <w:color w:val="000000"/>
        </w:rPr>
        <w:t xml:space="preserve">M and 1 </w:t>
      </w:r>
      <w:r>
        <w:rPr>
          <w:rFonts w:ascii="Arial" w:hAnsi="Arial" w:cs="Arial"/>
        </w:rPr>
        <w:t>μ</w:t>
      </w:r>
      <w:r w:rsidRPr="006739C6">
        <w:rPr>
          <w:rFonts w:ascii="Arial" w:eastAsia="Arial" w:hAnsi="Arial" w:cs="Arial"/>
          <w:color w:val="000000"/>
        </w:rPr>
        <w:t>M respectively; EGFRi (CTX): 50 mg/mL) until the emergence of resistance (n = 1 biological experiment).</w:t>
      </w:r>
      <w:r>
        <w:rPr>
          <w:rFonts w:ascii="Arial" w:eastAsia="Arial" w:hAnsi="Arial" w:cs="Arial"/>
          <w:color w:val="000000"/>
        </w:rPr>
        <w:t xml:space="preserve"> </w:t>
      </w:r>
      <w:r>
        <w:rPr>
          <w:rFonts w:ascii="Arial" w:eastAsia="Arial" w:hAnsi="Arial" w:cs="Arial"/>
          <w:b/>
          <w:bCs/>
          <w:color w:val="000000"/>
        </w:rPr>
        <w:t>H</w:t>
      </w:r>
      <w:r w:rsidRPr="007C26E6">
        <w:rPr>
          <w:rFonts w:ascii="Arial" w:eastAsia="Arial" w:hAnsi="Arial" w:cs="Arial"/>
          <w:b/>
          <w:bCs/>
          <w:color w:val="000000"/>
        </w:rPr>
        <w:t>.</w:t>
      </w:r>
      <w:r w:rsidRPr="006739C6">
        <w:rPr>
          <w:rFonts w:ascii="Arial" w:eastAsia="Arial" w:hAnsi="Arial" w:cs="Arial"/>
          <w:color w:val="000000"/>
        </w:rPr>
        <w:t xml:space="preserve"> Subcutaneous growth of T1 cell-derived tumors treated with indicated drugs (PARPi: </w:t>
      </w:r>
      <w:r>
        <w:rPr>
          <w:rFonts w:ascii="Arial" w:eastAsia="Arial" w:hAnsi="Arial" w:cs="Arial"/>
          <w:color w:val="000000"/>
        </w:rPr>
        <w:t>50</w:t>
      </w:r>
      <w:r w:rsidR="00C239EB">
        <w:rPr>
          <w:rFonts w:ascii="Arial" w:eastAsia="Arial" w:hAnsi="Arial" w:cs="Arial"/>
          <w:color w:val="000000"/>
        </w:rPr>
        <w:t xml:space="preserve"> mg/k</w:t>
      </w:r>
      <w:r w:rsidRPr="006739C6">
        <w:rPr>
          <w:rFonts w:ascii="Arial" w:eastAsia="Arial" w:hAnsi="Arial" w:cs="Arial"/>
          <w:color w:val="000000"/>
        </w:rPr>
        <w:t xml:space="preserve">g; KRASi: </w:t>
      </w:r>
      <w:r>
        <w:rPr>
          <w:rFonts w:ascii="Arial" w:eastAsia="Arial" w:hAnsi="Arial" w:cs="Arial"/>
          <w:color w:val="000000"/>
        </w:rPr>
        <w:t>30</w:t>
      </w:r>
      <w:r w:rsidR="00C239EB">
        <w:rPr>
          <w:rFonts w:ascii="Arial" w:eastAsia="Arial" w:hAnsi="Arial" w:cs="Arial"/>
          <w:color w:val="000000"/>
        </w:rPr>
        <w:t xml:space="preserve"> mg/k</w:t>
      </w:r>
      <w:r w:rsidRPr="006739C6">
        <w:rPr>
          <w:rFonts w:ascii="Arial" w:eastAsia="Arial" w:hAnsi="Arial" w:cs="Arial"/>
          <w:color w:val="000000"/>
        </w:rPr>
        <w:t xml:space="preserve">g). N= 8-12 tumors per group in F1 C57BL/6 x 129S4/Sv mice (data: mean +/- SEM; test: </w:t>
      </w:r>
      <w:r w:rsidRPr="006739C6">
        <w:rPr>
          <w:rFonts w:ascii="Arial" w:eastAsia="Arial" w:hAnsi="Arial" w:cs="Arial"/>
        </w:rPr>
        <w:t>two</w:t>
      </w:r>
      <w:r w:rsidRPr="009B5DC9">
        <w:rPr>
          <w:rFonts w:ascii="Arial" w:eastAsia="Arial" w:hAnsi="Arial" w:cs="Arial"/>
        </w:rPr>
        <w:t>-way ANOVA, Tukey’s multiple comparisons</w:t>
      </w:r>
      <w:r w:rsidRPr="006739C6">
        <w:rPr>
          <w:rFonts w:ascii="Arial" w:eastAsia="Arial" w:hAnsi="Arial" w:cs="Arial"/>
          <w:color w:val="000000"/>
        </w:rPr>
        <w:t>).</w:t>
      </w:r>
      <w:r>
        <w:rPr>
          <w:rFonts w:ascii="Arial" w:eastAsia="Arial" w:hAnsi="Arial" w:cs="Arial"/>
          <w:color w:val="000000"/>
        </w:rPr>
        <w:t xml:space="preserve"> </w:t>
      </w:r>
      <w:r>
        <w:rPr>
          <w:rFonts w:ascii="Arial" w:eastAsia="Arial" w:hAnsi="Arial" w:cs="Arial"/>
          <w:b/>
          <w:bCs/>
          <w:color w:val="000000"/>
        </w:rPr>
        <w:t>I</w:t>
      </w:r>
      <w:r w:rsidRPr="007C26E6">
        <w:rPr>
          <w:rFonts w:ascii="Arial" w:eastAsia="Arial" w:hAnsi="Arial" w:cs="Arial"/>
          <w:b/>
          <w:bCs/>
          <w:color w:val="000000"/>
        </w:rPr>
        <w:t>.</w:t>
      </w:r>
      <w:r w:rsidRPr="006739C6">
        <w:rPr>
          <w:rFonts w:ascii="Arial" w:eastAsia="Arial" w:hAnsi="Arial" w:cs="Arial"/>
          <w:color w:val="000000"/>
        </w:rPr>
        <w:t xml:space="preserve"> Waterfall plots of tumors from </w:t>
      </w:r>
      <w:r>
        <w:rPr>
          <w:rFonts w:ascii="Arial" w:eastAsia="Arial" w:hAnsi="Arial" w:cs="Arial"/>
          <w:color w:val="000000"/>
        </w:rPr>
        <w:t>H</w:t>
      </w:r>
      <w:r w:rsidRPr="006739C6">
        <w:rPr>
          <w:rFonts w:ascii="Arial" w:eastAsia="Arial" w:hAnsi="Arial" w:cs="Arial"/>
          <w:color w:val="000000"/>
        </w:rPr>
        <w:t xml:space="preserve"> (T1) at the last day of experiment represented as percent </w:t>
      </w:r>
      <w:r>
        <w:rPr>
          <w:rFonts w:ascii="Arial" w:eastAsia="Arial" w:hAnsi="Arial" w:cs="Arial"/>
          <w:color w:val="000000"/>
        </w:rPr>
        <w:t xml:space="preserve">growth </w:t>
      </w:r>
      <w:r w:rsidRPr="006739C6">
        <w:rPr>
          <w:rFonts w:ascii="Arial" w:eastAsia="Arial" w:hAnsi="Arial" w:cs="Arial"/>
          <w:color w:val="000000"/>
        </w:rPr>
        <w:t>fold change (test</w:t>
      </w:r>
      <w:r>
        <w:rPr>
          <w:rFonts w:ascii="Arial" w:eastAsia="Arial" w:hAnsi="Arial" w:cs="Arial"/>
          <w:color w:val="000000"/>
        </w:rPr>
        <w:t xml:space="preserve">: </w:t>
      </w:r>
      <w:r w:rsidRPr="009B5DC9">
        <w:rPr>
          <w:rFonts w:ascii="Arial" w:eastAsia="Arial" w:hAnsi="Arial" w:cs="Arial"/>
        </w:rPr>
        <w:t>Kruskal-Wallis</w:t>
      </w:r>
      <w:r w:rsidRPr="006739C6">
        <w:rPr>
          <w:rFonts w:ascii="Arial" w:eastAsia="Arial" w:hAnsi="Arial" w:cs="Arial"/>
          <w:color w:val="000000"/>
        </w:rPr>
        <w:t>).</w:t>
      </w:r>
      <w:r>
        <w:rPr>
          <w:rFonts w:ascii="Arial" w:eastAsia="Arial" w:hAnsi="Arial" w:cs="Arial"/>
          <w:color w:val="000000"/>
        </w:rPr>
        <w:t xml:space="preserve"> </w:t>
      </w:r>
      <w:r>
        <w:rPr>
          <w:rFonts w:ascii="Arial" w:eastAsia="Arial" w:hAnsi="Arial" w:cs="Arial"/>
          <w:b/>
          <w:bCs/>
          <w:color w:val="000000"/>
        </w:rPr>
        <w:t>J</w:t>
      </w:r>
      <w:r w:rsidRPr="007C26E6">
        <w:rPr>
          <w:rFonts w:ascii="Arial" w:eastAsia="Arial" w:hAnsi="Arial" w:cs="Arial"/>
          <w:b/>
          <w:bCs/>
          <w:color w:val="000000"/>
        </w:rPr>
        <w:t>.</w:t>
      </w:r>
      <w:r w:rsidRPr="006739C6">
        <w:rPr>
          <w:rFonts w:ascii="Arial" w:eastAsia="Arial" w:hAnsi="Arial" w:cs="Arial"/>
          <w:color w:val="000000"/>
        </w:rPr>
        <w:t xml:space="preserve"> Subcutaneous growth of 511950 cell-derived tumors treated with indicated drugs (PARPi: </w:t>
      </w:r>
      <w:r>
        <w:rPr>
          <w:rFonts w:ascii="Arial" w:eastAsia="Arial" w:hAnsi="Arial" w:cs="Arial"/>
          <w:color w:val="000000"/>
        </w:rPr>
        <w:t>50</w:t>
      </w:r>
      <w:r w:rsidR="00C239EB">
        <w:rPr>
          <w:rFonts w:ascii="Arial" w:eastAsia="Arial" w:hAnsi="Arial" w:cs="Arial"/>
          <w:color w:val="000000"/>
        </w:rPr>
        <w:t xml:space="preserve"> mg/k</w:t>
      </w:r>
      <w:r w:rsidRPr="006739C6">
        <w:rPr>
          <w:rFonts w:ascii="Arial" w:eastAsia="Arial" w:hAnsi="Arial" w:cs="Arial"/>
          <w:color w:val="000000"/>
        </w:rPr>
        <w:t xml:space="preserve">g; KRASi: </w:t>
      </w:r>
      <w:r>
        <w:rPr>
          <w:rFonts w:ascii="Arial" w:eastAsia="Arial" w:hAnsi="Arial" w:cs="Arial"/>
          <w:color w:val="000000"/>
        </w:rPr>
        <w:t>10</w:t>
      </w:r>
      <w:r w:rsidR="00C239EB">
        <w:rPr>
          <w:rFonts w:ascii="Arial" w:eastAsia="Arial" w:hAnsi="Arial" w:cs="Arial"/>
          <w:color w:val="000000"/>
        </w:rPr>
        <w:t xml:space="preserve"> mg/k</w:t>
      </w:r>
      <w:bookmarkStart w:id="1" w:name="_GoBack"/>
      <w:bookmarkEnd w:id="1"/>
      <w:r w:rsidRPr="006739C6">
        <w:rPr>
          <w:rFonts w:ascii="Arial" w:eastAsia="Arial" w:hAnsi="Arial" w:cs="Arial"/>
          <w:color w:val="000000"/>
        </w:rPr>
        <w:t>g). N= 8-12 tumors per group in F1 C57BL/6 x 129S4/Sv mice (data: mean +/- SEM; test:</w:t>
      </w:r>
      <w:r>
        <w:rPr>
          <w:rFonts w:ascii="Arial" w:eastAsia="Arial" w:hAnsi="Arial" w:cs="Arial"/>
          <w:color w:val="000000"/>
        </w:rPr>
        <w:t xml:space="preserve"> </w:t>
      </w:r>
      <w:r w:rsidRPr="009B5DC9">
        <w:rPr>
          <w:rFonts w:ascii="Arial" w:eastAsia="Arial" w:hAnsi="Arial" w:cs="Arial"/>
        </w:rPr>
        <w:t xml:space="preserve">two-way ANOVA, Sidak’s </w:t>
      </w:r>
      <w:r>
        <w:rPr>
          <w:rFonts w:ascii="Arial" w:eastAsia="Arial" w:hAnsi="Arial" w:cs="Arial"/>
        </w:rPr>
        <w:t>multiple comparisons</w:t>
      </w:r>
      <w:r w:rsidRPr="006739C6">
        <w:rPr>
          <w:rFonts w:ascii="Arial" w:eastAsia="Arial" w:hAnsi="Arial" w:cs="Arial"/>
          <w:color w:val="000000"/>
        </w:rPr>
        <w:t>).</w:t>
      </w:r>
      <w:r>
        <w:rPr>
          <w:rFonts w:ascii="Arial" w:eastAsia="Arial" w:hAnsi="Arial" w:cs="Arial"/>
          <w:color w:val="000000"/>
        </w:rPr>
        <w:t xml:space="preserve"> </w:t>
      </w:r>
      <w:r>
        <w:rPr>
          <w:rFonts w:ascii="Arial" w:eastAsia="Arial" w:hAnsi="Arial" w:cs="Arial"/>
          <w:b/>
          <w:bCs/>
          <w:color w:val="000000"/>
        </w:rPr>
        <w:t>K</w:t>
      </w:r>
      <w:r w:rsidRPr="007C26E6">
        <w:rPr>
          <w:rFonts w:ascii="Arial" w:eastAsia="Arial" w:hAnsi="Arial" w:cs="Arial"/>
          <w:b/>
          <w:bCs/>
          <w:color w:val="000000"/>
        </w:rPr>
        <w:t>.</w:t>
      </w:r>
      <w:r w:rsidRPr="006739C6">
        <w:rPr>
          <w:rFonts w:ascii="Arial" w:eastAsia="Arial" w:hAnsi="Arial" w:cs="Arial"/>
          <w:color w:val="000000"/>
        </w:rPr>
        <w:t xml:space="preserve"> Waterfall plots of tumors from </w:t>
      </w:r>
      <w:r>
        <w:rPr>
          <w:rFonts w:ascii="Arial" w:eastAsia="Arial" w:hAnsi="Arial" w:cs="Arial"/>
          <w:color w:val="000000"/>
        </w:rPr>
        <w:t>J</w:t>
      </w:r>
      <w:r w:rsidRPr="006739C6">
        <w:rPr>
          <w:rFonts w:ascii="Arial" w:eastAsia="Arial" w:hAnsi="Arial" w:cs="Arial"/>
          <w:color w:val="000000"/>
        </w:rPr>
        <w:t xml:space="preserve"> (511950) at day 15 of experiment represented as percent </w:t>
      </w:r>
      <w:r>
        <w:rPr>
          <w:rFonts w:ascii="Arial" w:eastAsia="Arial" w:hAnsi="Arial" w:cs="Arial"/>
          <w:color w:val="000000"/>
        </w:rPr>
        <w:t xml:space="preserve">growth </w:t>
      </w:r>
      <w:r w:rsidRPr="006739C6">
        <w:rPr>
          <w:rFonts w:ascii="Arial" w:eastAsia="Arial" w:hAnsi="Arial" w:cs="Arial"/>
          <w:color w:val="000000"/>
        </w:rPr>
        <w:t>fold change (</w:t>
      </w:r>
      <w:r w:rsidRPr="00AF241C">
        <w:rPr>
          <w:rFonts w:ascii="Arial" w:eastAsia="Arial" w:hAnsi="Arial" w:cs="Arial"/>
          <w:color w:val="000000"/>
        </w:rPr>
        <w:t xml:space="preserve">test: </w:t>
      </w:r>
      <w:r w:rsidRPr="009B5DC9">
        <w:rPr>
          <w:rFonts w:ascii="Arial" w:eastAsia="Arial" w:hAnsi="Arial" w:cs="Arial"/>
        </w:rPr>
        <w:t>Brown Forsythe and Welch ANOVA</w:t>
      </w:r>
      <w:r w:rsidRPr="006739C6">
        <w:rPr>
          <w:rFonts w:ascii="Arial" w:eastAsia="Arial" w:hAnsi="Arial" w:cs="Arial"/>
          <w:color w:val="000000"/>
        </w:rPr>
        <w:t>).</w:t>
      </w:r>
      <w:r>
        <w:rPr>
          <w:rFonts w:ascii="Arial" w:eastAsia="Arial" w:hAnsi="Arial" w:cs="Arial"/>
          <w:b/>
          <w:color w:val="000000"/>
        </w:rPr>
        <w:t xml:space="preserve"> </w:t>
      </w:r>
      <w:r>
        <w:rPr>
          <w:rFonts w:ascii="Arial" w:eastAsia="Arial" w:hAnsi="Arial" w:cs="Arial"/>
          <w:b/>
          <w:bCs/>
          <w:color w:val="000000"/>
        </w:rPr>
        <w:t>L</w:t>
      </w:r>
      <w:r w:rsidRPr="007C26E6">
        <w:rPr>
          <w:rFonts w:ascii="Arial" w:eastAsia="Arial" w:hAnsi="Arial" w:cs="Arial"/>
          <w:b/>
          <w:bCs/>
          <w:color w:val="000000"/>
        </w:rPr>
        <w:t>.</w:t>
      </w:r>
      <w:r w:rsidRPr="006739C6">
        <w:rPr>
          <w:rFonts w:ascii="Arial" w:eastAsia="Arial" w:hAnsi="Arial" w:cs="Arial"/>
          <w:color w:val="000000"/>
        </w:rPr>
        <w:t xml:space="preserve"> </w:t>
      </w:r>
      <w:r w:rsidRPr="006739C6">
        <w:rPr>
          <w:rFonts w:ascii="Arial" w:eastAsia="Arial" w:hAnsi="Arial" w:cs="Arial"/>
          <w:color w:val="000000"/>
          <w:lang w:val="en-US"/>
        </w:rPr>
        <w:t>Mouse weight at the start (S) and at the end (E) of subcutaneous growth experiments of NSCLC (H358, T1 and H2030), PDAC (MiaPaca2, HPAFII and 511950) and PDX92</w:t>
      </w:r>
      <w:r w:rsidRPr="006739C6">
        <w:rPr>
          <w:rStyle w:val="CommentReference"/>
          <w:rFonts w:ascii="Arial" w:eastAsia="Arial" w:hAnsi="Arial" w:cs="Arial"/>
          <w:color w:val="000000"/>
          <w:lang w:val="en-US"/>
        </w:rPr>
        <w:t>-tr</w:t>
      </w:r>
      <w:r w:rsidRPr="006739C6">
        <w:rPr>
          <w:rFonts w:ascii="Arial" w:eastAsia="Arial" w:hAnsi="Arial" w:cs="Arial"/>
          <w:color w:val="000000"/>
          <w:lang w:val="en-US"/>
        </w:rPr>
        <w:t>eated with indicated drugs. N: 8-12</w:t>
      </w:r>
      <w:r w:rsidRPr="006739C6">
        <w:rPr>
          <w:rFonts w:ascii="Arial" w:eastAsia="Arial" w:hAnsi="Arial" w:cs="Arial"/>
          <w:color w:val="000000"/>
        </w:rPr>
        <w:t xml:space="preserve"> Rag2</w:t>
      </w:r>
      <w:r w:rsidRPr="006739C6">
        <w:rPr>
          <w:rFonts w:ascii="Arial" w:eastAsia="Arial" w:hAnsi="Arial" w:cs="Arial"/>
          <w:color w:val="000000"/>
          <w:vertAlign w:val="superscript"/>
        </w:rPr>
        <w:t>-/-</w:t>
      </w:r>
      <w:r w:rsidRPr="006739C6">
        <w:rPr>
          <w:rFonts w:ascii="Arial" w:eastAsia="Arial" w:hAnsi="Arial" w:cs="Arial"/>
          <w:color w:val="000000"/>
        </w:rPr>
        <w:t>; Il2</w:t>
      </w:r>
      <w:r w:rsidRPr="006739C6">
        <w:rPr>
          <w:rFonts w:ascii="Arial" w:eastAsia="Arial" w:hAnsi="Arial" w:cs="Arial"/>
          <w:color w:val="000000"/>
          <w:lang w:val="es-ES"/>
        </w:rPr>
        <w:t>γ</w:t>
      </w:r>
      <w:r w:rsidRPr="006739C6">
        <w:rPr>
          <w:rFonts w:ascii="Arial" w:eastAsia="Arial" w:hAnsi="Arial" w:cs="Arial"/>
          <w:color w:val="000000"/>
        </w:rPr>
        <w:t>r</w:t>
      </w:r>
      <w:r w:rsidRPr="006739C6">
        <w:rPr>
          <w:rFonts w:ascii="Arial" w:eastAsia="Arial" w:hAnsi="Arial" w:cs="Arial"/>
          <w:color w:val="000000"/>
          <w:vertAlign w:val="superscript"/>
        </w:rPr>
        <w:t>-/-</w:t>
      </w:r>
      <w:r w:rsidRPr="006739C6">
        <w:rPr>
          <w:rFonts w:ascii="Arial" w:eastAsia="Arial" w:hAnsi="Arial" w:cs="Arial"/>
          <w:color w:val="000000"/>
        </w:rPr>
        <w:t xml:space="preserve"> mice</w:t>
      </w:r>
      <w:r w:rsidRPr="006739C6">
        <w:rPr>
          <w:rFonts w:ascii="Arial" w:eastAsia="Arial" w:hAnsi="Arial" w:cs="Arial"/>
          <w:color w:val="000000"/>
          <w:lang w:val="en-US"/>
        </w:rPr>
        <w:t xml:space="preserve"> (human cell lines) or </w:t>
      </w:r>
      <w:r w:rsidRPr="006739C6">
        <w:rPr>
          <w:rFonts w:ascii="Arial" w:eastAsia="Arial" w:hAnsi="Arial" w:cs="Arial"/>
          <w:color w:val="000000"/>
        </w:rPr>
        <w:t xml:space="preserve">F1 C57BL/6 x 129S4/Sv mice (mouse cell lines) </w:t>
      </w:r>
      <w:r w:rsidRPr="006739C6">
        <w:rPr>
          <w:rFonts w:ascii="Arial" w:eastAsia="Arial" w:hAnsi="Arial" w:cs="Arial"/>
          <w:color w:val="000000"/>
          <w:lang w:val="en-US"/>
        </w:rPr>
        <w:t xml:space="preserve">per group (data: mean +/- SEM; test: </w:t>
      </w:r>
      <w:r w:rsidRPr="006739C6">
        <w:rPr>
          <w:rFonts w:ascii="Arial" w:eastAsia="Arial" w:hAnsi="Arial" w:cs="Arial"/>
          <w:color w:val="000000"/>
        </w:rPr>
        <w:t>one-way ANOVA, Tukey’s adjustment</w:t>
      </w:r>
      <w:r w:rsidRPr="006739C6">
        <w:rPr>
          <w:rFonts w:ascii="Arial" w:eastAsia="Arial" w:hAnsi="Arial" w:cs="Arial"/>
          <w:color w:val="000000"/>
          <w:lang w:val="en-US"/>
        </w:rPr>
        <w:t xml:space="preserve">). </w:t>
      </w:r>
      <w:r w:rsidRPr="006739C6">
        <w:rPr>
          <w:rFonts w:ascii="Arial" w:eastAsia="Arial" w:hAnsi="Arial" w:cs="Arial"/>
          <w:b/>
          <w:bCs/>
          <w:color w:val="000000"/>
          <w:lang w:val="en-US"/>
        </w:rPr>
        <w:t>M.</w:t>
      </w:r>
      <w:r w:rsidRPr="006739C6">
        <w:rPr>
          <w:rFonts w:ascii="Arial" w:eastAsia="Arial" w:hAnsi="Arial" w:cs="Arial"/>
          <w:color w:val="000000"/>
          <w:lang w:val="en-US"/>
        </w:rPr>
        <w:t xml:space="preserve"> Concentration of liver damage serum markers in </w:t>
      </w:r>
      <w:r w:rsidRPr="006739C6">
        <w:rPr>
          <w:rFonts w:ascii="Arial" w:eastAsia="Arial" w:hAnsi="Arial" w:cs="Arial"/>
          <w:color w:val="000000"/>
        </w:rPr>
        <w:t xml:space="preserve">mice from subcutaneous growth experiments of H358, H2030 and T1 cell lines treated with indicated drugs. ALP: alkaline phosphatase; ASP: aspartate aminotransferase; ALT: alanine aminotransferase </w:t>
      </w:r>
      <w:r w:rsidRPr="006739C6">
        <w:rPr>
          <w:rFonts w:ascii="Arial" w:eastAsia="Arial" w:hAnsi="Arial" w:cs="Arial"/>
          <w:color w:val="000000"/>
          <w:lang w:val="en-US"/>
        </w:rPr>
        <w:t xml:space="preserve">(data: mean +/- SEM; test: </w:t>
      </w:r>
      <w:r w:rsidRPr="006739C6">
        <w:rPr>
          <w:rFonts w:ascii="Arial" w:eastAsia="Arial" w:hAnsi="Arial" w:cs="Arial"/>
          <w:color w:val="000000"/>
        </w:rPr>
        <w:t>one-way ANOVA, Tukey’s adjustment</w:t>
      </w:r>
      <w:r w:rsidRPr="006739C6">
        <w:rPr>
          <w:rFonts w:ascii="Arial" w:eastAsia="Arial" w:hAnsi="Arial" w:cs="Arial"/>
          <w:color w:val="000000"/>
          <w:lang w:val="en-US"/>
        </w:rPr>
        <w:t>).</w:t>
      </w:r>
    </w:p>
    <w:p w:rsidR="00A25BF2" w:rsidRDefault="00A25BF2" w:rsidP="00A25BF2">
      <w:pPr>
        <w:spacing w:line="480" w:lineRule="auto"/>
        <w:jc w:val="both"/>
        <w:rPr>
          <w:rFonts w:ascii="Arial" w:eastAsia="Arial" w:hAnsi="Arial" w:cs="Arial"/>
          <w:b/>
          <w:color w:val="000000"/>
        </w:rPr>
      </w:pPr>
    </w:p>
    <w:p w:rsidR="00A25BF2" w:rsidRDefault="00A25BF2" w:rsidP="00A25BF2">
      <w:pPr>
        <w:spacing w:line="480" w:lineRule="auto"/>
        <w:jc w:val="center"/>
        <w:rPr>
          <w:rFonts w:ascii="Arial" w:eastAsia="Arial" w:hAnsi="Arial" w:cs="Arial"/>
          <w:b/>
          <w:color w:val="000000"/>
        </w:rPr>
      </w:pPr>
    </w:p>
    <w:p w:rsidR="00A25BF2" w:rsidRDefault="00A25BF2" w:rsidP="00A25BF2">
      <w:pPr>
        <w:spacing w:line="480" w:lineRule="auto"/>
        <w:jc w:val="center"/>
        <w:rPr>
          <w:rFonts w:ascii="Arial" w:eastAsia="Arial" w:hAnsi="Arial" w:cs="Arial"/>
          <w:b/>
          <w:color w:val="000000"/>
        </w:rPr>
      </w:pPr>
      <w:r>
        <w:object w:dxaOrig="22019" w:dyaOrig="19594">
          <v:shape id="_x0000_i1029" type="#_x0000_t75" style="width:421.5pt;height:374.25pt" o:ole="">
            <v:imagedata r:id="rId16" o:title=""/>
          </v:shape>
          <o:OLEObject Type="Embed" ProgID="Unknown" ShapeID="_x0000_i1029" DrawAspect="Content" ObjectID="_1834650685" r:id="rId17"/>
        </w:object>
      </w:r>
    </w:p>
    <w:p w:rsidR="00A25BF2" w:rsidRDefault="00A25BF2" w:rsidP="00A25BF2">
      <w:pPr>
        <w:spacing w:line="480" w:lineRule="auto"/>
        <w:jc w:val="both"/>
        <w:rPr>
          <w:rFonts w:ascii="Arial" w:eastAsia="Arial" w:hAnsi="Arial" w:cs="Arial"/>
          <w:color w:val="000000"/>
        </w:rPr>
      </w:pPr>
      <w:r>
        <w:rPr>
          <w:rFonts w:ascii="Arial" w:eastAsia="Arial" w:hAnsi="Arial" w:cs="Arial"/>
          <w:b/>
          <w:color w:val="000000"/>
        </w:rPr>
        <w:t xml:space="preserve">Suppl. Fig. 5. </w:t>
      </w:r>
      <w:r w:rsidRPr="00DC17E3">
        <w:rPr>
          <w:rFonts w:ascii="Arial" w:hAnsi="Arial" w:cs="Arial"/>
          <w:b/>
          <w:bCs/>
        </w:rPr>
        <w:t xml:space="preserve">FOSL1 genetic inhibition renders </w:t>
      </w:r>
      <w:r>
        <w:rPr>
          <w:rFonts w:ascii="Arial" w:hAnsi="Arial" w:cs="Arial"/>
          <w:b/>
          <w:bCs/>
        </w:rPr>
        <w:t xml:space="preserve">NSCLC and PDAC </w:t>
      </w:r>
      <w:r w:rsidRPr="00DC17E3">
        <w:rPr>
          <w:rFonts w:ascii="Arial" w:hAnsi="Arial" w:cs="Arial"/>
          <w:b/>
          <w:bCs/>
        </w:rPr>
        <w:t>cells sensitive to DNA damaging therapies.</w:t>
      </w:r>
      <w:r>
        <w:rPr>
          <w:rFonts w:ascii="Arial" w:hAnsi="Arial" w:cs="Arial"/>
          <w:b/>
          <w:bCs/>
        </w:rPr>
        <w:t xml:space="preserve"> </w:t>
      </w:r>
      <w:r w:rsidRPr="00DC17E3">
        <w:rPr>
          <w:rFonts w:ascii="Arial" w:hAnsi="Arial" w:cs="Arial"/>
          <w:b/>
          <w:bCs/>
        </w:rPr>
        <w:t>A</w:t>
      </w:r>
      <w:r>
        <w:rPr>
          <w:rFonts w:ascii="Arial" w:hAnsi="Arial" w:cs="Arial"/>
          <w:b/>
          <w:bCs/>
        </w:rPr>
        <w:t xml:space="preserve"> and B</w:t>
      </w:r>
      <w:r w:rsidRPr="00DC17E3">
        <w:rPr>
          <w:rFonts w:ascii="Arial" w:hAnsi="Arial" w:cs="Arial"/>
          <w:b/>
          <w:bCs/>
        </w:rPr>
        <w:t>.</w:t>
      </w:r>
      <w:r w:rsidRPr="00DC17E3">
        <w:rPr>
          <w:rFonts w:ascii="Arial" w:hAnsi="Arial" w:cs="Arial"/>
        </w:rPr>
        <w:t xml:space="preserve"> FOSL1 gene expression in responders and non-responders </w:t>
      </w:r>
      <w:r>
        <w:rPr>
          <w:rFonts w:ascii="Arial" w:hAnsi="Arial" w:cs="Arial"/>
        </w:rPr>
        <w:t xml:space="preserve">NSCLC cell lines to </w:t>
      </w:r>
      <w:r w:rsidRPr="00DC17E3">
        <w:rPr>
          <w:rFonts w:ascii="Arial" w:hAnsi="Arial" w:cs="Arial"/>
        </w:rPr>
        <w:t>PARPi</w:t>
      </w:r>
      <w:r>
        <w:rPr>
          <w:rFonts w:ascii="Arial" w:hAnsi="Arial" w:cs="Arial"/>
        </w:rPr>
        <w:t>-s Niraparib</w:t>
      </w:r>
      <w:r w:rsidRPr="00DC17E3">
        <w:rPr>
          <w:rFonts w:ascii="Arial" w:hAnsi="Arial" w:cs="Arial"/>
        </w:rPr>
        <w:t xml:space="preserve"> (</w:t>
      </w:r>
      <w:r>
        <w:rPr>
          <w:rFonts w:ascii="Arial" w:hAnsi="Arial" w:cs="Arial"/>
        </w:rPr>
        <w:t>A</w:t>
      </w:r>
      <w:r w:rsidRPr="00DC17E3">
        <w:rPr>
          <w:rFonts w:ascii="Arial" w:hAnsi="Arial" w:cs="Arial"/>
        </w:rPr>
        <w:t xml:space="preserve">) </w:t>
      </w:r>
      <w:r>
        <w:rPr>
          <w:rFonts w:ascii="Arial" w:hAnsi="Arial" w:cs="Arial"/>
        </w:rPr>
        <w:t xml:space="preserve">and Talazoparib (B) </w:t>
      </w:r>
      <w:r w:rsidRPr="00DC17E3">
        <w:rPr>
          <w:rFonts w:ascii="Arial" w:hAnsi="Arial" w:cs="Arial"/>
        </w:rPr>
        <w:t xml:space="preserve">treatment. Data obtained from Genomics of Drug Sensitivity in Cancer portal (version 2) </w:t>
      </w:r>
      <w:r>
        <w:rPr>
          <w:rFonts w:ascii="Arial" w:hAnsi="Arial" w:cs="Arial"/>
        </w:rPr>
        <w:t xml:space="preserve">via </w:t>
      </w:r>
      <w:r w:rsidRPr="00AF241C">
        <w:rPr>
          <w:rFonts w:ascii="Arial" w:hAnsi="Arial" w:cs="Arial"/>
        </w:rPr>
        <w:t>ROCplot.org</w:t>
      </w:r>
      <w:r w:rsidR="00A16B05">
        <w:rPr>
          <w:rFonts w:ascii="Arial" w:eastAsia="Arial" w:hAnsi="Arial" w:cs="Arial"/>
        </w:rPr>
        <w:fldChar w:fldCharType="begin" w:fldLock="1"/>
      </w:r>
      <w:r w:rsidR="00A16B05">
        <w:rPr>
          <w:rFonts w:ascii="Arial" w:eastAsia="Arial" w:hAnsi="Arial" w:cs="Arial"/>
        </w:rPr>
        <w:instrText>ADDIN CSL_CITATION {"citationItems":[{"id":"ITEM-1","itemData":{"DOI":"10.1002/ijc.32369","ISSN":"10970215","abstract":"Systemic therapy of breast cancer can include chemotherapy, hormonal therapy and targeted therapy. Prognostic biomarkers are able to predict survival and predictive biomarkers are able to predict therapy response. In this report, we describe the initial release of the first available online tool able to identify gene expression-based predictive biomarkers using transcriptomic data of a large set of breast cancer patients. Published gene expression data of 36 publicly available datasets were integrated with treatment data into a unified database. Response to therapy was determined using either author-reported pathological complete response data (n = 1,775) or relapse-free survival status at 5 years (n = 1,329). Treatment data includes chemotherapy (n = 2,108), endocrine therapy (n = 971) and anti-human epidermal growth factor receptor 2 (HER2) therapy (n = 267). The transcriptomic database includes 20,089 unique genes and 54,675 probe sets. Gene expression and therapy response are compared using receiver operating characteristics and Mann–Whitney tests. We demonstrate the utility of the pipeline by cross-validating 23 paclitaxel resistance-associated genes in different molecular subtypes of breast cancer. An additional set of established biomarkers including TP53 for chemotherapy in Luminal breast cancer (p = 1.01E-19, AUC = 0.769), HER2 for trastuzumab therapy (p = 8.4E-04, AUC = 0.629) and PGR for hormonal therapy (p = 8.6E-05, AUC = 0.7), are also endorsed. The tool is designed to validate and rank new predictive biomarker candidates in real time. By analyzing the selected genes in a large set of independent patients, one can select the most robust candidates and quickly eliminate those that are most likely to fail in a clinical setting. The analysis tool is accessible at www.rocplot.org.","author":[{"dropping-particle":"","family":"Fekete","given":"János T.","non-dropping-particle":"","parse-names":false,"suffix":""},{"dropping-particle":"","family":"Győrffy","given":"Balázs","non-dropping-particle":"","parse-names":false,"suffix":""}],"container-title":"International Journal of Cancer","id":"ITEM-1","issue":"11","issued":{"date-parts":[["2019"]]},"title":"ROCplot.org: Validating predictive biomarkers of chemotherapy/hormonal therapy/anti-HER2 therapy using transcriptomic data of 3,104 breast cancer patients","type":"article-journal","volume":"145"},"uris":["http://www.mendeley.com/documents/?uuid=d45babfc-c3a8-3ae8-ac36-615fca7f5d2b"]}],"mendeley":{"formattedCitation":"&lt;sup&gt;1&lt;/sup&gt;","plainTextFormattedCitation":"1","previouslyFormattedCitation":"&lt;sup&gt;1&lt;/sup&gt;"},"properties":{"noteIndex":0},"schema":"https://github.com/citation-style-language/schema/raw/master/csl-citation.json"}</w:instrText>
      </w:r>
      <w:r w:rsidR="00A16B05">
        <w:rPr>
          <w:rFonts w:ascii="Arial" w:eastAsia="Arial" w:hAnsi="Arial" w:cs="Arial"/>
        </w:rPr>
        <w:fldChar w:fldCharType="separate"/>
      </w:r>
      <w:r w:rsidR="00A16B05" w:rsidRPr="00A16B05">
        <w:rPr>
          <w:rFonts w:ascii="Arial" w:eastAsia="Arial" w:hAnsi="Arial" w:cs="Arial"/>
          <w:noProof/>
          <w:vertAlign w:val="superscript"/>
        </w:rPr>
        <w:t>1</w:t>
      </w:r>
      <w:r w:rsidR="00A16B05">
        <w:rPr>
          <w:rFonts w:ascii="Arial" w:eastAsia="Arial" w:hAnsi="Arial" w:cs="Arial"/>
        </w:rPr>
        <w:fldChar w:fldCharType="end"/>
      </w:r>
      <w:r w:rsidRPr="00AF241C">
        <w:rPr>
          <w:rFonts w:ascii="Arial" w:hAnsi="Arial" w:cs="Arial"/>
        </w:rPr>
        <w:t xml:space="preserve"> </w:t>
      </w:r>
      <w:r w:rsidRPr="00DC17E3">
        <w:rPr>
          <w:rFonts w:ascii="Arial" w:hAnsi="Arial" w:cs="Arial"/>
        </w:rPr>
        <w:t>(</w:t>
      </w:r>
      <w:r w:rsidRPr="00AF241C">
        <w:rPr>
          <w:rFonts w:ascii="Arial" w:hAnsi="Arial" w:cs="Arial"/>
        </w:rPr>
        <w:t xml:space="preserve">data: </w:t>
      </w:r>
      <w:r w:rsidRPr="00AF241C">
        <w:rPr>
          <w:rFonts w:ascii="Arial" w:eastAsia="Arial" w:hAnsi="Arial" w:cs="Arial"/>
        </w:rPr>
        <w:t>median ± 95% CI</w:t>
      </w:r>
      <w:r w:rsidRPr="00AF241C">
        <w:rPr>
          <w:rFonts w:ascii="Arial" w:hAnsi="Arial" w:cs="Arial"/>
        </w:rPr>
        <w:t>; test: ROC).</w:t>
      </w:r>
      <w:r>
        <w:rPr>
          <w:rFonts w:ascii="Arial" w:hAnsi="Arial" w:cs="Arial"/>
        </w:rPr>
        <w:t xml:space="preserve"> </w:t>
      </w:r>
      <w:r w:rsidRPr="00AF241C">
        <w:rPr>
          <w:rFonts w:ascii="Arial" w:hAnsi="Arial" w:cs="Arial"/>
          <w:b/>
          <w:bCs/>
        </w:rPr>
        <w:t>C.</w:t>
      </w:r>
      <w:r>
        <w:rPr>
          <w:rFonts w:ascii="Arial" w:hAnsi="Arial" w:cs="Arial"/>
        </w:rPr>
        <w:t xml:space="preserve"> FOSL1 protein expression</w:t>
      </w:r>
      <w:r w:rsidRPr="001C4568">
        <w:rPr>
          <w:rFonts w:ascii="Arial" w:hAnsi="Arial" w:cs="Arial"/>
        </w:rPr>
        <w:t xml:space="preserve"> </w:t>
      </w:r>
      <w:r>
        <w:rPr>
          <w:rFonts w:ascii="Arial" w:hAnsi="Arial" w:cs="Arial"/>
        </w:rPr>
        <w:t xml:space="preserve">of H358 TET_FOSL1sh and HPAFII TET_FOSL1 cell lines treated with 2 μM of doxycycline, at the end of TTP assay (loading control: HSP90). </w:t>
      </w:r>
      <w:r w:rsidRPr="00AF241C">
        <w:rPr>
          <w:rFonts w:ascii="Arial" w:hAnsi="Arial" w:cs="Arial"/>
          <w:b/>
          <w:bCs/>
        </w:rPr>
        <w:t>D.</w:t>
      </w:r>
      <w:r>
        <w:rPr>
          <w:rFonts w:ascii="Arial" w:hAnsi="Arial" w:cs="Arial"/>
        </w:rPr>
        <w:t xml:space="preserve"> </w:t>
      </w:r>
      <w:r w:rsidRPr="00DC17E3">
        <w:rPr>
          <w:rFonts w:ascii="Arial" w:eastAsia="Arial" w:hAnsi="Arial" w:cs="Arial"/>
          <w:color w:val="000000"/>
        </w:rPr>
        <w:t xml:space="preserve">Kaplan-Meier plot showing overall survival of </w:t>
      </w:r>
      <w:r>
        <w:rPr>
          <w:rFonts w:ascii="Arial" w:eastAsia="Arial" w:hAnsi="Arial" w:cs="Arial"/>
          <w:color w:val="000000"/>
        </w:rPr>
        <w:t>NSCLC</w:t>
      </w:r>
      <w:r w:rsidRPr="00DC17E3">
        <w:rPr>
          <w:rFonts w:ascii="Arial" w:eastAsia="Arial" w:hAnsi="Arial" w:cs="Arial"/>
          <w:color w:val="000000"/>
        </w:rPr>
        <w:t xml:space="preserve"> patients treated </w:t>
      </w:r>
      <w:r>
        <w:rPr>
          <w:rFonts w:ascii="Arial" w:eastAsia="Arial" w:hAnsi="Arial" w:cs="Arial"/>
          <w:color w:val="000000"/>
        </w:rPr>
        <w:t xml:space="preserve">exclusively with </w:t>
      </w:r>
      <w:r w:rsidRPr="00DC17E3">
        <w:rPr>
          <w:rFonts w:ascii="Arial" w:eastAsia="Arial" w:hAnsi="Arial" w:cs="Arial"/>
          <w:color w:val="000000"/>
        </w:rPr>
        <w:t>chemotherapy</w:t>
      </w:r>
      <w:r>
        <w:rPr>
          <w:rFonts w:ascii="Arial" w:eastAsia="Arial" w:hAnsi="Arial" w:cs="Arial"/>
          <w:color w:val="000000"/>
        </w:rPr>
        <w:t xml:space="preserve"> (CT)</w:t>
      </w:r>
      <w:r w:rsidRPr="00DC17E3">
        <w:rPr>
          <w:rFonts w:ascii="Arial" w:eastAsia="Arial" w:hAnsi="Arial" w:cs="Arial"/>
          <w:color w:val="000000"/>
        </w:rPr>
        <w:t xml:space="preserve"> as a function of FOSL1 expression </w:t>
      </w:r>
      <w:r>
        <w:rPr>
          <w:rFonts w:ascii="Arial" w:eastAsia="Arial" w:hAnsi="Arial" w:cs="Arial"/>
          <w:color w:val="000000"/>
        </w:rPr>
        <w:t xml:space="preserve">using KM plotter </w:t>
      </w:r>
      <w:r w:rsidRPr="00DC17E3">
        <w:rPr>
          <w:rFonts w:ascii="Arial" w:eastAsia="Arial" w:hAnsi="Arial" w:cs="Arial"/>
          <w:color w:val="000000"/>
        </w:rPr>
        <w:t>(test: Logrank).</w:t>
      </w:r>
    </w:p>
    <w:p w:rsidR="00A25BF2" w:rsidRDefault="00A25BF2" w:rsidP="00A25BF2">
      <w:pPr>
        <w:spacing w:line="480" w:lineRule="auto"/>
        <w:jc w:val="both"/>
        <w:rPr>
          <w:rFonts w:ascii="Arial" w:eastAsia="Arial" w:hAnsi="Arial" w:cs="Arial"/>
          <w:color w:val="000000"/>
        </w:rPr>
      </w:pPr>
    </w:p>
    <w:p w:rsidR="00A25BF2" w:rsidRDefault="00A25BF2" w:rsidP="00A25BF2">
      <w:pPr>
        <w:spacing w:line="480" w:lineRule="auto"/>
        <w:jc w:val="both"/>
        <w:rPr>
          <w:rFonts w:ascii="Arial" w:eastAsia="Arial" w:hAnsi="Arial" w:cs="Arial"/>
          <w:color w:val="000000"/>
        </w:rPr>
      </w:pPr>
    </w:p>
    <w:p w:rsidR="00A25BF2" w:rsidRDefault="00A25BF2" w:rsidP="00A25BF2">
      <w:pPr>
        <w:spacing w:line="480" w:lineRule="auto"/>
        <w:jc w:val="both"/>
        <w:rPr>
          <w:rFonts w:ascii="Arial" w:eastAsia="Arial" w:hAnsi="Arial" w:cs="Arial"/>
          <w:color w:val="000000"/>
        </w:rPr>
      </w:pPr>
    </w:p>
    <w:p w:rsidR="00A25BF2" w:rsidRDefault="00A25BF2" w:rsidP="00A25BF2">
      <w:pPr>
        <w:spacing w:line="480" w:lineRule="auto"/>
        <w:jc w:val="both"/>
        <w:rPr>
          <w:rFonts w:ascii="Arial" w:eastAsia="Arial" w:hAnsi="Arial" w:cs="Arial"/>
          <w:color w:val="000000"/>
        </w:rPr>
      </w:pPr>
    </w:p>
    <w:p w:rsidR="00A25BF2" w:rsidRDefault="00A25BF2" w:rsidP="00A25BF2">
      <w:pPr>
        <w:spacing w:line="480" w:lineRule="auto"/>
        <w:jc w:val="both"/>
        <w:rPr>
          <w:rFonts w:ascii="Arial" w:eastAsia="Arial" w:hAnsi="Arial" w:cs="Arial"/>
          <w:color w:val="000000"/>
        </w:rPr>
      </w:pPr>
    </w:p>
    <w:p w:rsidR="00A25BF2" w:rsidRPr="00A25BF2" w:rsidRDefault="00A25BF2" w:rsidP="000003E8">
      <w:pPr>
        <w:spacing w:line="480" w:lineRule="auto"/>
        <w:jc w:val="both"/>
        <w:rPr>
          <w:rFonts w:ascii="Arial" w:eastAsia="Arial" w:hAnsi="Arial" w:cs="Arial"/>
          <w:b/>
          <w:color w:val="000000"/>
        </w:rPr>
      </w:pPr>
      <w:r w:rsidRPr="00A25BF2">
        <w:rPr>
          <w:rFonts w:ascii="Arial" w:eastAsia="Arial" w:hAnsi="Arial" w:cs="Arial"/>
          <w:b/>
          <w:color w:val="000000"/>
        </w:rPr>
        <w:t>SUPPLEMENTARY TABLE LEGENDS</w:t>
      </w:r>
      <w:r>
        <w:rPr>
          <w:rFonts w:ascii="Arial" w:eastAsia="Arial" w:hAnsi="Arial" w:cs="Arial"/>
          <w:b/>
          <w:color w:val="000000"/>
        </w:rPr>
        <w:t xml:space="preserve"> (for Suppl. Tables uploaded as individual Excel files)</w:t>
      </w:r>
    </w:p>
    <w:p w:rsidR="00A25BF2" w:rsidRPr="000003E8" w:rsidRDefault="000003E8" w:rsidP="000003E8">
      <w:pPr>
        <w:spacing w:line="480" w:lineRule="auto"/>
        <w:jc w:val="both"/>
        <w:rPr>
          <w:rFonts w:ascii="Arial" w:hAnsi="Arial" w:cs="Arial"/>
          <w:b/>
        </w:rPr>
      </w:pPr>
      <w:r w:rsidRPr="000003E8">
        <w:rPr>
          <w:rFonts w:ascii="Arial" w:hAnsi="Arial" w:cs="Arial"/>
          <w:b/>
        </w:rPr>
        <w:t xml:space="preserve">-  </w:t>
      </w:r>
      <w:r w:rsidR="00A25BF2" w:rsidRPr="000003E8">
        <w:rPr>
          <w:rFonts w:ascii="Arial" w:hAnsi="Arial" w:cs="Arial"/>
          <w:b/>
        </w:rPr>
        <w:t>Suppl. Table 1. (related to Figure 1A-D).</w:t>
      </w:r>
      <w:r>
        <w:rPr>
          <w:rFonts w:ascii="Arial" w:hAnsi="Arial" w:cs="Arial"/>
          <w:b/>
        </w:rPr>
        <w:t xml:space="preserve"> </w:t>
      </w:r>
      <w:r w:rsidR="001606E6" w:rsidRPr="000003E8">
        <w:rPr>
          <w:rFonts w:ascii="Arial" w:hAnsi="Arial" w:cs="Arial"/>
        </w:rPr>
        <w:t>Limma analysis of differentially expressed genes in H358 or HPAFII cells expressing a KRAS shRNA or a control (GFP) shRNA</w:t>
      </w:r>
      <w:r>
        <w:rPr>
          <w:rFonts w:ascii="Arial" w:hAnsi="Arial" w:cs="Arial"/>
        </w:rPr>
        <w:t>;</w:t>
      </w:r>
      <w:r w:rsidR="001606E6" w:rsidRPr="000003E8">
        <w:rPr>
          <w:rFonts w:ascii="Arial" w:hAnsi="Arial" w:cs="Arial"/>
        </w:rPr>
        <w:t xml:space="preserve"> H358 </w:t>
      </w:r>
      <w:r>
        <w:rPr>
          <w:rFonts w:ascii="Arial" w:hAnsi="Arial" w:cs="Arial"/>
        </w:rPr>
        <w:t xml:space="preserve">cells </w:t>
      </w:r>
      <w:r w:rsidR="001606E6" w:rsidRPr="000003E8">
        <w:rPr>
          <w:rFonts w:ascii="Arial" w:hAnsi="Arial" w:cs="Arial"/>
        </w:rPr>
        <w:t xml:space="preserve">treated with vehicle or sotorasib (1 </w:t>
      </w:r>
      <w:r>
        <w:rPr>
          <w:rFonts w:ascii="Arial" w:hAnsi="Arial" w:cs="Arial"/>
        </w:rPr>
        <w:t>μ</w:t>
      </w:r>
      <w:r w:rsidRPr="000003E8">
        <w:rPr>
          <w:rFonts w:ascii="Arial" w:hAnsi="Arial" w:cs="Arial"/>
        </w:rPr>
        <w:t xml:space="preserve"> </w:t>
      </w:r>
      <w:r w:rsidR="001606E6" w:rsidRPr="000003E8">
        <w:rPr>
          <w:rFonts w:ascii="Arial" w:hAnsi="Arial" w:cs="Arial"/>
        </w:rPr>
        <w:t>M) for 24 hours</w:t>
      </w:r>
      <w:r>
        <w:rPr>
          <w:rFonts w:ascii="Arial" w:hAnsi="Arial" w:cs="Arial"/>
        </w:rPr>
        <w:t>;</w:t>
      </w:r>
      <w:r w:rsidR="001606E6" w:rsidRPr="000003E8">
        <w:rPr>
          <w:rFonts w:ascii="Arial" w:hAnsi="Arial" w:cs="Arial"/>
        </w:rPr>
        <w:t xml:space="preserve"> HPAFII </w:t>
      </w:r>
      <w:r>
        <w:rPr>
          <w:rFonts w:ascii="Arial" w:hAnsi="Arial" w:cs="Arial"/>
        </w:rPr>
        <w:t xml:space="preserve">cells treated with MRTX1133 (1 μM); and LKR10 cells expressing a non-targeting (nt), a </w:t>
      </w:r>
      <w:r w:rsidRPr="000003E8">
        <w:rPr>
          <w:rFonts w:ascii="Arial" w:hAnsi="Arial" w:cs="Arial"/>
          <w:i/>
        </w:rPr>
        <w:t>Trp53</w:t>
      </w:r>
      <w:r>
        <w:rPr>
          <w:rFonts w:ascii="Arial" w:hAnsi="Arial" w:cs="Arial"/>
        </w:rPr>
        <w:t xml:space="preserve">, a </w:t>
      </w:r>
      <w:r w:rsidRPr="000003E8">
        <w:rPr>
          <w:rFonts w:ascii="Arial" w:hAnsi="Arial" w:cs="Arial"/>
          <w:i/>
        </w:rPr>
        <w:t>Stk11</w:t>
      </w:r>
      <w:r>
        <w:rPr>
          <w:rFonts w:ascii="Arial" w:hAnsi="Arial" w:cs="Arial"/>
        </w:rPr>
        <w:t xml:space="preserve">, or a </w:t>
      </w:r>
      <w:r w:rsidRPr="000003E8">
        <w:rPr>
          <w:rFonts w:ascii="Arial" w:hAnsi="Arial" w:cs="Arial"/>
          <w:i/>
        </w:rPr>
        <w:t>Keap1</w:t>
      </w:r>
      <w:r>
        <w:rPr>
          <w:rFonts w:ascii="Arial" w:hAnsi="Arial" w:cs="Arial"/>
        </w:rPr>
        <w:t xml:space="preserve"> sgRNA and treated with RMC-7977 (1 μM) for 24 hours.</w:t>
      </w:r>
    </w:p>
    <w:p w:rsidR="00A25BF2" w:rsidRPr="000003E8" w:rsidRDefault="000003E8" w:rsidP="000003E8">
      <w:pPr>
        <w:spacing w:line="480" w:lineRule="auto"/>
        <w:jc w:val="both"/>
        <w:rPr>
          <w:rFonts w:ascii="Arial" w:hAnsi="Arial" w:cs="Arial"/>
          <w:b/>
        </w:rPr>
      </w:pPr>
      <w:r w:rsidRPr="000003E8">
        <w:rPr>
          <w:rFonts w:ascii="Arial" w:hAnsi="Arial" w:cs="Arial"/>
          <w:b/>
        </w:rPr>
        <w:t xml:space="preserve">-  </w:t>
      </w:r>
      <w:r w:rsidR="00A25BF2" w:rsidRPr="000003E8">
        <w:rPr>
          <w:rFonts w:ascii="Arial" w:hAnsi="Arial" w:cs="Arial"/>
          <w:b/>
        </w:rPr>
        <w:t>Suppl. Table 2. (related to Figure 1E).</w:t>
      </w:r>
      <w:r>
        <w:rPr>
          <w:rFonts w:ascii="Arial" w:hAnsi="Arial" w:cs="Arial"/>
          <w:b/>
        </w:rPr>
        <w:t xml:space="preserve"> </w:t>
      </w:r>
      <w:r>
        <w:rPr>
          <w:rFonts w:ascii="Arial" w:hAnsi="Arial" w:cs="Arial"/>
        </w:rPr>
        <w:t>Limma analysis of HUCCT1, KKU-213A, FC1242 and KPch cell lines treated with RMC-7977 (1 μM) for 24 hours, and KLA cells</w:t>
      </w:r>
      <w:r w:rsidRPr="000003E8">
        <w:rPr>
          <w:rFonts w:ascii="Arial" w:hAnsi="Arial" w:cs="Arial"/>
        </w:rPr>
        <w:t xml:space="preserve"> </w:t>
      </w:r>
      <w:r>
        <w:rPr>
          <w:rFonts w:ascii="Arial" w:hAnsi="Arial" w:cs="Arial"/>
        </w:rPr>
        <w:t xml:space="preserve">expressing a non-targeting (nt), a </w:t>
      </w:r>
      <w:r w:rsidRPr="000003E8">
        <w:rPr>
          <w:rFonts w:ascii="Arial" w:hAnsi="Arial" w:cs="Arial"/>
          <w:i/>
        </w:rPr>
        <w:t>Trp53</w:t>
      </w:r>
      <w:r>
        <w:rPr>
          <w:rFonts w:ascii="Arial" w:hAnsi="Arial" w:cs="Arial"/>
        </w:rPr>
        <w:t xml:space="preserve">, a </w:t>
      </w:r>
      <w:r w:rsidRPr="000003E8">
        <w:rPr>
          <w:rFonts w:ascii="Arial" w:hAnsi="Arial" w:cs="Arial"/>
          <w:i/>
        </w:rPr>
        <w:t>Stk11</w:t>
      </w:r>
      <w:r>
        <w:rPr>
          <w:rFonts w:ascii="Arial" w:hAnsi="Arial" w:cs="Arial"/>
        </w:rPr>
        <w:t xml:space="preserve">, or a </w:t>
      </w:r>
      <w:r w:rsidRPr="000003E8">
        <w:rPr>
          <w:rFonts w:ascii="Arial" w:hAnsi="Arial" w:cs="Arial"/>
          <w:i/>
        </w:rPr>
        <w:t>Keap1</w:t>
      </w:r>
      <w:r>
        <w:rPr>
          <w:rFonts w:ascii="Arial" w:hAnsi="Arial" w:cs="Arial"/>
        </w:rPr>
        <w:t xml:space="preserve"> sgRNA and treated with MRTX1133 (1 μM) for 24 hours.</w:t>
      </w:r>
    </w:p>
    <w:p w:rsidR="00A25BF2" w:rsidRPr="00A16B05" w:rsidRDefault="000003E8" w:rsidP="000003E8">
      <w:pPr>
        <w:spacing w:line="480" w:lineRule="auto"/>
        <w:jc w:val="both"/>
        <w:rPr>
          <w:rFonts w:ascii="Arial" w:hAnsi="Arial" w:cs="Arial"/>
          <w:b/>
        </w:rPr>
      </w:pPr>
      <w:r w:rsidRPr="000003E8">
        <w:rPr>
          <w:rFonts w:ascii="Arial" w:hAnsi="Arial" w:cs="Arial"/>
          <w:b/>
        </w:rPr>
        <w:t xml:space="preserve">- </w:t>
      </w:r>
      <w:r w:rsidR="00A25BF2" w:rsidRPr="000003E8">
        <w:rPr>
          <w:rFonts w:ascii="Arial" w:hAnsi="Arial" w:cs="Arial"/>
          <w:b/>
        </w:rPr>
        <w:t>Suppl. Table 3 (related to Fi</w:t>
      </w:r>
      <w:r w:rsidR="00A16B05">
        <w:rPr>
          <w:rFonts w:ascii="Arial" w:hAnsi="Arial" w:cs="Arial"/>
          <w:b/>
        </w:rPr>
        <w:t xml:space="preserve">gure 3H). </w:t>
      </w:r>
      <w:r>
        <w:rPr>
          <w:rFonts w:ascii="Arial" w:hAnsi="Arial" w:cs="Arial"/>
        </w:rPr>
        <w:t xml:space="preserve">Limma analysis of </w:t>
      </w:r>
      <w:r w:rsidRPr="000003E8">
        <w:rPr>
          <w:rFonts w:ascii="Arial" w:hAnsi="Arial" w:cs="Arial"/>
        </w:rPr>
        <w:t xml:space="preserve">RNA-seq data from a NSCLC patient treated with sotorasib from which multiple </w:t>
      </w:r>
      <w:r>
        <w:rPr>
          <w:rFonts w:ascii="Arial" w:hAnsi="Arial" w:cs="Arial"/>
        </w:rPr>
        <w:t xml:space="preserve">lymph node tumor </w:t>
      </w:r>
      <w:r w:rsidRPr="000003E8">
        <w:rPr>
          <w:rFonts w:ascii="Arial" w:hAnsi="Arial" w:cs="Arial"/>
        </w:rPr>
        <w:t xml:space="preserve">lesions were </w:t>
      </w:r>
      <w:r>
        <w:rPr>
          <w:rFonts w:ascii="Arial" w:hAnsi="Arial" w:cs="Arial"/>
        </w:rPr>
        <w:t>biopsied pre and posttreatment</w:t>
      </w:r>
      <w:r>
        <w:rPr>
          <w:rFonts w:ascii="Arial" w:eastAsia="Arial" w:hAnsi="Arial" w:cs="Arial"/>
        </w:rPr>
        <w:fldChar w:fldCharType="begin" w:fldLock="1"/>
      </w:r>
      <w:r w:rsidR="00A16B05">
        <w:rPr>
          <w:rFonts w:ascii="Arial" w:eastAsia="Arial" w:hAnsi="Arial" w:cs="Arial"/>
        </w:rPr>
        <w:instrText>ADDIN CSL_CITATION {"citationItems":[{"id":"ITEM-1","itemData":{"DOI":"10.1172/JCI155523","ISSN":"15588238","abstract":"BACKGROUND. The KRAS proto-oncogene is among the most frequently mutated genes in cancer, yet for 40 years it remained an elusive therapeutic target. Recently, allosteric inhibitors that covalently bind to KRAS G12C mutations have been approved for use in lung adenocarcinomas. Although responses are observed, they are often short-lived, thus making in-depth characterization of the mechanisms of resistance of paramount importance. METHODS. Here, we present a rapid-autopsy case of a patient who had a KRASG12C-mutant lung adenocarcinoma who initially responded to a KRAS G12C inhibitor but then rapidly developed resistance. Using deep-RNA and whole-exome sequencing comparing pretreatment, posttreatment, and matched normal tissues, we uncover numerous mechanisms of resistance to direct KRAS inhibition. RESULTS. In addition to decreased KRAS G12C-mutant allele frequency in refractory tumors, we also found reactivation of the MAPK pathway despite no new mutations in KRAS or its downstream mediators. Tumor cell-intrinsic and non-cell autonomous mechanisms included increased complement activation, coagulation, and tumor angiogenesis, and several lines of evidence of immunologic evasion. CONCLUSION. Together, our findings reveal numerous mechanisms of resistance to current KRAS G12C inhibitors through enrichment of clonal populations, KRAS-independent downstream signaling, and diverse remodeling of the tumor microenvironment.","author":[{"dropping-particle":"","family":"Tsai","given":"Yihsuan S.","non-dropping-particle":"","parse-names":false,"suffix":""},{"dropping-particle":"","family":"Woodcock","given":"Mark G.","non-dropping-particle":"","parse-names":false,"suffix":""},{"dropping-particle":"","family":"Azam","given":"Salma H.","non-dropping-particle":"","parse-names":false,"suffix":""},{"dropping-particle":"","family":"Thorne","given":"Leigh B.","non-dropping-particle":"","parse-names":false,"suffix":""},{"dropping-particle":"","family":"Kanchi","given":"Krishna L.","non-dropping-particle":"","parse-names":false,"suffix":""},{"dropping-particle":"","family":"Parker","given":"Joel S.","non-dropping-particle":"","parse-names":false,"suffix":""},{"dropping-particle":"","family":"Vincent","given":"Benjamin G.","non-dropping-particle":"","parse-names":false,"suffix":""},{"dropping-particle":"V.","family":"Pecot","given":"Chad","non-dropping-particle":"","parse-names":false,"suffix":""}],"container-title":"Journal of Clinical Investigation","id":"ITEM-1","issue":"4","issued":{"date-parts":[["2022"]]},"title":"Rapid idiosyncratic mechanisms of clinical resistance to KRAS G12C inhibition","type":"article-journal","volume":"132"},"uris":["http://www.mendeley.com/documents/?uuid=c58dae73-e193-34bd-ba98-27b1a2632a6d"]}],"mendeley":{"formattedCitation":"&lt;sup&gt;2&lt;/sup&gt;","plainTextFormattedCitation":"2","previouslyFormattedCitation":"&lt;sup&gt;2&lt;/sup&gt;"},"properties":{"noteIndex":0},"schema":"https://github.com/citation-style-language/schema/raw/master/csl-citation.json"}</w:instrText>
      </w:r>
      <w:r>
        <w:rPr>
          <w:rFonts w:ascii="Arial" w:eastAsia="Arial" w:hAnsi="Arial" w:cs="Arial"/>
        </w:rPr>
        <w:fldChar w:fldCharType="separate"/>
      </w:r>
      <w:r w:rsidR="00A16B05" w:rsidRPr="00A16B05">
        <w:rPr>
          <w:rFonts w:ascii="Arial" w:eastAsia="Arial" w:hAnsi="Arial" w:cs="Arial"/>
          <w:noProof/>
          <w:vertAlign w:val="superscript"/>
        </w:rPr>
        <w:t>2</w:t>
      </w:r>
      <w:r>
        <w:rPr>
          <w:rFonts w:ascii="Arial" w:eastAsia="Arial" w:hAnsi="Arial" w:cs="Arial"/>
        </w:rPr>
        <w:fldChar w:fldCharType="end"/>
      </w:r>
      <w:r>
        <w:rPr>
          <w:rFonts w:ascii="Arial" w:eastAsia="Arial" w:hAnsi="Arial" w:cs="Arial"/>
        </w:rPr>
        <w:t>.</w:t>
      </w:r>
    </w:p>
    <w:p w:rsidR="00A25BF2" w:rsidRDefault="000003E8" w:rsidP="000003E8">
      <w:pPr>
        <w:spacing w:line="480" w:lineRule="auto"/>
        <w:jc w:val="both"/>
        <w:rPr>
          <w:rFonts w:ascii="Arial" w:hAnsi="Arial" w:cs="Arial"/>
          <w:b/>
        </w:rPr>
      </w:pPr>
      <w:r w:rsidRPr="000003E8">
        <w:rPr>
          <w:rFonts w:ascii="Arial" w:hAnsi="Arial" w:cs="Arial"/>
          <w:b/>
        </w:rPr>
        <w:t xml:space="preserve">- </w:t>
      </w:r>
      <w:r w:rsidR="00A25BF2" w:rsidRPr="000003E8">
        <w:rPr>
          <w:rFonts w:ascii="Arial" w:hAnsi="Arial" w:cs="Arial"/>
          <w:b/>
        </w:rPr>
        <w:t>Suppl. Table 4 (related to Figure 5A-E)</w:t>
      </w:r>
      <w:r>
        <w:rPr>
          <w:rFonts w:ascii="Arial" w:hAnsi="Arial" w:cs="Arial"/>
          <w:b/>
        </w:rPr>
        <w:t>.</w:t>
      </w:r>
      <w:r w:rsidR="00A16B05">
        <w:rPr>
          <w:rFonts w:ascii="Arial" w:hAnsi="Arial" w:cs="Arial"/>
          <w:b/>
        </w:rPr>
        <w:t xml:space="preserve"> </w:t>
      </w:r>
      <w:r w:rsidR="00A16B05" w:rsidRPr="00A16B05">
        <w:rPr>
          <w:rFonts w:ascii="Arial" w:hAnsi="Arial" w:cs="Arial"/>
        </w:rPr>
        <w:t>Step-by-step integrative analysis to identify transcriptional regulators of KKRAS-regulated, PARPi-sensitizing genes common to H358 and HPAFII cells.</w:t>
      </w:r>
    </w:p>
    <w:p w:rsidR="00A16B05" w:rsidRDefault="00A16B05" w:rsidP="000003E8">
      <w:pPr>
        <w:spacing w:line="480" w:lineRule="auto"/>
        <w:jc w:val="both"/>
        <w:rPr>
          <w:rFonts w:ascii="Arial" w:hAnsi="Arial" w:cs="Arial"/>
          <w:b/>
        </w:rPr>
      </w:pPr>
    </w:p>
    <w:p w:rsidR="00A16B05" w:rsidRDefault="00A16B05" w:rsidP="000003E8">
      <w:pPr>
        <w:spacing w:line="480" w:lineRule="auto"/>
        <w:jc w:val="both"/>
        <w:rPr>
          <w:rFonts w:ascii="Arial" w:hAnsi="Arial" w:cs="Arial"/>
          <w:b/>
        </w:rPr>
      </w:pPr>
    </w:p>
    <w:p w:rsidR="00A16B05" w:rsidRDefault="00A16B05" w:rsidP="000003E8">
      <w:pPr>
        <w:spacing w:line="480" w:lineRule="auto"/>
        <w:jc w:val="both"/>
        <w:rPr>
          <w:rFonts w:ascii="Arial" w:hAnsi="Arial" w:cs="Arial"/>
          <w:b/>
        </w:rPr>
      </w:pPr>
      <w:r>
        <w:rPr>
          <w:rFonts w:ascii="Arial" w:hAnsi="Arial" w:cs="Arial"/>
          <w:b/>
        </w:rPr>
        <w:t>SUPPLEMENTARY REFERENCES</w:t>
      </w:r>
    </w:p>
    <w:p w:rsidR="00A16B05" w:rsidRPr="00A16B05" w:rsidRDefault="00A16B05" w:rsidP="00A16B05">
      <w:pPr>
        <w:widowControl w:val="0"/>
        <w:autoSpaceDE w:val="0"/>
        <w:autoSpaceDN w:val="0"/>
        <w:adjustRightInd w:val="0"/>
        <w:spacing w:line="480" w:lineRule="auto"/>
        <w:ind w:left="640" w:hanging="640"/>
        <w:rPr>
          <w:rFonts w:ascii="Arial" w:hAnsi="Arial" w:cs="Arial"/>
          <w:noProof/>
        </w:rPr>
      </w:pPr>
      <w:r>
        <w:rPr>
          <w:rFonts w:ascii="Arial" w:hAnsi="Arial" w:cs="Arial"/>
          <w:b/>
        </w:rPr>
        <w:fldChar w:fldCharType="begin" w:fldLock="1"/>
      </w:r>
      <w:r>
        <w:rPr>
          <w:rFonts w:ascii="Arial" w:hAnsi="Arial" w:cs="Arial"/>
          <w:b/>
        </w:rPr>
        <w:instrText xml:space="preserve">ADDIN Mendeley Bibliography CSL_BIBLIOGRAPHY </w:instrText>
      </w:r>
      <w:r>
        <w:rPr>
          <w:rFonts w:ascii="Arial" w:hAnsi="Arial" w:cs="Arial"/>
          <w:b/>
        </w:rPr>
        <w:fldChar w:fldCharType="separate"/>
      </w:r>
      <w:r w:rsidRPr="00A16B05">
        <w:rPr>
          <w:rFonts w:ascii="Arial" w:hAnsi="Arial" w:cs="Arial"/>
          <w:noProof/>
        </w:rPr>
        <w:t>1.</w:t>
      </w:r>
      <w:r w:rsidRPr="00A16B05">
        <w:rPr>
          <w:rFonts w:ascii="Arial" w:hAnsi="Arial" w:cs="Arial"/>
          <w:noProof/>
        </w:rPr>
        <w:tab/>
        <w:t xml:space="preserve">Fekete, J. T. &amp; Győrffy, B. ROCplot.org: Validating predictive biomarkers of chemotherapy/hormonal therapy/anti-HER2 therapy using transcriptomic data of 3,104 breast cancer patients. </w:t>
      </w:r>
      <w:r w:rsidRPr="00A16B05">
        <w:rPr>
          <w:rFonts w:ascii="Arial" w:hAnsi="Arial" w:cs="Arial"/>
          <w:i/>
          <w:iCs/>
          <w:noProof/>
        </w:rPr>
        <w:t>Int. J. Cancer</w:t>
      </w:r>
      <w:r w:rsidRPr="00A16B05">
        <w:rPr>
          <w:rFonts w:ascii="Arial" w:hAnsi="Arial" w:cs="Arial"/>
          <w:noProof/>
        </w:rPr>
        <w:t xml:space="preserve"> </w:t>
      </w:r>
      <w:r w:rsidRPr="00A16B05">
        <w:rPr>
          <w:rFonts w:ascii="Arial" w:hAnsi="Arial" w:cs="Arial"/>
          <w:b/>
          <w:bCs/>
          <w:noProof/>
        </w:rPr>
        <w:t>145</w:t>
      </w:r>
      <w:r w:rsidRPr="00A16B05">
        <w:rPr>
          <w:rFonts w:ascii="Arial" w:hAnsi="Arial" w:cs="Arial"/>
          <w:noProof/>
        </w:rPr>
        <w:t>, (2019).</w:t>
      </w:r>
    </w:p>
    <w:p w:rsidR="00A16B05" w:rsidRPr="00A16B05" w:rsidRDefault="00A16B05" w:rsidP="00A16B05">
      <w:pPr>
        <w:widowControl w:val="0"/>
        <w:autoSpaceDE w:val="0"/>
        <w:autoSpaceDN w:val="0"/>
        <w:adjustRightInd w:val="0"/>
        <w:spacing w:line="480" w:lineRule="auto"/>
        <w:ind w:left="640" w:hanging="640"/>
        <w:rPr>
          <w:rFonts w:ascii="Arial" w:hAnsi="Arial" w:cs="Arial"/>
          <w:noProof/>
        </w:rPr>
      </w:pPr>
      <w:r w:rsidRPr="00A16B05">
        <w:rPr>
          <w:rFonts w:ascii="Arial" w:hAnsi="Arial" w:cs="Arial"/>
          <w:noProof/>
        </w:rPr>
        <w:t>2.</w:t>
      </w:r>
      <w:r w:rsidRPr="00A16B05">
        <w:rPr>
          <w:rFonts w:ascii="Arial" w:hAnsi="Arial" w:cs="Arial"/>
          <w:noProof/>
        </w:rPr>
        <w:tab/>
        <w:t xml:space="preserve">Tsai, Y. S. </w:t>
      </w:r>
      <w:r w:rsidRPr="00A16B05">
        <w:rPr>
          <w:rFonts w:ascii="Arial" w:hAnsi="Arial" w:cs="Arial"/>
          <w:i/>
          <w:iCs/>
          <w:noProof/>
        </w:rPr>
        <w:t>et al.</w:t>
      </w:r>
      <w:r w:rsidRPr="00A16B05">
        <w:rPr>
          <w:rFonts w:ascii="Arial" w:hAnsi="Arial" w:cs="Arial"/>
          <w:noProof/>
        </w:rPr>
        <w:t xml:space="preserve"> Rapid idiosyncratic mechanisms of clinical resistance to KRAS G12C inhibition. </w:t>
      </w:r>
      <w:r w:rsidRPr="00A16B05">
        <w:rPr>
          <w:rFonts w:ascii="Arial" w:hAnsi="Arial" w:cs="Arial"/>
          <w:i/>
          <w:iCs/>
          <w:noProof/>
        </w:rPr>
        <w:t>J. Clin. Invest.</w:t>
      </w:r>
      <w:r w:rsidRPr="00A16B05">
        <w:rPr>
          <w:rFonts w:ascii="Arial" w:hAnsi="Arial" w:cs="Arial"/>
          <w:noProof/>
        </w:rPr>
        <w:t xml:space="preserve"> </w:t>
      </w:r>
      <w:r w:rsidRPr="00A16B05">
        <w:rPr>
          <w:rFonts w:ascii="Arial" w:hAnsi="Arial" w:cs="Arial"/>
          <w:b/>
          <w:bCs/>
          <w:noProof/>
        </w:rPr>
        <w:t>132</w:t>
      </w:r>
      <w:r w:rsidRPr="00A16B05">
        <w:rPr>
          <w:rFonts w:ascii="Arial" w:hAnsi="Arial" w:cs="Arial"/>
          <w:noProof/>
        </w:rPr>
        <w:t>, (2022).</w:t>
      </w:r>
    </w:p>
    <w:p w:rsidR="00A16B05" w:rsidRPr="000003E8" w:rsidRDefault="00A16B05" w:rsidP="000003E8">
      <w:pPr>
        <w:spacing w:line="480" w:lineRule="auto"/>
        <w:jc w:val="both"/>
        <w:rPr>
          <w:rFonts w:ascii="Arial" w:hAnsi="Arial" w:cs="Arial"/>
          <w:b/>
        </w:rPr>
      </w:pPr>
      <w:r>
        <w:rPr>
          <w:rFonts w:ascii="Arial" w:hAnsi="Arial" w:cs="Arial"/>
          <w:b/>
        </w:rPr>
        <w:fldChar w:fldCharType="end"/>
      </w:r>
    </w:p>
    <w:p w:rsidR="00071784" w:rsidRDefault="00071784"/>
    <w:sectPr w:rsidR="00071784">
      <w:footerReference w:type="default" r:id="rId1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239EB">
      <w:r>
        <w:separator/>
      </w:r>
    </w:p>
  </w:endnote>
  <w:endnote w:type="continuationSeparator" w:id="0">
    <w:p w:rsidR="00000000" w:rsidRDefault="00C23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3E8" w:rsidRPr="00833D9C" w:rsidRDefault="000003E8">
    <w:pPr>
      <w:pStyle w:val="Footer"/>
      <w:jc w:val="center"/>
      <w:rPr>
        <w:rFonts w:ascii="Arial" w:hAnsi="Arial" w:cs="Arial"/>
        <w:caps/>
        <w:sz w:val="20"/>
        <w:szCs w:val="20"/>
      </w:rPr>
    </w:pPr>
    <w:r w:rsidRPr="00833D9C">
      <w:rPr>
        <w:rFonts w:ascii="Arial" w:hAnsi="Arial" w:cs="Arial"/>
        <w:caps/>
        <w:sz w:val="20"/>
        <w:szCs w:val="20"/>
      </w:rPr>
      <w:fldChar w:fldCharType="begin"/>
    </w:r>
    <w:r w:rsidRPr="00833D9C">
      <w:rPr>
        <w:rFonts w:ascii="Arial" w:hAnsi="Arial" w:cs="Arial"/>
        <w:caps/>
        <w:sz w:val="20"/>
        <w:szCs w:val="20"/>
      </w:rPr>
      <w:instrText>PAGE   \* MERGEFORMAT</w:instrText>
    </w:r>
    <w:r w:rsidRPr="00833D9C">
      <w:rPr>
        <w:rFonts w:ascii="Arial" w:hAnsi="Arial" w:cs="Arial"/>
        <w:caps/>
        <w:sz w:val="20"/>
        <w:szCs w:val="20"/>
      </w:rPr>
      <w:fldChar w:fldCharType="separate"/>
    </w:r>
    <w:r w:rsidR="00C239EB" w:rsidRPr="00C239EB">
      <w:rPr>
        <w:rFonts w:ascii="Arial" w:hAnsi="Arial" w:cs="Arial"/>
        <w:caps/>
        <w:noProof/>
        <w:sz w:val="20"/>
        <w:szCs w:val="20"/>
        <w:lang w:val="es-ES"/>
      </w:rPr>
      <w:t>1</w:t>
    </w:r>
    <w:r w:rsidRPr="00833D9C">
      <w:rPr>
        <w:rFonts w:ascii="Arial" w:hAnsi="Arial" w:cs="Arial"/>
        <w:caps/>
        <w:sz w:val="20"/>
        <w:szCs w:val="20"/>
      </w:rPr>
      <w:fldChar w:fldCharType="end"/>
    </w:r>
  </w:p>
  <w:p w:rsidR="000003E8" w:rsidRDefault="000003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239EB">
      <w:r>
        <w:separator/>
      </w:r>
    </w:p>
  </w:footnote>
  <w:footnote w:type="continuationSeparator" w:id="0">
    <w:p w:rsidR="00000000" w:rsidRDefault="00C239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5697A"/>
    <w:multiLevelType w:val="hybridMultilevel"/>
    <w:tmpl w:val="F356C14E"/>
    <w:lvl w:ilvl="0" w:tplc="340278CE">
      <w:start w:val="1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BF2"/>
    <w:rsid w:val="000003E8"/>
    <w:rsid w:val="00071784"/>
    <w:rsid w:val="001606E6"/>
    <w:rsid w:val="00A16B05"/>
    <w:rsid w:val="00A25BF2"/>
    <w:rsid w:val="00C239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F22B08"/>
  <w15:chartTrackingRefBased/>
  <w15:docId w15:val="{C2752C3F-F2C0-49B6-A79D-EFB35809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BF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25BF2"/>
    <w:rPr>
      <w:sz w:val="16"/>
      <w:szCs w:val="16"/>
    </w:rPr>
  </w:style>
  <w:style w:type="paragraph" w:styleId="Footer">
    <w:name w:val="footer"/>
    <w:basedOn w:val="Normal"/>
    <w:link w:val="FooterChar"/>
    <w:uiPriority w:val="99"/>
    <w:unhideWhenUsed/>
    <w:rsid w:val="00A25BF2"/>
    <w:pPr>
      <w:tabs>
        <w:tab w:val="center" w:pos="4252"/>
        <w:tab w:val="right" w:pos="8504"/>
      </w:tabs>
    </w:pPr>
    <w:rPr>
      <w:lang w:eastAsia="es-ES_tradnl"/>
    </w:rPr>
  </w:style>
  <w:style w:type="character" w:customStyle="1" w:styleId="FooterChar">
    <w:name w:val="Footer Char"/>
    <w:basedOn w:val="DefaultParagraphFont"/>
    <w:link w:val="Footer"/>
    <w:uiPriority w:val="99"/>
    <w:rsid w:val="00A25BF2"/>
    <w:rPr>
      <w:rFonts w:ascii="Times New Roman" w:eastAsia="Times New Roman" w:hAnsi="Times New Roman" w:cs="Times New Roman"/>
      <w:sz w:val="24"/>
      <w:szCs w:val="24"/>
      <w:lang w:val="en-GB" w:eastAsia="es-ES_tradnl"/>
    </w:rPr>
  </w:style>
  <w:style w:type="paragraph" w:styleId="ListParagraph">
    <w:name w:val="List Paragraph"/>
    <w:basedOn w:val="Normal"/>
    <w:uiPriority w:val="34"/>
    <w:qFormat/>
    <w:rsid w:val="00A25B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BC635-D6CA-4CC9-8273-F0D632418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2235</Words>
  <Characters>12297</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Silvestre Vicent Cambra</dc:creator>
  <cp:keywords/>
  <dc:description/>
  <cp:lastModifiedBy>Silvestre Vicent Cambra</cp:lastModifiedBy>
  <cp:revision>2</cp:revision>
  <dcterms:created xsi:type="dcterms:W3CDTF">2026-03-10T09:04:00Z</dcterms:created>
  <dcterms:modified xsi:type="dcterms:W3CDTF">2026-03-10T11:24:00Z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cafbd5ee-3d42-461e-a086-8e2399410c56</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http://www.zotero.org/styles/cancer-discovery</vt:lpwstr>
  </property>
  <property fmtid="{D5CDD505-2E9C-101B-9397-08002B2CF9AE}" pid="10" name="Mendeley Recent Style Name 3_1">
    <vt:lpwstr>Cancer Discovery</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http://www.zotero.org/styles/nature-communications</vt:lpwstr>
  </property>
  <property fmtid="{D5CDD505-2E9C-101B-9397-08002B2CF9AE}" pid="22" name="Mendeley Recent Style Name 9_1">
    <vt:lpwstr>Nature Communications</vt:lpwstr>
  </property>
  <property fmtid="{D5CDD505-2E9C-101B-9397-08002B2CF9AE}" pid="23" name="Mendeley Document_1">
    <vt:lpwstr>True</vt:lpwstr>
  </property>
  <property fmtid="{D5CDD505-2E9C-101B-9397-08002B2CF9AE}" pid="24" name="Mendeley Citation Style_1">
    <vt:lpwstr>http://www.zotero.org/styles/nature-communications</vt:lpwstr>
  </property>
  <property fmtid="{D5CDD505-2E9C-101B-9397-08002B2CF9AE}" pid="25" name="Mendeley Unique User Id_1">
    <vt:lpwstr>ac24e21c-4dd5-3d05-a793-df9b50e8fe14</vt:lpwstr>
  </property>
</Properties>
</file>