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6962" w14:textId="77777777" w:rsidR="00BA38EB" w:rsidRDefault="00BA38EB" w:rsidP="00BA38EB">
      <w:pPr>
        <w:rPr>
          <w:rFonts w:asciiTheme="minorHAnsi" w:hAnsiTheme="minorHAnsi" w:cstheme="minorHAnsi"/>
          <w:b/>
          <w:bCs/>
          <w:sz w:val="22"/>
          <w:lang w:val="en-US"/>
        </w:rPr>
      </w:pPr>
    </w:p>
    <w:p w14:paraId="3BC8107A" w14:textId="77777777" w:rsidR="00BA38EB" w:rsidRDefault="00BA38EB" w:rsidP="00BA38EB">
      <w:pPr>
        <w:rPr>
          <w:rFonts w:asciiTheme="minorHAnsi" w:hAnsiTheme="minorHAnsi" w:cstheme="minorHAnsi"/>
          <w:b/>
          <w:bCs/>
          <w:sz w:val="22"/>
          <w:lang w:val="en-US"/>
        </w:rPr>
      </w:pPr>
    </w:p>
    <w:p w14:paraId="3625CB89" w14:textId="1BDDEF2D" w:rsidR="00BA38EB" w:rsidRPr="00BA38EB" w:rsidRDefault="00BA38EB" w:rsidP="00BA38EB">
      <w:pPr>
        <w:spacing w:line="360" w:lineRule="auto"/>
        <w:jc w:val="center"/>
        <w:rPr>
          <w:rFonts w:asciiTheme="minorHAnsi" w:hAnsiTheme="minorHAnsi" w:cstheme="minorHAnsi"/>
          <w:b/>
          <w:bCs/>
          <w:szCs w:val="28"/>
          <w:lang w:val="en-US"/>
        </w:rPr>
      </w:pPr>
      <w:r w:rsidRPr="00BA38EB">
        <w:rPr>
          <w:rFonts w:asciiTheme="minorHAnsi" w:hAnsiTheme="minorHAnsi" w:cstheme="minorHAnsi"/>
          <w:b/>
          <w:bCs/>
          <w:szCs w:val="28"/>
          <w:lang w:val="en-US"/>
        </w:rPr>
        <w:t>Supp</w:t>
      </w:r>
      <w:r>
        <w:rPr>
          <w:rFonts w:asciiTheme="minorHAnsi" w:hAnsiTheme="minorHAnsi" w:cstheme="minorHAnsi"/>
          <w:b/>
          <w:bCs/>
          <w:szCs w:val="28"/>
          <w:lang w:val="en-US"/>
        </w:rPr>
        <w:t>lementary</w:t>
      </w:r>
      <w:r w:rsidRPr="00BA38EB">
        <w:rPr>
          <w:rFonts w:asciiTheme="minorHAnsi" w:hAnsiTheme="minorHAnsi" w:cstheme="minorHAnsi"/>
          <w:b/>
          <w:bCs/>
          <w:szCs w:val="28"/>
          <w:lang w:val="en-US"/>
        </w:rPr>
        <w:t xml:space="preserve"> information</w:t>
      </w:r>
    </w:p>
    <w:p w14:paraId="4ACB0946" w14:textId="5F24B1FC" w:rsidR="00BA38EB" w:rsidRDefault="00BA38EB" w:rsidP="00BA38EB">
      <w:pPr>
        <w:spacing w:line="360" w:lineRule="auto"/>
        <w:jc w:val="center"/>
        <w:rPr>
          <w:rFonts w:asciiTheme="minorHAnsi" w:hAnsiTheme="minorHAnsi" w:cstheme="minorHAnsi"/>
          <w:b/>
          <w:bCs/>
          <w:szCs w:val="28"/>
          <w:lang w:val="en-US"/>
        </w:rPr>
      </w:pPr>
      <w:r w:rsidRPr="00BA38EB">
        <w:rPr>
          <w:rFonts w:asciiTheme="minorHAnsi" w:hAnsiTheme="minorHAnsi" w:cstheme="minorHAnsi"/>
          <w:b/>
          <w:bCs/>
          <w:szCs w:val="28"/>
          <w:lang w:val="en-US"/>
        </w:rPr>
        <w:t>The effect of titanium dioxide nanoparticles on the structure and electrochemical properties of a PVDF/PSF composite polymer electrolyte for Li-metal battery</w:t>
      </w:r>
    </w:p>
    <w:p w14:paraId="24635400" w14:textId="77777777" w:rsidR="00BA38EB" w:rsidRPr="00BA38EB" w:rsidRDefault="00BA38EB" w:rsidP="00BA38EB">
      <w:pPr>
        <w:spacing w:line="360" w:lineRule="auto"/>
        <w:jc w:val="center"/>
        <w:rPr>
          <w:rFonts w:asciiTheme="minorHAnsi" w:hAnsiTheme="minorHAnsi" w:cstheme="minorHAnsi"/>
          <w:sz w:val="20"/>
          <w:szCs w:val="20"/>
          <w:lang w:val="en-US"/>
        </w:rPr>
      </w:pPr>
    </w:p>
    <w:p w14:paraId="5CEBFFBC" w14:textId="39D6BA3D" w:rsidR="00BA38EB" w:rsidRPr="00BA38EB" w:rsidRDefault="00BA38EB" w:rsidP="00BA38EB">
      <w:pPr>
        <w:jc w:val="center"/>
        <w:rPr>
          <w:rFonts w:asciiTheme="minorHAnsi" w:hAnsiTheme="minorHAnsi" w:cstheme="minorHAnsi"/>
          <w:sz w:val="24"/>
          <w:szCs w:val="24"/>
          <w:lang w:val="en-US"/>
        </w:rPr>
      </w:pPr>
      <w:proofErr w:type="spellStart"/>
      <w:r w:rsidRPr="00BA38EB">
        <w:rPr>
          <w:rFonts w:asciiTheme="minorHAnsi" w:hAnsiTheme="minorHAnsi" w:cstheme="minorHAnsi"/>
          <w:sz w:val="24"/>
          <w:szCs w:val="24"/>
          <w:lang w:val="en-US"/>
        </w:rPr>
        <w:t>Gumennyi</w:t>
      </w:r>
      <w:proofErr w:type="spellEnd"/>
      <w:r w:rsidRPr="00BA38EB">
        <w:rPr>
          <w:rFonts w:asciiTheme="minorHAnsi" w:hAnsiTheme="minorHAnsi" w:cstheme="minorHAnsi"/>
          <w:sz w:val="24"/>
          <w:szCs w:val="24"/>
          <w:lang w:val="en-US"/>
        </w:rPr>
        <w:t xml:space="preserve"> Igor Vladimirovich</w:t>
      </w:r>
      <w:r w:rsidRPr="00BA38EB">
        <w:rPr>
          <w:rFonts w:asciiTheme="minorHAnsi" w:hAnsiTheme="minorHAnsi" w:cstheme="minorHAnsi"/>
          <w:sz w:val="24"/>
          <w:szCs w:val="24"/>
          <w:vertAlign w:val="superscript"/>
          <w:lang w:val="en-US"/>
        </w:rPr>
        <w:t>*a</w:t>
      </w:r>
      <w:r w:rsidRPr="00BA38EB">
        <w:rPr>
          <w:rFonts w:asciiTheme="minorHAnsi" w:hAnsiTheme="minorHAnsi" w:cstheme="minorHAnsi"/>
          <w:sz w:val="24"/>
          <w:szCs w:val="24"/>
          <w:lang w:val="en-US"/>
        </w:rPr>
        <w:t>, Babkin Alexander Vladimirovich</w:t>
      </w:r>
      <w:r w:rsidRPr="00BA38EB">
        <w:rPr>
          <w:rFonts w:asciiTheme="minorHAnsi" w:hAnsiTheme="minorHAnsi" w:cstheme="minorHAnsi"/>
          <w:sz w:val="24"/>
          <w:szCs w:val="24"/>
          <w:vertAlign w:val="superscript"/>
          <w:lang w:val="en-US"/>
        </w:rPr>
        <w:t>b</w:t>
      </w:r>
      <w:r w:rsidRPr="00BA38EB">
        <w:rPr>
          <w:rFonts w:asciiTheme="minorHAnsi" w:hAnsiTheme="minorHAnsi" w:cstheme="minorHAnsi"/>
          <w:sz w:val="24"/>
          <w:szCs w:val="24"/>
          <w:lang w:val="en-US"/>
        </w:rPr>
        <w:t xml:space="preserve">, </w:t>
      </w:r>
      <w:proofErr w:type="spellStart"/>
      <w:r w:rsidRPr="00BA38EB">
        <w:rPr>
          <w:rFonts w:asciiTheme="minorHAnsi" w:hAnsiTheme="minorHAnsi" w:cstheme="minorHAnsi"/>
          <w:sz w:val="24"/>
          <w:szCs w:val="24"/>
          <w:lang w:val="en-US"/>
        </w:rPr>
        <w:t>Govorov</w:t>
      </w:r>
      <w:proofErr w:type="spellEnd"/>
      <w:r w:rsidRPr="00BA38EB">
        <w:rPr>
          <w:rFonts w:asciiTheme="minorHAnsi" w:hAnsiTheme="minorHAnsi" w:cstheme="minorHAnsi"/>
          <w:sz w:val="24"/>
          <w:szCs w:val="24"/>
          <w:lang w:val="en-US"/>
        </w:rPr>
        <w:t xml:space="preserve"> Vitaly Alexandrovich</w:t>
      </w:r>
      <w:r w:rsidRPr="00BA38EB">
        <w:rPr>
          <w:rFonts w:asciiTheme="minorHAnsi" w:hAnsiTheme="minorHAnsi" w:cstheme="minorHAnsi"/>
          <w:sz w:val="24"/>
          <w:szCs w:val="24"/>
          <w:vertAlign w:val="superscript"/>
          <w:lang w:val="en-US"/>
        </w:rPr>
        <w:t>c</w:t>
      </w:r>
      <w:r w:rsidRPr="00BA38EB">
        <w:rPr>
          <w:rFonts w:asciiTheme="minorHAnsi" w:hAnsiTheme="minorHAnsi" w:cstheme="minorHAnsi"/>
          <w:sz w:val="24"/>
          <w:szCs w:val="24"/>
          <w:lang w:val="en-US"/>
        </w:rPr>
        <w:t>, Malkin Alexander Yakovlevich</w:t>
      </w:r>
      <w:r w:rsidRPr="00BA38EB">
        <w:rPr>
          <w:rFonts w:asciiTheme="minorHAnsi" w:hAnsiTheme="minorHAnsi" w:cstheme="minorHAnsi"/>
          <w:sz w:val="24"/>
          <w:szCs w:val="24"/>
          <w:vertAlign w:val="superscript"/>
          <w:lang w:val="en-US"/>
        </w:rPr>
        <w:t>a</w:t>
      </w:r>
      <w:r w:rsidRPr="00BA38EB">
        <w:rPr>
          <w:rFonts w:asciiTheme="minorHAnsi" w:hAnsiTheme="minorHAnsi" w:cstheme="minorHAnsi"/>
          <w:sz w:val="24"/>
          <w:szCs w:val="24"/>
          <w:lang w:val="en-US"/>
        </w:rPr>
        <w:t>, Sergeyev Vladimir Glebovich</w:t>
      </w:r>
      <w:r w:rsidRPr="00BA38EB">
        <w:rPr>
          <w:rFonts w:asciiTheme="minorHAnsi" w:hAnsiTheme="minorHAnsi" w:cstheme="minorHAnsi"/>
          <w:sz w:val="24"/>
          <w:szCs w:val="24"/>
          <w:vertAlign w:val="superscript"/>
          <w:lang w:val="en-US"/>
        </w:rPr>
        <w:t>b</w:t>
      </w:r>
    </w:p>
    <w:p w14:paraId="50A3DA0F" w14:textId="04A98779" w:rsidR="00BA38EB" w:rsidRPr="00BA38EB" w:rsidRDefault="00BA38EB" w:rsidP="00BA38EB">
      <w:pPr>
        <w:jc w:val="center"/>
        <w:rPr>
          <w:rFonts w:asciiTheme="minorHAnsi" w:hAnsiTheme="minorHAnsi" w:cstheme="minorHAnsi"/>
          <w:sz w:val="20"/>
          <w:szCs w:val="20"/>
          <w:lang w:val="en-US"/>
        </w:rPr>
      </w:pPr>
      <w:r w:rsidRPr="00BA38EB">
        <w:rPr>
          <w:rFonts w:asciiTheme="minorHAnsi" w:hAnsiTheme="minorHAnsi" w:cstheme="minorHAnsi"/>
          <w:sz w:val="20"/>
          <w:szCs w:val="20"/>
          <w:vertAlign w:val="superscript"/>
          <w:lang w:val="en-US"/>
        </w:rPr>
        <w:t>a</w:t>
      </w:r>
      <w:r w:rsidRPr="00BA38EB">
        <w:rPr>
          <w:rFonts w:asciiTheme="minorHAnsi" w:hAnsiTheme="minorHAnsi" w:cstheme="minorHAnsi"/>
          <w:sz w:val="20"/>
          <w:szCs w:val="20"/>
          <w:lang w:val="en-US"/>
        </w:rPr>
        <w:t xml:space="preserve"> </w:t>
      </w:r>
      <w:r w:rsidRPr="00BA38EB">
        <w:rPr>
          <w:rFonts w:asciiTheme="minorHAnsi" w:hAnsiTheme="minorHAnsi" w:cstheme="minorHAnsi"/>
          <w:sz w:val="20"/>
          <w:szCs w:val="20"/>
          <w:lang w:val="en-US"/>
        </w:rPr>
        <w:t xml:space="preserve">A.V. </w:t>
      </w:r>
      <w:proofErr w:type="spellStart"/>
      <w:r w:rsidRPr="00BA38EB">
        <w:rPr>
          <w:rFonts w:asciiTheme="minorHAnsi" w:hAnsiTheme="minorHAnsi" w:cstheme="minorHAnsi"/>
          <w:sz w:val="20"/>
          <w:szCs w:val="20"/>
          <w:lang w:val="en-US"/>
        </w:rPr>
        <w:t>Topchiev</w:t>
      </w:r>
      <w:proofErr w:type="spellEnd"/>
      <w:r w:rsidRPr="00BA38EB">
        <w:rPr>
          <w:rFonts w:asciiTheme="minorHAnsi" w:hAnsiTheme="minorHAnsi" w:cstheme="minorHAnsi"/>
          <w:sz w:val="20"/>
          <w:szCs w:val="20"/>
          <w:lang w:val="en-US"/>
        </w:rPr>
        <w:t xml:space="preserve"> Institute of Petrochemical Synthesis, Russian Academy of sciences,</w:t>
      </w:r>
      <w:r w:rsidRPr="00BA38EB">
        <w:rPr>
          <w:rFonts w:asciiTheme="minorHAnsi" w:hAnsiTheme="minorHAnsi" w:cstheme="minorHAnsi"/>
          <w:sz w:val="20"/>
          <w:szCs w:val="20"/>
          <w:lang w:val="en-US"/>
        </w:rPr>
        <w:t xml:space="preserve"> </w:t>
      </w:r>
      <w:r w:rsidRPr="00BA38EB">
        <w:rPr>
          <w:rFonts w:asciiTheme="minorHAnsi" w:hAnsiTheme="minorHAnsi" w:cstheme="minorHAnsi"/>
          <w:sz w:val="20"/>
          <w:szCs w:val="20"/>
          <w:lang w:val="en-US"/>
        </w:rPr>
        <w:t xml:space="preserve">Russia, 119991, Moscow, 29 </w:t>
      </w:r>
      <w:proofErr w:type="spellStart"/>
      <w:r w:rsidRPr="00BA38EB">
        <w:rPr>
          <w:rFonts w:asciiTheme="minorHAnsi" w:hAnsiTheme="minorHAnsi" w:cstheme="minorHAnsi"/>
          <w:sz w:val="20"/>
          <w:szCs w:val="20"/>
          <w:lang w:val="en-US"/>
        </w:rPr>
        <w:t>Leninsky</w:t>
      </w:r>
      <w:proofErr w:type="spellEnd"/>
      <w:r w:rsidRPr="00BA38EB">
        <w:rPr>
          <w:rFonts w:asciiTheme="minorHAnsi" w:hAnsiTheme="minorHAnsi" w:cstheme="minorHAnsi"/>
          <w:sz w:val="20"/>
          <w:szCs w:val="20"/>
          <w:lang w:val="en-US"/>
        </w:rPr>
        <w:t xml:space="preserve"> </w:t>
      </w:r>
      <w:r w:rsidRPr="00BA38EB">
        <w:rPr>
          <w:rFonts w:asciiTheme="minorHAnsi" w:hAnsiTheme="minorHAnsi" w:cstheme="minorHAnsi"/>
          <w:sz w:val="20"/>
          <w:szCs w:val="20"/>
          <w:lang w:val="en-US"/>
        </w:rPr>
        <w:t>p</w:t>
      </w:r>
      <w:r w:rsidRPr="00BA38EB">
        <w:rPr>
          <w:rFonts w:asciiTheme="minorHAnsi" w:hAnsiTheme="minorHAnsi" w:cstheme="minorHAnsi"/>
          <w:sz w:val="20"/>
          <w:szCs w:val="20"/>
          <w:lang w:val="en-US"/>
        </w:rPr>
        <w:t>rospect.</w:t>
      </w:r>
    </w:p>
    <w:p w14:paraId="1B4CAE48" w14:textId="17A04651" w:rsidR="00BA38EB" w:rsidRPr="00BA38EB" w:rsidRDefault="00BA38EB" w:rsidP="00BA38EB">
      <w:pPr>
        <w:jc w:val="center"/>
        <w:rPr>
          <w:rFonts w:asciiTheme="minorHAnsi" w:hAnsiTheme="minorHAnsi" w:cstheme="minorHAnsi"/>
          <w:sz w:val="20"/>
          <w:szCs w:val="20"/>
          <w:lang w:val="en-US"/>
        </w:rPr>
      </w:pPr>
      <w:r w:rsidRPr="00BA38EB">
        <w:rPr>
          <w:rFonts w:asciiTheme="minorHAnsi" w:hAnsiTheme="minorHAnsi" w:cstheme="minorHAnsi"/>
          <w:sz w:val="20"/>
          <w:szCs w:val="20"/>
          <w:vertAlign w:val="superscript"/>
          <w:lang w:val="en-US"/>
        </w:rPr>
        <w:t>b</w:t>
      </w:r>
      <w:r w:rsidRPr="00BA38EB">
        <w:rPr>
          <w:rFonts w:asciiTheme="minorHAnsi" w:hAnsiTheme="minorHAnsi" w:cstheme="minorHAnsi"/>
          <w:sz w:val="20"/>
          <w:szCs w:val="20"/>
          <w:lang w:val="en-US"/>
        </w:rPr>
        <w:t xml:space="preserve"> </w:t>
      </w:r>
      <w:r w:rsidRPr="00BA38EB">
        <w:rPr>
          <w:rFonts w:asciiTheme="minorHAnsi" w:hAnsiTheme="minorHAnsi" w:cstheme="minorHAnsi"/>
          <w:sz w:val="20"/>
          <w:szCs w:val="20"/>
          <w:lang w:val="en-US"/>
        </w:rPr>
        <w:t>Department of Chemistry, M.V. Lomonosov Moscow State University</w:t>
      </w:r>
      <w:r w:rsidRPr="00BA38EB">
        <w:rPr>
          <w:rFonts w:asciiTheme="minorHAnsi" w:hAnsiTheme="minorHAnsi" w:cstheme="minorHAnsi"/>
          <w:sz w:val="20"/>
          <w:szCs w:val="20"/>
          <w:lang w:val="en-US"/>
        </w:rPr>
        <w:t xml:space="preserve"> </w:t>
      </w:r>
      <w:r w:rsidRPr="00BA38EB">
        <w:rPr>
          <w:rFonts w:asciiTheme="minorHAnsi" w:hAnsiTheme="minorHAnsi" w:cstheme="minorHAnsi"/>
          <w:sz w:val="20"/>
          <w:szCs w:val="20"/>
          <w:lang w:val="en-US"/>
        </w:rPr>
        <w:t xml:space="preserve">Russia, 119991, Moscow, </w:t>
      </w:r>
      <w:proofErr w:type="spellStart"/>
      <w:r w:rsidRPr="00BA38EB">
        <w:rPr>
          <w:rFonts w:asciiTheme="minorHAnsi" w:hAnsiTheme="minorHAnsi" w:cstheme="minorHAnsi"/>
          <w:sz w:val="20"/>
          <w:szCs w:val="20"/>
          <w:lang w:val="en-US"/>
        </w:rPr>
        <w:t>Leninskie</w:t>
      </w:r>
      <w:proofErr w:type="spellEnd"/>
      <w:r w:rsidRPr="00BA38EB">
        <w:rPr>
          <w:rFonts w:asciiTheme="minorHAnsi" w:hAnsiTheme="minorHAnsi" w:cstheme="minorHAnsi"/>
          <w:sz w:val="20"/>
          <w:szCs w:val="20"/>
          <w:lang w:val="en-US"/>
        </w:rPr>
        <w:t xml:space="preserve"> Gory.</w:t>
      </w:r>
    </w:p>
    <w:p w14:paraId="6C3526D8" w14:textId="3CCECB7B" w:rsidR="00BA38EB" w:rsidRPr="00BA38EB" w:rsidRDefault="00BA38EB" w:rsidP="00BA38EB">
      <w:pPr>
        <w:jc w:val="center"/>
        <w:rPr>
          <w:rFonts w:asciiTheme="minorHAnsi" w:hAnsiTheme="minorHAnsi" w:cstheme="minorHAnsi"/>
          <w:sz w:val="20"/>
          <w:szCs w:val="20"/>
          <w:lang w:val="en-US"/>
        </w:rPr>
      </w:pPr>
      <w:r w:rsidRPr="00BA38EB">
        <w:rPr>
          <w:rFonts w:asciiTheme="minorHAnsi" w:hAnsiTheme="minorHAnsi" w:cstheme="minorHAnsi"/>
          <w:sz w:val="20"/>
          <w:szCs w:val="20"/>
          <w:vertAlign w:val="superscript"/>
          <w:lang w:val="en-US"/>
        </w:rPr>
        <w:t>c</w:t>
      </w:r>
      <w:r w:rsidRPr="00BA38EB">
        <w:rPr>
          <w:rFonts w:asciiTheme="minorHAnsi" w:hAnsiTheme="minorHAnsi" w:cstheme="minorHAnsi"/>
          <w:sz w:val="20"/>
          <w:szCs w:val="20"/>
          <w:lang w:val="en-US"/>
        </w:rPr>
        <w:t xml:space="preserve"> </w:t>
      </w:r>
      <w:r w:rsidRPr="00BA38EB">
        <w:rPr>
          <w:rFonts w:asciiTheme="minorHAnsi" w:hAnsiTheme="minorHAnsi" w:cstheme="minorHAnsi"/>
          <w:sz w:val="20"/>
          <w:szCs w:val="20"/>
          <w:lang w:val="en-US"/>
        </w:rPr>
        <w:t>National Research University “Moscow Power Engineering Institute”,</w:t>
      </w:r>
      <w:r w:rsidRPr="00BA38EB">
        <w:rPr>
          <w:rFonts w:asciiTheme="minorHAnsi" w:hAnsiTheme="minorHAnsi" w:cstheme="minorHAnsi"/>
          <w:sz w:val="20"/>
          <w:szCs w:val="20"/>
          <w:lang w:val="en-US"/>
        </w:rPr>
        <w:t xml:space="preserve"> </w:t>
      </w:r>
      <w:r w:rsidRPr="00BA38EB">
        <w:rPr>
          <w:rFonts w:asciiTheme="minorHAnsi" w:hAnsiTheme="minorHAnsi" w:cstheme="minorHAnsi"/>
          <w:sz w:val="20"/>
          <w:szCs w:val="20"/>
          <w:lang w:val="en-US"/>
        </w:rPr>
        <w:t xml:space="preserve">Russia, 111250, Moscow, </w:t>
      </w:r>
      <w:proofErr w:type="spellStart"/>
      <w:r w:rsidRPr="00BA38EB">
        <w:rPr>
          <w:rFonts w:asciiTheme="minorHAnsi" w:hAnsiTheme="minorHAnsi" w:cstheme="minorHAnsi"/>
          <w:sz w:val="20"/>
          <w:szCs w:val="20"/>
          <w:lang w:val="en-US"/>
        </w:rPr>
        <w:t>Krasnokazarmennaya</w:t>
      </w:r>
      <w:proofErr w:type="spellEnd"/>
      <w:r w:rsidRPr="00BA38EB">
        <w:rPr>
          <w:rFonts w:asciiTheme="minorHAnsi" w:hAnsiTheme="minorHAnsi" w:cstheme="minorHAnsi"/>
          <w:sz w:val="20"/>
          <w:szCs w:val="20"/>
          <w:lang w:val="en-US"/>
        </w:rPr>
        <w:t xml:space="preserve"> 17.</w:t>
      </w:r>
    </w:p>
    <w:p w14:paraId="76C9CF9C" w14:textId="15C6BF67" w:rsidR="00BA38EB" w:rsidRPr="00BA38EB" w:rsidRDefault="00BA38EB" w:rsidP="00BA38EB">
      <w:pPr>
        <w:jc w:val="center"/>
        <w:rPr>
          <w:rFonts w:asciiTheme="minorHAnsi" w:hAnsiTheme="minorHAnsi" w:cstheme="minorHAnsi"/>
          <w:sz w:val="20"/>
          <w:szCs w:val="20"/>
          <w:lang w:val="en-US"/>
        </w:rPr>
      </w:pPr>
      <w:r w:rsidRPr="00BA38EB">
        <w:rPr>
          <w:rFonts w:asciiTheme="minorHAnsi" w:hAnsiTheme="minorHAnsi" w:cstheme="minorHAnsi"/>
          <w:sz w:val="20"/>
          <w:szCs w:val="20"/>
          <w:lang w:val="en-US"/>
        </w:rPr>
        <w:t xml:space="preserve">*Corresponding email: </w:t>
      </w:r>
      <w:r w:rsidRPr="00BA38EB">
        <w:rPr>
          <w:rFonts w:asciiTheme="minorHAnsi" w:hAnsiTheme="minorHAnsi" w:cstheme="minorHAnsi"/>
          <w:sz w:val="20"/>
          <w:szCs w:val="20"/>
          <w:lang w:val="en-US"/>
        </w:rPr>
        <w:t>gumennyy@ips.ac.ru</w:t>
      </w:r>
    </w:p>
    <w:p w14:paraId="6D23FF4F" w14:textId="77777777" w:rsidR="00BA38EB" w:rsidRPr="00BA38EB" w:rsidRDefault="00BA38EB" w:rsidP="00BA38EB">
      <w:pPr>
        <w:rPr>
          <w:rFonts w:asciiTheme="minorHAnsi" w:hAnsiTheme="minorHAnsi" w:cstheme="minorHAnsi"/>
          <w:sz w:val="20"/>
          <w:szCs w:val="20"/>
          <w:lang w:val="en-US"/>
        </w:rPr>
      </w:pPr>
    </w:p>
    <w:p w14:paraId="62FE1E95" w14:textId="77777777" w:rsidR="00BA38EB" w:rsidRPr="00BA38EB" w:rsidRDefault="00BA38EB" w:rsidP="00BA38EB">
      <w:pPr>
        <w:pStyle w:val="3"/>
        <w:numPr>
          <w:ilvl w:val="0"/>
          <w:numId w:val="1"/>
        </w:numPr>
        <w:tabs>
          <w:tab w:val="num" w:pos="360"/>
        </w:tabs>
        <w:spacing w:before="120" w:after="120"/>
        <w:ind w:left="0" w:firstLine="0"/>
        <w:rPr>
          <w:rFonts w:asciiTheme="minorHAnsi" w:hAnsiTheme="minorHAnsi" w:cstheme="minorHAnsi"/>
          <w:b/>
          <w:bCs/>
          <w:color w:val="000000" w:themeColor="text1"/>
          <w:sz w:val="20"/>
          <w:szCs w:val="20"/>
          <w:lang w:val="en-US"/>
        </w:rPr>
      </w:pPr>
      <w:r w:rsidRPr="00BA38EB">
        <w:rPr>
          <w:rFonts w:asciiTheme="minorHAnsi" w:hAnsiTheme="minorHAnsi" w:cstheme="minorHAnsi"/>
          <w:b/>
          <w:bCs/>
          <w:color w:val="000000" w:themeColor="text1"/>
          <w:sz w:val="20"/>
          <w:szCs w:val="20"/>
          <w:lang w:val="en-US"/>
        </w:rPr>
        <w:t>PVDF-PSF Ratio</w:t>
      </w:r>
    </w:p>
    <w:p w14:paraId="49E835D6" w14:textId="3DA99103" w:rsidR="00BA38EB" w:rsidRPr="00BA38EB" w:rsidRDefault="00BA38EB" w:rsidP="00BA38EB">
      <w:pPr>
        <w:spacing w:line="360" w:lineRule="auto"/>
        <w:ind w:firstLine="709"/>
        <w:jc w:val="both"/>
        <w:rPr>
          <w:rFonts w:asciiTheme="minorHAnsi" w:hAnsiTheme="minorHAnsi" w:cstheme="minorHAnsi"/>
          <w:sz w:val="20"/>
          <w:szCs w:val="20"/>
          <w:lang w:val="en-US"/>
        </w:rPr>
      </w:pPr>
      <w:r w:rsidRPr="00BA38EB">
        <w:rPr>
          <w:rFonts w:asciiTheme="minorHAnsi" w:hAnsiTheme="minorHAnsi" w:cstheme="minorHAnsi"/>
          <w:sz w:val="20"/>
          <w:szCs w:val="20"/>
          <w:lang w:val="en-US"/>
        </w:rPr>
        <w:t xml:space="preserve">The choice of the 80:20 ratio was based on the determination of the ionic conductivity of systems containing varying levels of PSF, ranging from 5% to 20%. As indicated in Figure </w:t>
      </w:r>
      <w:r>
        <w:rPr>
          <w:rFonts w:asciiTheme="minorHAnsi" w:hAnsiTheme="minorHAnsi" w:cstheme="minorHAnsi"/>
          <w:sz w:val="20"/>
          <w:szCs w:val="20"/>
          <w:lang w:val="en-US"/>
        </w:rPr>
        <w:t>S</w:t>
      </w:r>
      <w:r w:rsidRPr="00BA38EB">
        <w:rPr>
          <w:rFonts w:asciiTheme="minorHAnsi" w:hAnsiTheme="minorHAnsi" w:cstheme="minorHAnsi"/>
          <w:sz w:val="20"/>
          <w:szCs w:val="20"/>
          <w:lang w:val="en-US"/>
        </w:rPr>
        <w:t>1, optimal results were achieved within the concentration range of 15%–20%. Further increases in concentration resulted in decreased conductivity and mechanical properties of the resulting film, which were not within the scope of this study. In all cases presented in the figure</w:t>
      </w:r>
      <w:r>
        <w:rPr>
          <w:rFonts w:asciiTheme="minorHAnsi" w:hAnsiTheme="minorHAnsi" w:cstheme="minorHAnsi"/>
          <w:sz w:val="20"/>
          <w:szCs w:val="20"/>
          <w:lang w:val="en-US"/>
        </w:rPr>
        <w:t xml:space="preserve"> S1</w:t>
      </w:r>
      <w:r w:rsidRPr="00BA38EB">
        <w:rPr>
          <w:rFonts w:asciiTheme="minorHAnsi" w:hAnsiTheme="minorHAnsi" w:cstheme="minorHAnsi"/>
          <w:sz w:val="20"/>
          <w:szCs w:val="20"/>
          <w:lang w:val="en-US"/>
        </w:rPr>
        <w:t>, the films also contained 10% titanium and 10% salt.</w:t>
      </w:r>
    </w:p>
    <w:p w14:paraId="6C66284F" w14:textId="4F648104" w:rsidR="00BA38EB" w:rsidRPr="00BA38EB" w:rsidRDefault="00BA38EB" w:rsidP="00BA38EB">
      <w:pPr>
        <w:keepNext/>
        <w:spacing w:before="120" w:after="120" w:line="360" w:lineRule="auto"/>
        <w:jc w:val="center"/>
        <w:rPr>
          <w:rFonts w:asciiTheme="minorHAnsi" w:hAnsiTheme="minorHAnsi" w:cstheme="minorHAnsi"/>
          <w:sz w:val="20"/>
          <w:szCs w:val="20"/>
        </w:rPr>
      </w:pPr>
      <w:r w:rsidRPr="00BA38EB">
        <w:rPr>
          <w:rFonts w:asciiTheme="minorHAnsi" w:hAnsiTheme="minorHAnsi" w:cstheme="minorHAnsi"/>
          <w:sz w:val="20"/>
          <w:szCs w:val="20"/>
        </w:rPr>
        <w:object w:dxaOrig="5918" w:dyaOrig="4629" w14:anchorId="02E97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204.75pt" o:ole="">
            <v:imagedata r:id="rId7" o:title=""/>
          </v:shape>
          <o:OLEObject Type="Embed" ProgID="Origin95.Graph" ShapeID="_x0000_i1025" DrawAspect="Content" ObjectID="_1832853640" r:id="rId8"/>
        </w:object>
      </w:r>
    </w:p>
    <w:p w14:paraId="2625492D" w14:textId="55F12C25" w:rsidR="00BA38EB" w:rsidRPr="00BA38EB" w:rsidRDefault="00BA38EB" w:rsidP="00BA38EB">
      <w:pPr>
        <w:pStyle w:val="ad"/>
        <w:jc w:val="center"/>
        <w:rPr>
          <w:rFonts w:asciiTheme="minorHAnsi" w:hAnsiTheme="minorHAnsi" w:cstheme="minorHAnsi"/>
          <w:i w:val="0"/>
          <w:iCs w:val="0"/>
          <w:color w:val="000000" w:themeColor="text1"/>
          <w:sz w:val="20"/>
          <w:szCs w:val="20"/>
          <w:lang w:val="en-US"/>
        </w:rPr>
      </w:pPr>
      <w:r w:rsidRPr="00BA38EB">
        <w:rPr>
          <w:rFonts w:asciiTheme="minorHAnsi" w:hAnsiTheme="minorHAnsi" w:cstheme="minorHAnsi"/>
          <w:i w:val="0"/>
          <w:iCs w:val="0"/>
          <w:color w:val="000000" w:themeColor="text1"/>
          <w:sz w:val="20"/>
          <w:szCs w:val="20"/>
          <w:lang w:val="en-US"/>
        </w:rPr>
        <w:t xml:space="preserve">Figure </w:t>
      </w:r>
      <w:r>
        <w:rPr>
          <w:rFonts w:asciiTheme="minorHAnsi" w:hAnsiTheme="minorHAnsi" w:cstheme="minorHAnsi"/>
          <w:i w:val="0"/>
          <w:iCs w:val="0"/>
          <w:color w:val="000000" w:themeColor="text1"/>
          <w:sz w:val="20"/>
          <w:szCs w:val="20"/>
          <w:lang w:val="en-US"/>
        </w:rPr>
        <w:t>S</w:t>
      </w:r>
      <w:r w:rsidRPr="00BA38EB">
        <w:rPr>
          <w:rFonts w:asciiTheme="minorHAnsi" w:hAnsiTheme="minorHAnsi" w:cstheme="minorHAnsi"/>
          <w:i w:val="0"/>
          <w:iCs w:val="0"/>
          <w:color w:val="000000" w:themeColor="text1"/>
          <w:sz w:val="20"/>
          <w:szCs w:val="20"/>
          <w:lang w:val="en-US"/>
        </w:rPr>
        <w:t>1. Investigation of the impact of PSF on the ionic conductivity of a polymer film based PVDF</w:t>
      </w:r>
    </w:p>
    <w:p w14:paraId="7F74FB2A" w14:textId="77777777" w:rsidR="00BA38EB" w:rsidRPr="00BA38EB" w:rsidRDefault="00BA38EB" w:rsidP="00BA38EB">
      <w:pPr>
        <w:pStyle w:val="3"/>
        <w:numPr>
          <w:ilvl w:val="0"/>
          <w:numId w:val="1"/>
        </w:numPr>
        <w:tabs>
          <w:tab w:val="num" w:pos="360"/>
        </w:tabs>
        <w:spacing w:before="120" w:after="120"/>
        <w:ind w:left="0" w:firstLine="0"/>
        <w:rPr>
          <w:rFonts w:asciiTheme="minorHAnsi" w:hAnsiTheme="minorHAnsi" w:cstheme="minorHAnsi"/>
          <w:b/>
          <w:bCs/>
          <w:color w:val="000000" w:themeColor="text1"/>
          <w:sz w:val="20"/>
          <w:szCs w:val="20"/>
          <w:lang w:val="en-US"/>
        </w:rPr>
      </w:pPr>
      <w:r w:rsidRPr="00BA38EB">
        <w:rPr>
          <w:rFonts w:asciiTheme="minorHAnsi" w:hAnsiTheme="minorHAnsi" w:cstheme="minorHAnsi"/>
          <w:b/>
          <w:bCs/>
          <w:color w:val="000000" w:themeColor="text1"/>
          <w:sz w:val="20"/>
          <w:szCs w:val="20"/>
          <w:lang w:val="en-US"/>
        </w:rPr>
        <w:lastRenderedPageBreak/>
        <w:t>Distribution of titanium in polymer films</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744"/>
      </w:tblGrid>
      <w:tr w:rsidR="00BA38EB" w:rsidRPr="00BA38EB" w14:paraId="477E117B" w14:textId="77777777" w:rsidTr="00E76E52">
        <w:trPr>
          <w:trHeight w:val="3175"/>
          <w:jc w:val="center"/>
        </w:trPr>
        <w:tc>
          <w:tcPr>
            <w:tcW w:w="4600" w:type="dxa"/>
            <w:vAlign w:val="center"/>
          </w:tcPr>
          <w:p w14:paraId="45D486D3" w14:textId="77777777" w:rsidR="00BA38EB" w:rsidRPr="00BA38EB" w:rsidRDefault="00BA38EB" w:rsidP="00E76E52">
            <w:pPr>
              <w:spacing w:before="120" w:after="120" w:line="360" w:lineRule="auto"/>
              <w:jc w:val="center"/>
              <w:rPr>
                <w:rFonts w:asciiTheme="minorHAnsi" w:eastAsiaTheme="minorEastAsia" w:hAnsiTheme="minorHAnsi" w:cstheme="minorHAnsi"/>
                <w:color w:val="000000" w:themeColor="text1"/>
                <w:sz w:val="20"/>
                <w:szCs w:val="20"/>
              </w:rPr>
            </w:pPr>
            <w:r w:rsidRPr="00BA38EB">
              <w:rPr>
                <w:rFonts w:asciiTheme="minorHAnsi" w:hAnsiTheme="minorHAnsi" w:cstheme="minorHAnsi"/>
                <w:color w:val="000000" w:themeColor="text1"/>
                <w:kern w:val="2"/>
                <w:sz w:val="20"/>
                <w:szCs w:val="20"/>
                <w14:ligatures w14:val="standardContextual"/>
              </w:rPr>
              <w:object w:dxaOrig="5403" w:dyaOrig="4629" w14:anchorId="5253C76F">
                <v:shape id="_x0000_i1026" type="#_x0000_t75" style="width:201pt;height:173.25pt" o:ole="">
                  <v:imagedata r:id="rId9" o:title=""/>
                </v:shape>
                <o:OLEObject Type="Embed" ProgID="Origin50.Graph" ShapeID="_x0000_i1026" DrawAspect="Content" ObjectID="_1832853641" r:id="rId10"/>
              </w:object>
            </w:r>
          </w:p>
        </w:tc>
        <w:tc>
          <w:tcPr>
            <w:tcW w:w="4744" w:type="dxa"/>
            <w:vAlign w:val="center"/>
          </w:tcPr>
          <w:p w14:paraId="05451D34" w14:textId="77777777" w:rsidR="00BA38EB" w:rsidRPr="00BA38EB" w:rsidRDefault="00BA38EB" w:rsidP="00E76E52">
            <w:pPr>
              <w:spacing w:before="120" w:after="120" w:line="360" w:lineRule="auto"/>
              <w:jc w:val="center"/>
              <w:rPr>
                <w:rFonts w:asciiTheme="minorHAnsi" w:eastAsiaTheme="minorEastAsia" w:hAnsiTheme="minorHAnsi" w:cstheme="minorHAnsi"/>
                <w:color w:val="000000" w:themeColor="text1"/>
                <w:sz w:val="20"/>
                <w:szCs w:val="20"/>
              </w:rPr>
            </w:pPr>
            <w:r w:rsidRPr="00BA38EB">
              <w:rPr>
                <w:rFonts w:asciiTheme="minorHAnsi" w:hAnsiTheme="minorHAnsi" w:cstheme="minorHAnsi"/>
                <w:kern w:val="2"/>
                <w:sz w:val="20"/>
                <w:szCs w:val="20"/>
                <w14:ligatures w14:val="standardContextual"/>
              </w:rPr>
              <w:object w:dxaOrig="5402" w:dyaOrig="4629" w14:anchorId="7316BF25">
                <v:shape id="_x0000_i1027" type="#_x0000_t75" style="width:204pt;height:174.75pt" o:ole="">
                  <v:imagedata r:id="rId11" o:title=""/>
                </v:shape>
                <o:OLEObject Type="Embed" ProgID="Origin50.Graph" ShapeID="_x0000_i1027" DrawAspect="Content" ObjectID="_1832853642" r:id="rId12"/>
              </w:object>
            </w:r>
          </w:p>
        </w:tc>
      </w:tr>
      <w:tr w:rsidR="00BA38EB" w:rsidRPr="00BA38EB" w14:paraId="691D1BCF" w14:textId="77777777" w:rsidTr="00E76E52">
        <w:trPr>
          <w:trHeight w:val="3175"/>
          <w:jc w:val="center"/>
        </w:trPr>
        <w:tc>
          <w:tcPr>
            <w:tcW w:w="4600" w:type="dxa"/>
            <w:vAlign w:val="center"/>
          </w:tcPr>
          <w:p w14:paraId="4A71815C" w14:textId="77777777" w:rsidR="00BA38EB" w:rsidRPr="00BA38EB" w:rsidRDefault="00BA38EB" w:rsidP="00E76E52">
            <w:pPr>
              <w:spacing w:before="120" w:after="120" w:line="360" w:lineRule="auto"/>
              <w:jc w:val="center"/>
              <w:rPr>
                <w:rFonts w:asciiTheme="minorHAnsi" w:eastAsiaTheme="minorEastAsia" w:hAnsiTheme="minorHAnsi" w:cstheme="minorHAnsi"/>
                <w:color w:val="000000" w:themeColor="text1"/>
                <w:sz w:val="20"/>
                <w:szCs w:val="20"/>
              </w:rPr>
            </w:pPr>
            <w:r w:rsidRPr="00BA38EB">
              <w:rPr>
                <w:rFonts w:asciiTheme="minorHAnsi" w:hAnsiTheme="minorHAnsi" w:cstheme="minorHAnsi"/>
                <w:color w:val="000000" w:themeColor="text1"/>
                <w:kern w:val="2"/>
                <w:sz w:val="20"/>
                <w:szCs w:val="20"/>
                <w14:ligatures w14:val="standardContextual"/>
              </w:rPr>
              <w:object w:dxaOrig="5403" w:dyaOrig="4629" w14:anchorId="4AAFECC5">
                <v:shape id="_x0000_i1028" type="#_x0000_t75" style="width:193.5pt;height:168pt" o:ole="">
                  <v:imagedata r:id="rId13" o:title=""/>
                </v:shape>
                <o:OLEObject Type="Embed" ProgID="Origin50.Graph" ShapeID="_x0000_i1028" DrawAspect="Content" ObjectID="_1832853643" r:id="rId14"/>
              </w:object>
            </w:r>
          </w:p>
        </w:tc>
        <w:tc>
          <w:tcPr>
            <w:tcW w:w="4744" w:type="dxa"/>
            <w:vAlign w:val="center"/>
          </w:tcPr>
          <w:p w14:paraId="7F7C92EA" w14:textId="77777777" w:rsidR="00BA38EB" w:rsidRPr="00BA38EB" w:rsidRDefault="00BA38EB" w:rsidP="00E76E52">
            <w:pPr>
              <w:keepNext/>
              <w:spacing w:before="120" w:after="120" w:line="360" w:lineRule="auto"/>
              <w:jc w:val="center"/>
              <w:rPr>
                <w:rFonts w:asciiTheme="minorHAnsi" w:eastAsiaTheme="minorEastAsia" w:hAnsiTheme="minorHAnsi" w:cstheme="minorHAnsi"/>
                <w:color w:val="000000" w:themeColor="text1"/>
                <w:sz w:val="20"/>
                <w:szCs w:val="20"/>
              </w:rPr>
            </w:pPr>
            <w:r w:rsidRPr="00BA38EB">
              <w:rPr>
                <w:rFonts w:asciiTheme="minorHAnsi" w:hAnsiTheme="minorHAnsi" w:cstheme="minorHAnsi"/>
                <w:kern w:val="2"/>
                <w:sz w:val="20"/>
                <w:szCs w:val="20"/>
                <w14:ligatures w14:val="standardContextual"/>
              </w:rPr>
              <w:object w:dxaOrig="5403" w:dyaOrig="4629" w14:anchorId="5A1B24FF">
                <v:shape id="_x0000_i1029" type="#_x0000_t75" style="width:192.75pt;height:165.75pt" o:ole="">
                  <v:imagedata r:id="rId15" o:title=""/>
                </v:shape>
                <o:OLEObject Type="Embed" ProgID="Origin95.Graph" ShapeID="_x0000_i1029" DrawAspect="Content" ObjectID="_1832853644" r:id="rId16"/>
              </w:object>
            </w:r>
          </w:p>
        </w:tc>
      </w:tr>
    </w:tbl>
    <w:p w14:paraId="1CC0B755" w14:textId="203766D4" w:rsidR="00BA38EB" w:rsidRPr="00BA38EB" w:rsidRDefault="00BA38EB" w:rsidP="00BA38EB">
      <w:pPr>
        <w:pStyle w:val="ad"/>
        <w:spacing w:before="120" w:after="120" w:line="360" w:lineRule="auto"/>
        <w:jc w:val="center"/>
        <w:rPr>
          <w:rFonts w:asciiTheme="minorHAnsi" w:hAnsiTheme="minorHAnsi" w:cstheme="minorHAnsi"/>
          <w:i w:val="0"/>
          <w:iCs w:val="0"/>
          <w:color w:val="000000" w:themeColor="text1"/>
          <w:sz w:val="20"/>
          <w:szCs w:val="20"/>
          <w:lang w:val="en-US"/>
        </w:rPr>
      </w:pPr>
      <w:r w:rsidRPr="00BA38EB">
        <w:rPr>
          <w:rFonts w:asciiTheme="minorHAnsi" w:hAnsiTheme="minorHAnsi" w:cstheme="minorHAnsi"/>
          <w:i w:val="0"/>
          <w:iCs w:val="0"/>
          <w:color w:val="000000" w:themeColor="text1"/>
          <w:sz w:val="20"/>
          <w:szCs w:val="20"/>
          <w:lang w:val="en-US"/>
        </w:rPr>
        <w:t xml:space="preserve">Figure </w:t>
      </w:r>
      <w:r>
        <w:rPr>
          <w:rFonts w:asciiTheme="minorHAnsi" w:hAnsiTheme="minorHAnsi" w:cstheme="minorHAnsi"/>
          <w:i w:val="0"/>
          <w:iCs w:val="0"/>
          <w:color w:val="000000" w:themeColor="text1"/>
          <w:sz w:val="20"/>
          <w:szCs w:val="20"/>
          <w:lang w:val="en-US"/>
        </w:rPr>
        <w:t>S</w:t>
      </w:r>
      <w:r w:rsidRPr="00BA38EB">
        <w:rPr>
          <w:rFonts w:asciiTheme="minorHAnsi" w:hAnsiTheme="minorHAnsi" w:cstheme="minorHAnsi"/>
          <w:i w:val="0"/>
          <w:iCs w:val="0"/>
          <w:color w:val="000000" w:themeColor="text1"/>
          <w:sz w:val="20"/>
          <w:szCs w:val="20"/>
          <w:lang w:val="en-US"/>
        </w:rPr>
        <w:t>2. Quantitative distribution of titanium in polymer films with different dispersants: a, b) film without dispersant; c, d) BYK 185. On the left – spectra along the characteristic radiation line of titanium, on the right – Fourier transform</w:t>
      </w:r>
    </w:p>
    <w:p w14:paraId="2845F745" w14:textId="77777777" w:rsidR="00BA38EB" w:rsidRPr="00BA38EB" w:rsidRDefault="00BA38EB" w:rsidP="00BA38EB">
      <w:pPr>
        <w:pStyle w:val="3"/>
        <w:numPr>
          <w:ilvl w:val="0"/>
          <w:numId w:val="1"/>
        </w:numPr>
        <w:tabs>
          <w:tab w:val="num" w:pos="360"/>
        </w:tabs>
        <w:spacing w:before="120" w:after="120"/>
        <w:ind w:left="0" w:firstLine="0"/>
        <w:rPr>
          <w:rFonts w:asciiTheme="minorHAnsi" w:hAnsiTheme="minorHAnsi" w:cstheme="minorHAnsi"/>
          <w:b/>
          <w:bCs/>
          <w:color w:val="000000" w:themeColor="text1"/>
          <w:sz w:val="20"/>
          <w:szCs w:val="20"/>
          <w:lang w:val="en-US"/>
        </w:rPr>
      </w:pPr>
      <w:r w:rsidRPr="00BA38EB">
        <w:rPr>
          <w:rFonts w:asciiTheme="minorHAnsi" w:hAnsiTheme="minorHAnsi" w:cstheme="minorHAnsi"/>
          <w:b/>
          <w:bCs/>
          <w:color w:val="000000" w:themeColor="text1"/>
          <w:sz w:val="20"/>
          <w:szCs w:val="20"/>
          <w:lang w:val="en-US"/>
        </w:rPr>
        <w:t>Determination of phase content</w:t>
      </w:r>
    </w:p>
    <w:p w14:paraId="1F2BDF2C" w14:textId="77777777" w:rsidR="00BA38EB" w:rsidRPr="00BA38EB" w:rsidRDefault="00BA38EB" w:rsidP="00BA38EB">
      <w:pPr>
        <w:pStyle w:val="3"/>
        <w:numPr>
          <w:ilvl w:val="1"/>
          <w:numId w:val="1"/>
        </w:numPr>
        <w:tabs>
          <w:tab w:val="num" w:pos="360"/>
        </w:tabs>
        <w:spacing w:before="120" w:after="120"/>
        <w:ind w:left="0" w:firstLine="0"/>
        <w:rPr>
          <w:rFonts w:asciiTheme="minorHAnsi" w:hAnsiTheme="minorHAnsi" w:cstheme="minorHAnsi"/>
          <w:b/>
          <w:bCs/>
          <w:color w:val="000000" w:themeColor="text1"/>
          <w:sz w:val="20"/>
          <w:szCs w:val="20"/>
          <w:lang w:val="en-US"/>
        </w:rPr>
      </w:pPr>
      <w:r w:rsidRPr="00BA38EB">
        <w:rPr>
          <w:rFonts w:asciiTheme="minorHAnsi" w:hAnsiTheme="minorHAnsi" w:cstheme="minorHAnsi"/>
          <w:b/>
          <w:bCs/>
          <w:color w:val="000000" w:themeColor="text1"/>
          <w:sz w:val="20"/>
          <w:szCs w:val="20"/>
          <w:lang w:val="en-US"/>
        </w:rPr>
        <w:t>FTIR</w:t>
      </w:r>
    </w:p>
    <w:p w14:paraId="711D4AF0" w14:textId="77777777" w:rsidR="00BA38EB" w:rsidRPr="00BA38EB" w:rsidRDefault="00BA38EB" w:rsidP="00BA38EB">
      <w:pPr>
        <w:spacing w:line="360" w:lineRule="auto"/>
        <w:ind w:left="357" w:firstLine="709"/>
        <w:jc w:val="both"/>
        <w:rPr>
          <w:rFonts w:asciiTheme="minorHAnsi" w:hAnsiTheme="minorHAnsi" w:cstheme="minorHAnsi"/>
          <w:sz w:val="20"/>
          <w:szCs w:val="20"/>
          <w:lang w:val="en-US"/>
        </w:rPr>
      </w:pPr>
      <w:r w:rsidRPr="00BA38EB">
        <w:rPr>
          <w:rFonts w:asciiTheme="minorHAnsi" w:hAnsiTheme="minorHAnsi" w:cstheme="minorHAnsi"/>
          <w:sz w:val="20"/>
          <w:szCs w:val="20"/>
          <w:lang w:val="en-US"/>
        </w:rPr>
        <w:t xml:space="preserve">The well-established </w:t>
      </w:r>
      <w:r w:rsidRPr="00BA38EB">
        <w:rPr>
          <w:rFonts w:asciiTheme="minorHAnsi" w:hAnsiTheme="minorHAnsi" w:cstheme="minorHAnsi"/>
          <w:color w:val="000000" w:themeColor="text1"/>
          <w:sz w:val="20"/>
          <w:szCs w:val="20"/>
          <w:lang w:val="en-US"/>
        </w:rPr>
        <w:t>Bouguer-Lambert-Beer</w:t>
      </w:r>
      <w:r w:rsidRPr="00BA38EB">
        <w:rPr>
          <w:rFonts w:asciiTheme="minorHAnsi" w:hAnsiTheme="minorHAnsi" w:cstheme="minorHAnsi"/>
          <w:sz w:val="20"/>
          <w:szCs w:val="20"/>
          <w:lang w:val="en-US"/>
        </w:rPr>
        <w:t xml:space="preserve"> equation was employed to determine the composition of each phase within the PVDF matrix:</w:t>
      </w:r>
    </w:p>
    <w:p w14:paraId="0BD0BC9F" w14:textId="77777777" w:rsidR="00BA38EB" w:rsidRPr="00BA38EB" w:rsidRDefault="00BA38EB" w:rsidP="00BA38EB">
      <w:pPr>
        <w:spacing w:before="120" w:after="120" w:line="360" w:lineRule="auto"/>
        <w:jc w:val="both"/>
        <w:rPr>
          <w:rFonts w:asciiTheme="minorHAnsi" w:eastAsiaTheme="minorEastAsia" w:hAnsiTheme="minorHAnsi" w:cstheme="minorHAnsi"/>
          <w:color w:val="000000" w:themeColor="text1"/>
          <w:sz w:val="20"/>
          <w:szCs w:val="20"/>
          <w:lang w:val="en-US"/>
        </w:rPr>
      </w:pPr>
      <m:oMathPara>
        <m:oMath>
          <m:eqArr>
            <m:eqArrPr>
              <m:maxDist m:val="1"/>
              <m:ctrlPr>
                <w:rPr>
                  <w:rFonts w:ascii="Cambria Math" w:hAnsi="Cambria Math" w:cstheme="minorHAnsi"/>
                  <w:color w:val="000000" w:themeColor="text1"/>
                  <w:sz w:val="20"/>
                  <w:szCs w:val="20"/>
                  <w:lang w:val="en-US"/>
                </w:rPr>
              </m:ctrlPr>
            </m:eqArrPr>
            <m:e>
              <m:r>
                <w:rPr>
                  <w:rFonts w:ascii="Cambria Math" w:hAnsi="Cambria Math" w:cstheme="minorHAnsi"/>
                  <w:color w:val="000000" w:themeColor="text1"/>
                  <w:sz w:val="20"/>
                  <w:szCs w:val="20"/>
                  <w:lang w:val="en-US"/>
                </w:rPr>
                <m:t>F</m:t>
              </m:r>
              <m:d>
                <m:dPr>
                  <m:ctrlPr>
                    <w:rPr>
                      <w:rFonts w:ascii="Cambria Math" w:hAnsi="Cambria Math" w:cstheme="minorHAnsi"/>
                      <w:i/>
                      <w:iCs/>
                      <w:color w:val="000000" w:themeColor="text1"/>
                      <w:sz w:val="20"/>
                      <w:szCs w:val="20"/>
                      <w:lang w:val="en-US"/>
                    </w:rPr>
                  </m:ctrlPr>
                </m:dPr>
                <m:e>
                  <m:r>
                    <w:rPr>
                      <w:rFonts w:ascii="Cambria Math" w:hAnsi="Cambria Math" w:cstheme="minorHAnsi"/>
                      <w:color w:val="000000" w:themeColor="text1"/>
                      <w:sz w:val="20"/>
                      <w:szCs w:val="20"/>
                      <w:lang w:val="en-US"/>
                    </w:rPr>
                    <m:t>i</m:t>
                  </m:r>
                </m:e>
              </m:d>
              <m:r>
                <w:rPr>
                  <w:rFonts w:ascii="Cambria Math" w:hAnsi="Cambria Math" w:cstheme="minorHAnsi"/>
                  <w:color w:val="000000" w:themeColor="text1"/>
                  <w:sz w:val="20"/>
                  <w:szCs w:val="20"/>
                  <w:lang w:val="en-US"/>
                </w:rPr>
                <m:t>=</m:t>
              </m:r>
              <m:f>
                <m:fPr>
                  <m:ctrlPr>
                    <w:rPr>
                      <w:rFonts w:ascii="Cambria Math" w:hAnsi="Cambria Math" w:cstheme="minorHAnsi"/>
                      <w:i/>
                      <w:iCs/>
                      <w:color w:val="000000" w:themeColor="text1"/>
                      <w:sz w:val="20"/>
                      <w:szCs w:val="20"/>
                      <w:lang w:val="en-US"/>
                    </w:rPr>
                  </m:ctrlPr>
                </m:fPr>
                <m:num>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i</m:t>
                      </m:r>
                    </m:sub>
                  </m:sSub>
                </m:num>
                <m:den>
                  <m:d>
                    <m:dPr>
                      <m:ctrlPr>
                        <w:rPr>
                          <w:rFonts w:ascii="Cambria Math" w:hAnsi="Cambria Math" w:cstheme="minorHAnsi"/>
                          <w:i/>
                          <w:iCs/>
                          <w:color w:val="000000" w:themeColor="text1"/>
                          <w:sz w:val="20"/>
                          <w:szCs w:val="20"/>
                          <w:lang w:val="en-US"/>
                        </w:rPr>
                      </m:ctrlPr>
                    </m:dPr>
                    <m:e>
                      <m:f>
                        <m:fPr>
                          <m:ctrlPr>
                            <w:rPr>
                              <w:rFonts w:ascii="Cambria Math" w:hAnsi="Cambria Math" w:cstheme="minorHAnsi"/>
                              <w:i/>
                              <w:iCs/>
                              <w:color w:val="000000" w:themeColor="text1"/>
                              <w:sz w:val="20"/>
                              <w:szCs w:val="20"/>
                              <w:lang w:val="en-US"/>
                            </w:rPr>
                          </m:ctrlPr>
                        </m:fPr>
                        <m:num>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K</m:t>
                              </m:r>
                            </m:e>
                            <m:sub>
                              <m:r>
                                <w:rPr>
                                  <w:rFonts w:ascii="Cambria Math" w:hAnsi="Cambria Math" w:cstheme="minorHAnsi"/>
                                  <w:color w:val="000000" w:themeColor="text1"/>
                                  <w:sz w:val="20"/>
                                  <w:szCs w:val="20"/>
                                  <w:lang w:val="en-US"/>
                                </w:rPr>
                                <m:t>i</m:t>
                              </m:r>
                            </m:sub>
                          </m:sSub>
                        </m:num>
                        <m:den>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K</m:t>
                              </m:r>
                            </m:e>
                            <m:sub>
                              <m:r>
                                <w:rPr>
                                  <w:rFonts w:ascii="Cambria Math" w:hAnsi="Cambria Math" w:cstheme="minorHAnsi"/>
                                  <w:color w:val="000000" w:themeColor="text1"/>
                                  <w:sz w:val="20"/>
                                  <w:szCs w:val="20"/>
                                  <w:lang w:val="en-US"/>
                                </w:rPr>
                                <m:t>j</m:t>
                              </m:r>
                            </m:sub>
                          </m:sSub>
                        </m:den>
                      </m:f>
                    </m:e>
                  </m:d>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j</m:t>
                      </m:r>
                    </m:sub>
                  </m:sSub>
                  <m:r>
                    <w:rPr>
                      <w:rFonts w:ascii="Cambria Math" w:hAnsi="Cambria Math" w:cstheme="minorHAnsi"/>
                      <w:color w:val="000000" w:themeColor="text1"/>
                      <w:sz w:val="20"/>
                      <w:szCs w:val="20"/>
                      <w:lang w:val="en-US"/>
                    </w:rPr>
                    <m:t>+</m:t>
                  </m:r>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i</m:t>
                      </m:r>
                    </m:sub>
                  </m:sSub>
                </m:den>
              </m:f>
              <m:r>
                <m:rPr>
                  <m:sty m:val="p"/>
                </m:rPr>
                <w:rPr>
                  <w:rFonts w:ascii="Cambria Math" w:hAnsi="Cambria Math" w:cstheme="minorHAnsi"/>
                  <w:color w:val="000000" w:themeColor="text1"/>
                  <w:sz w:val="20"/>
                  <w:szCs w:val="20"/>
                  <w:lang w:val="en-US"/>
                </w:rPr>
                <m:t xml:space="preserve"> #</m:t>
              </m:r>
              <m:d>
                <m:dPr>
                  <m:begChr m:val="["/>
                  <m:endChr m:val="]"/>
                  <m:ctrlPr>
                    <w:rPr>
                      <w:rFonts w:ascii="Cambria Math" w:hAnsi="Cambria Math" w:cstheme="minorHAnsi"/>
                      <w:color w:val="000000" w:themeColor="text1"/>
                      <w:sz w:val="20"/>
                      <w:szCs w:val="20"/>
                      <w:lang w:val="en-US"/>
                    </w:rPr>
                  </m:ctrlPr>
                </m:dPr>
                <m:e>
                  <m:r>
                    <m:rPr>
                      <m:sty m:val="p"/>
                    </m:rPr>
                    <w:rPr>
                      <w:rFonts w:ascii="Cambria Math" w:hAnsi="Cambria Math" w:cstheme="minorHAnsi"/>
                      <w:color w:val="000000" w:themeColor="text1"/>
                      <w:sz w:val="20"/>
                      <w:szCs w:val="20"/>
                      <w:lang w:val="en-US"/>
                    </w:rPr>
                    <m:t>1</m:t>
                  </m:r>
                </m:e>
              </m:d>
            </m:e>
          </m:eqArr>
        </m:oMath>
      </m:oMathPara>
    </w:p>
    <w:p w14:paraId="61E0D4BC" w14:textId="77777777" w:rsidR="00BA38EB" w:rsidRPr="00BA38EB" w:rsidRDefault="00BA38EB" w:rsidP="00BA38EB">
      <w:pPr>
        <w:spacing w:before="120" w:after="120" w:line="360" w:lineRule="auto"/>
        <w:ind w:firstLine="709"/>
        <w:jc w:val="both"/>
        <w:rPr>
          <w:rFonts w:asciiTheme="minorHAnsi" w:hAnsiTheme="minorHAnsi" w:cstheme="minorHAnsi"/>
          <w:color w:val="000000" w:themeColor="text1"/>
          <w:sz w:val="20"/>
          <w:szCs w:val="20"/>
          <w:lang w:val="en-US"/>
        </w:rPr>
      </w:pPr>
      <w:r w:rsidRPr="00BA38EB">
        <w:rPr>
          <w:rFonts w:asciiTheme="minorHAnsi" w:hAnsiTheme="minorHAnsi" w:cstheme="minorHAnsi"/>
          <w:color w:val="000000" w:themeColor="text1"/>
          <w:sz w:val="20"/>
          <w:szCs w:val="20"/>
          <w:lang w:val="en-US"/>
        </w:rPr>
        <w:t xml:space="preserve">where the indices </w:t>
      </w:r>
      <m:oMath>
        <m:r>
          <w:rPr>
            <w:rFonts w:ascii="Cambria Math" w:hAnsi="Cambria Math" w:cstheme="minorHAnsi"/>
            <w:color w:val="000000" w:themeColor="text1"/>
            <w:sz w:val="20"/>
            <w:szCs w:val="20"/>
            <w:lang w:val="en-US"/>
          </w:rPr>
          <m:t>i</m:t>
        </m:r>
      </m:oMath>
      <w:r w:rsidRPr="00BA38EB">
        <w:rPr>
          <w:rFonts w:asciiTheme="minorHAnsi" w:eastAsiaTheme="minorEastAsia" w:hAnsiTheme="minorHAnsi" w:cstheme="minorHAnsi"/>
          <w:color w:val="000000" w:themeColor="text1"/>
          <w:sz w:val="20"/>
          <w:szCs w:val="20"/>
          <w:lang w:val="en-US"/>
        </w:rPr>
        <w:t xml:space="preserve">, </w:t>
      </w:r>
      <m:oMath>
        <m:r>
          <w:rPr>
            <w:rFonts w:ascii="Cambria Math" w:eastAsiaTheme="minorEastAsia" w:hAnsi="Cambria Math" w:cstheme="minorHAnsi"/>
            <w:color w:val="000000" w:themeColor="text1"/>
            <w:sz w:val="20"/>
            <w:szCs w:val="20"/>
            <w:lang w:val="en-US"/>
          </w:rPr>
          <m:t>j</m:t>
        </m:r>
      </m:oMath>
      <w:r w:rsidRPr="00BA38EB">
        <w:rPr>
          <w:rFonts w:asciiTheme="minorHAnsi" w:hAnsiTheme="minorHAnsi" w:cstheme="minorHAnsi"/>
          <w:color w:val="000000" w:themeColor="text1"/>
          <w:sz w:val="20"/>
          <w:szCs w:val="20"/>
          <w:lang w:val="en-US"/>
        </w:rPr>
        <w:t xml:space="preserve"> correspond to the phases used for calculation, </w:t>
      </w:r>
      <m:oMath>
        <m:r>
          <m:rPr>
            <m:sty m:val="p"/>
          </m:rPr>
          <w:rPr>
            <w:rFonts w:ascii="Cambria Math" w:hAnsi="Cambria Math" w:cstheme="minorHAnsi"/>
            <w:color w:val="000000" w:themeColor="text1"/>
            <w:sz w:val="20"/>
            <w:szCs w:val="20"/>
            <w:lang w:val="en-US"/>
          </w:rPr>
          <m:t>A</m:t>
        </m:r>
      </m:oMath>
      <w:r w:rsidRPr="00BA38EB">
        <w:rPr>
          <w:rFonts w:asciiTheme="minorHAnsi" w:hAnsiTheme="minorHAnsi" w:cstheme="minorHAnsi"/>
          <w:color w:val="000000" w:themeColor="text1"/>
          <w:sz w:val="20"/>
          <w:szCs w:val="20"/>
          <w:lang w:val="en-US"/>
        </w:rPr>
        <w:t xml:space="preserve"> is the optical density of the phase at a certain band (bands clearly defined by it are set for each phase), </w:t>
      </w:r>
      <m:oMath>
        <m:r>
          <m:rPr>
            <m:sty m:val="p"/>
          </m:rPr>
          <w:rPr>
            <w:rFonts w:ascii="Cambria Math" w:hAnsi="Cambria Math" w:cstheme="minorHAnsi"/>
            <w:color w:val="000000" w:themeColor="text1"/>
            <w:sz w:val="20"/>
            <w:szCs w:val="20"/>
            <w:lang w:val="en-US"/>
          </w:rPr>
          <m:t>K</m:t>
        </m:r>
      </m:oMath>
      <w:r w:rsidRPr="00BA38EB">
        <w:rPr>
          <w:rFonts w:asciiTheme="minorHAnsi" w:hAnsiTheme="minorHAnsi" w:cstheme="minorHAnsi"/>
          <w:color w:val="000000" w:themeColor="text1"/>
          <w:sz w:val="20"/>
          <w:szCs w:val="20"/>
          <w:lang w:val="en-US"/>
        </w:rPr>
        <w:t xml:space="preserve"> is the adsorption coefficients.</w:t>
      </w:r>
    </w:p>
    <w:p w14:paraId="094E1A40" w14:textId="77777777" w:rsidR="00BA38EB" w:rsidRPr="00BA38EB" w:rsidRDefault="00BA38EB" w:rsidP="00BA38EB">
      <w:pPr>
        <w:spacing w:before="120" w:after="120" w:line="360" w:lineRule="auto"/>
        <w:ind w:firstLine="709"/>
        <w:jc w:val="both"/>
        <w:rPr>
          <w:rFonts w:asciiTheme="minorHAnsi" w:hAnsiTheme="minorHAnsi" w:cstheme="minorHAnsi"/>
          <w:color w:val="000000" w:themeColor="text1"/>
          <w:sz w:val="20"/>
          <w:szCs w:val="20"/>
          <w:lang w:val="en-US"/>
        </w:rPr>
      </w:pPr>
      <w:r w:rsidRPr="00BA38EB">
        <w:rPr>
          <w:rFonts w:asciiTheme="minorHAnsi" w:hAnsiTheme="minorHAnsi" w:cstheme="minorHAnsi"/>
          <w:color w:val="000000" w:themeColor="text1"/>
          <w:sz w:val="20"/>
          <w:szCs w:val="20"/>
          <w:lang w:val="en-US"/>
        </w:rPr>
        <w:t>To determine the concentration of the β-phase, the equation takes the form:</w:t>
      </w:r>
    </w:p>
    <w:p w14:paraId="1451B696" w14:textId="77777777" w:rsidR="00BA38EB" w:rsidRPr="00BA38EB" w:rsidRDefault="00BA38EB" w:rsidP="00BA38EB">
      <w:pPr>
        <w:spacing w:before="120" w:after="120" w:line="360" w:lineRule="auto"/>
        <w:jc w:val="both"/>
        <w:rPr>
          <w:rFonts w:asciiTheme="minorHAnsi" w:eastAsiaTheme="minorEastAsia" w:hAnsiTheme="minorHAnsi" w:cstheme="minorHAnsi"/>
          <w:color w:val="000000" w:themeColor="text1"/>
          <w:sz w:val="20"/>
          <w:szCs w:val="20"/>
          <w:lang w:val="en-US"/>
        </w:rPr>
      </w:pPr>
      <m:oMathPara>
        <m:oMath>
          <m:eqArr>
            <m:eqArrPr>
              <m:maxDist m:val="1"/>
              <m:ctrlPr>
                <w:rPr>
                  <w:rFonts w:ascii="Cambria Math" w:hAnsi="Cambria Math" w:cstheme="minorHAnsi"/>
                  <w:color w:val="000000" w:themeColor="text1"/>
                  <w:sz w:val="20"/>
                  <w:szCs w:val="20"/>
                  <w:lang w:val="en-US"/>
                </w:rPr>
              </m:ctrlPr>
            </m:eqArrPr>
            <m:e>
              <m:r>
                <w:rPr>
                  <w:rFonts w:ascii="Cambria Math" w:hAnsi="Cambria Math" w:cstheme="minorHAnsi"/>
                  <w:color w:val="000000" w:themeColor="text1"/>
                  <w:sz w:val="20"/>
                  <w:szCs w:val="20"/>
                  <w:lang w:val="en-US"/>
                </w:rPr>
                <m:t>F</m:t>
              </m:r>
              <m:d>
                <m:dPr>
                  <m:ctrlPr>
                    <w:rPr>
                      <w:rFonts w:ascii="Cambria Math" w:hAnsi="Cambria Math" w:cstheme="minorHAnsi"/>
                      <w:i/>
                      <w:iCs/>
                      <w:color w:val="000000" w:themeColor="text1"/>
                      <w:sz w:val="20"/>
                      <w:szCs w:val="20"/>
                      <w:lang w:val="en-US"/>
                    </w:rPr>
                  </m:ctrlPr>
                </m:dPr>
                <m:e>
                  <m:r>
                    <w:rPr>
                      <w:rFonts w:ascii="Cambria Math" w:hAnsi="Cambria Math" w:cstheme="minorHAnsi"/>
                      <w:color w:val="000000" w:themeColor="text1"/>
                      <w:sz w:val="20"/>
                      <w:szCs w:val="20"/>
                      <w:lang w:val="en-US"/>
                    </w:rPr>
                    <m:t>β</m:t>
                  </m:r>
                </m:e>
              </m:d>
              <m:r>
                <w:rPr>
                  <w:rFonts w:ascii="Cambria Math" w:hAnsi="Cambria Math" w:cstheme="minorHAnsi"/>
                  <w:color w:val="000000" w:themeColor="text1"/>
                  <w:sz w:val="20"/>
                  <w:szCs w:val="20"/>
                  <w:lang w:val="en-US"/>
                </w:rPr>
                <m:t>=</m:t>
              </m:r>
              <m:f>
                <m:fPr>
                  <m:ctrlPr>
                    <w:rPr>
                      <w:rFonts w:ascii="Cambria Math" w:hAnsi="Cambria Math" w:cstheme="minorHAnsi"/>
                      <w:i/>
                      <w:iCs/>
                      <w:color w:val="000000" w:themeColor="text1"/>
                      <w:sz w:val="20"/>
                      <w:szCs w:val="20"/>
                      <w:lang w:val="en-US"/>
                    </w:rPr>
                  </m:ctrlPr>
                </m:fPr>
                <m:num>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β</m:t>
                      </m:r>
                    </m:sub>
                  </m:sSub>
                </m:num>
                <m:den>
                  <m:d>
                    <m:dPr>
                      <m:ctrlPr>
                        <w:rPr>
                          <w:rFonts w:ascii="Cambria Math" w:hAnsi="Cambria Math" w:cstheme="minorHAnsi"/>
                          <w:i/>
                          <w:iCs/>
                          <w:color w:val="000000" w:themeColor="text1"/>
                          <w:sz w:val="20"/>
                          <w:szCs w:val="20"/>
                          <w:lang w:val="en-US"/>
                        </w:rPr>
                      </m:ctrlPr>
                    </m:dPr>
                    <m:e>
                      <m:f>
                        <m:fPr>
                          <m:ctrlPr>
                            <w:rPr>
                              <w:rFonts w:ascii="Cambria Math" w:hAnsi="Cambria Math" w:cstheme="minorHAnsi"/>
                              <w:i/>
                              <w:iCs/>
                              <w:color w:val="000000" w:themeColor="text1"/>
                              <w:sz w:val="20"/>
                              <w:szCs w:val="20"/>
                              <w:lang w:val="en-US"/>
                            </w:rPr>
                          </m:ctrlPr>
                        </m:fPr>
                        <m:num>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K</m:t>
                              </m:r>
                            </m:e>
                            <m:sub>
                              <m:r>
                                <w:rPr>
                                  <w:rFonts w:ascii="Cambria Math" w:hAnsi="Cambria Math" w:cstheme="minorHAnsi"/>
                                  <w:color w:val="000000" w:themeColor="text1"/>
                                  <w:sz w:val="20"/>
                                  <w:szCs w:val="20"/>
                                  <w:lang w:val="en-US"/>
                                </w:rPr>
                                <m:t>β</m:t>
                              </m:r>
                            </m:sub>
                          </m:sSub>
                        </m:num>
                        <m:den>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K</m:t>
                              </m:r>
                            </m:e>
                            <m:sub>
                              <m:r>
                                <w:rPr>
                                  <w:rFonts w:ascii="Cambria Math" w:hAnsi="Cambria Math" w:cstheme="minorHAnsi"/>
                                  <w:color w:val="000000" w:themeColor="text1"/>
                                  <w:sz w:val="20"/>
                                  <w:szCs w:val="20"/>
                                  <w:lang w:val="en-US"/>
                                </w:rPr>
                                <m:t>α</m:t>
                              </m:r>
                            </m:sub>
                          </m:sSub>
                        </m:den>
                      </m:f>
                    </m:e>
                  </m:d>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α</m:t>
                      </m:r>
                    </m:sub>
                  </m:sSub>
                  <m:r>
                    <w:rPr>
                      <w:rFonts w:ascii="Cambria Math" w:hAnsi="Cambria Math" w:cstheme="minorHAnsi"/>
                      <w:color w:val="000000" w:themeColor="text1"/>
                      <w:sz w:val="20"/>
                      <w:szCs w:val="20"/>
                      <w:lang w:val="en-US"/>
                    </w:rPr>
                    <m:t>+</m:t>
                  </m:r>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β</m:t>
                      </m:r>
                    </m:sub>
                  </m:sSub>
                </m:den>
              </m:f>
              <m:r>
                <w:rPr>
                  <w:rFonts w:ascii="Cambria Math" w:hAnsi="Cambria Math" w:cstheme="minorHAnsi"/>
                  <w:color w:val="000000" w:themeColor="text1"/>
                  <w:sz w:val="20"/>
                  <w:szCs w:val="20"/>
                  <w:lang w:val="en-US"/>
                </w:rPr>
                <m:t xml:space="preserve"> </m:t>
              </m:r>
              <m:r>
                <m:rPr>
                  <m:sty m:val="p"/>
                </m:rPr>
                <w:rPr>
                  <w:rFonts w:ascii="Cambria Math" w:hAnsi="Cambria Math" w:cstheme="minorHAnsi"/>
                  <w:color w:val="000000" w:themeColor="text1"/>
                  <w:sz w:val="20"/>
                  <w:szCs w:val="20"/>
                  <w:lang w:val="en-US"/>
                </w:rPr>
                <m:t>#</m:t>
              </m:r>
              <m:d>
                <m:dPr>
                  <m:begChr m:val="["/>
                  <m:endChr m:val="]"/>
                  <m:ctrlPr>
                    <w:rPr>
                      <w:rFonts w:ascii="Cambria Math" w:hAnsi="Cambria Math" w:cstheme="minorHAnsi"/>
                      <w:color w:val="000000" w:themeColor="text1"/>
                      <w:sz w:val="20"/>
                      <w:szCs w:val="20"/>
                      <w:lang w:val="en-US"/>
                    </w:rPr>
                  </m:ctrlPr>
                </m:dPr>
                <m:e>
                  <m:r>
                    <m:rPr>
                      <m:sty m:val="p"/>
                    </m:rPr>
                    <w:rPr>
                      <w:rFonts w:ascii="Cambria Math" w:hAnsi="Cambria Math" w:cstheme="minorHAnsi"/>
                      <w:color w:val="000000" w:themeColor="text1"/>
                      <w:sz w:val="20"/>
                      <w:szCs w:val="20"/>
                      <w:lang w:val="en-US"/>
                    </w:rPr>
                    <m:t>2</m:t>
                  </m:r>
                </m:e>
              </m:d>
            </m:e>
          </m:eqArr>
        </m:oMath>
      </m:oMathPara>
    </w:p>
    <w:p w14:paraId="1DD647D9" w14:textId="77777777" w:rsidR="00BA38EB" w:rsidRPr="00BA38EB" w:rsidRDefault="00BA38EB" w:rsidP="00BA38EB">
      <w:pPr>
        <w:spacing w:before="120" w:after="120" w:line="360" w:lineRule="auto"/>
        <w:ind w:firstLine="708"/>
        <w:jc w:val="both"/>
        <w:rPr>
          <w:rFonts w:asciiTheme="minorHAnsi" w:hAnsiTheme="minorHAnsi" w:cstheme="minorHAnsi"/>
          <w:color w:val="000000" w:themeColor="text1"/>
          <w:sz w:val="20"/>
          <w:szCs w:val="20"/>
          <w:lang w:val="en-US"/>
        </w:rPr>
      </w:pPr>
      <w:r w:rsidRPr="00BA38EB">
        <w:rPr>
          <w:rFonts w:asciiTheme="minorHAnsi" w:hAnsiTheme="minorHAnsi" w:cstheme="minorHAnsi"/>
          <w:color w:val="000000" w:themeColor="text1"/>
          <w:sz w:val="20"/>
          <w:szCs w:val="20"/>
          <w:lang w:val="en-US"/>
        </w:rPr>
        <w:lastRenderedPageBreak/>
        <w:t xml:space="preserve">where </w:t>
      </w:r>
      <m:oMath>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α</m:t>
            </m:r>
          </m:sub>
        </m:sSub>
      </m:oMath>
      <w:r w:rsidRPr="00BA38EB">
        <w:rPr>
          <w:rFonts w:asciiTheme="minorHAnsi" w:eastAsiaTheme="minorEastAsia" w:hAnsiTheme="minorHAnsi" w:cstheme="minorHAnsi"/>
          <w:color w:val="000000" w:themeColor="text1"/>
          <w:sz w:val="20"/>
          <w:szCs w:val="20"/>
          <w:lang w:val="en-US"/>
        </w:rPr>
        <w:t xml:space="preserve"> </w:t>
      </w:r>
      <w:r w:rsidRPr="00BA38EB">
        <w:rPr>
          <w:rFonts w:asciiTheme="minorHAnsi" w:hAnsiTheme="minorHAnsi" w:cstheme="minorHAnsi"/>
          <w:color w:val="000000" w:themeColor="text1"/>
          <w:sz w:val="20"/>
          <w:szCs w:val="20"/>
          <w:lang w:val="en-US"/>
        </w:rPr>
        <w:t xml:space="preserve">and </w:t>
      </w:r>
      <m:oMath>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A</m:t>
            </m:r>
          </m:e>
          <m:sub>
            <m:r>
              <w:rPr>
                <w:rFonts w:ascii="Cambria Math" w:hAnsi="Cambria Math" w:cstheme="minorHAnsi"/>
                <w:color w:val="000000" w:themeColor="text1"/>
                <w:sz w:val="20"/>
                <w:szCs w:val="20"/>
                <w:lang w:val="en-US"/>
              </w:rPr>
              <m:t>β</m:t>
            </m:r>
          </m:sub>
        </m:sSub>
      </m:oMath>
      <w:r w:rsidRPr="00BA38EB">
        <w:rPr>
          <w:rFonts w:asciiTheme="minorHAnsi" w:eastAsiaTheme="minorEastAsia" w:hAnsiTheme="minorHAnsi" w:cstheme="minorHAnsi"/>
          <w:color w:val="000000" w:themeColor="text1"/>
          <w:sz w:val="20"/>
          <w:szCs w:val="20"/>
          <w:lang w:val="en-US"/>
        </w:rPr>
        <w:t xml:space="preserve"> </w:t>
      </w:r>
      <w:r w:rsidRPr="00BA38EB">
        <w:rPr>
          <w:rFonts w:asciiTheme="minorHAnsi" w:hAnsiTheme="minorHAnsi" w:cstheme="minorHAnsi"/>
          <w:color w:val="000000" w:themeColor="text1"/>
          <w:sz w:val="20"/>
          <w:szCs w:val="20"/>
          <w:lang w:val="en-US"/>
        </w:rPr>
        <w:t xml:space="preserve">are the optical densities of the </w:t>
      </w:r>
      <m:oMath>
        <m:r>
          <m:rPr>
            <m:sty m:val="p"/>
          </m:rPr>
          <w:rPr>
            <w:rFonts w:ascii="Cambria Math" w:eastAsiaTheme="minorEastAsia" w:hAnsi="Cambria Math" w:cstheme="minorHAnsi"/>
            <w:color w:val="000000" w:themeColor="text1"/>
            <w:sz w:val="20"/>
            <w:szCs w:val="20"/>
          </w:rPr>
          <m:t>α</m:t>
        </m:r>
      </m:oMath>
      <w:r w:rsidRPr="00BA38EB">
        <w:rPr>
          <w:rFonts w:asciiTheme="minorHAnsi" w:hAnsiTheme="minorHAnsi" w:cstheme="minorHAnsi"/>
          <w:color w:val="000000" w:themeColor="text1"/>
          <w:sz w:val="20"/>
          <w:szCs w:val="20"/>
          <w:lang w:val="en-US"/>
        </w:rPr>
        <w:t xml:space="preserve">-phase and </w:t>
      </w:r>
      <m:oMath>
        <m:r>
          <m:rPr>
            <m:sty m:val="p"/>
          </m:rPr>
          <w:rPr>
            <w:rFonts w:ascii="Cambria Math" w:eastAsiaTheme="minorEastAsia" w:hAnsi="Cambria Math" w:cstheme="minorHAnsi"/>
            <w:color w:val="000000" w:themeColor="text1"/>
            <w:sz w:val="20"/>
            <w:szCs w:val="20"/>
          </w:rPr>
          <m:t>β</m:t>
        </m:r>
      </m:oMath>
      <w:r w:rsidRPr="00BA38EB">
        <w:rPr>
          <w:rFonts w:asciiTheme="minorHAnsi" w:hAnsiTheme="minorHAnsi" w:cstheme="minorHAnsi"/>
          <w:color w:val="000000" w:themeColor="text1"/>
          <w:sz w:val="20"/>
          <w:szCs w:val="20"/>
          <w:lang w:val="en-US"/>
        </w:rPr>
        <w:t>-phase for bands 763 and 840 cm</w:t>
      </w:r>
      <w:r w:rsidRPr="00BA38EB">
        <w:rPr>
          <w:rFonts w:asciiTheme="minorHAnsi" w:hAnsiTheme="minorHAnsi" w:cstheme="minorHAnsi"/>
          <w:color w:val="000000" w:themeColor="text1"/>
          <w:sz w:val="20"/>
          <w:szCs w:val="20"/>
          <w:vertAlign w:val="superscript"/>
          <w:lang w:val="en-US"/>
        </w:rPr>
        <w:t>-1</w:t>
      </w:r>
      <w:r w:rsidRPr="00BA38EB">
        <w:rPr>
          <w:rFonts w:asciiTheme="minorHAnsi" w:hAnsiTheme="minorHAnsi" w:cstheme="minorHAnsi"/>
          <w:color w:val="000000" w:themeColor="text1"/>
          <w:sz w:val="20"/>
          <w:szCs w:val="20"/>
          <w:lang w:val="en-US"/>
        </w:rPr>
        <w:t xml:space="preserve">, respectively. </w:t>
      </w:r>
      <m:oMath>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K</m:t>
            </m:r>
          </m:e>
          <m:sub>
            <m:r>
              <w:rPr>
                <w:rFonts w:ascii="Cambria Math" w:hAnsi="Cambria Math" w:cstheme="minorHAnsi"/>
                <w:color w:val="000000" w:themeColor="text1"/>
                <w:sz w:val="20"/>
                <w:szCs w:val="20"/>
                <w:lang w:val="en-US"/>
              </w:rPr>
              <m:t>α</m:t>
            </m:r>
          </m:sub>
        </m:sSub>
      </m:oMath>
      <w:r w:rsidRPr="00BA38EB">
        <w:rPr>
          <w:rFonts w:asciiTheme="minorHAnsi" w:eastAsiaTheme="minorEastAsia" w:hAnsiTheme="minorHAnsi" w:cstheme="minorHAnsi"/>
          <w:color w:val="000000" w:themeColor="text1"/>
          <w:sz w:val="20"/>
          <w:szCs w:val="20"/>
          <w:lang w:val="en-US"/>
        </w:rPr>
        <w:t xml:space="preserve"> </w:t>
      </w:r>
      <w:r w:rsidRPr="00BA38EB">
        <w:rPr>
          <w:rFonts w:asciiTheme="minorHAnsi" w:hAnsiTheme="minorHAnsi" w:cstheme="minorHAnsi"/>
          <w:color w:val="000000" w:themeColor="text1"/>
          <w:sz w:val="20"/>
          <w:szCs w:val="20"/>
          <w:lang w:val="en-US"/>
        </w:rPr>
        <w:t xml:space="preserve">and </w:t>
      </w:r>
      <m:oMath>
        <m:sSub>
          <m:sSubPr>
            <m:ctrlPr>
              <w:rPr>
                <w:rFonts w:ascii="Cambria Math" w:hAnsi="Cambria Math" w:cstheme="minorHAnsi"/>
                <w:i/>
                <w:iCs/>
                <w:color w:val="000000" w:themeColor="text1"/>
                <w:sz w:val="20"/>
                <w:szCs w:val="20"/>
                <w:lang w:val="en-US"/>
              </w:rPr>
            </m:ctrlPr>
          </m:sSubPr>
          <m:e>
            <m:r>
              <w:rPr>
                <w:rFonts w:ascii="Cambria Math" w:hAnsi="Cambria Math" w:cstheme="minorHAnsi"/>
                <w:color w:val="000000" w:themeColor="text1"/>
                <w:sz w:val="20"/>
                <w:szCs w:val="20"/>
                <w:lang w:val="en-US"/>
              </w:rPr>
              <m:t>K</m:t>
            </m:r>
          </m:e>
          <m:sub>
            <m:r>
              <w:rPr>
                <w:rFonts w:ascii="Cambria Math" w:hAnsi="Cambria Math" w:cstheme="minorHAnsi"/>
                <w:color w:val="000000" w:themeColor="text1"/>
                <w:sz w:val="20"/>
                <w:szCs w:val="20"/>
                <w:lang w:val="en-US"/>
              </w:rPr>
              <m:t>β</m:t>
            </m:r>
          </m:sub>
        </m:sSub>
      </m:oMath>
      <w:r w:rsidRPr="00BA38EB">
        <w:rPr>
          <w:rFonts w:asciiTheme="minorHAnsi" w:eastAsiaTheme="minorEastAsia" w:hAnsiTheme="minorHAnsi" w:cstheme="minorHAnsi"/>
          <w:color w:val="000000" w:themeColor="text1"/>
          <w:sz w:val="20"/>
          <w:szCs w:val="20"/>
          <w:lang w:val="en-US"/>
        </w:rPr>
        <w:t xml:space="preserve"> </w:t>
      </w:r>
      <w:r w:rsidRPr="00BA38EB">
        <w:rPr>
          <w:rFonts w:asciiTheme="minorHAnsi" w:hAnsiTheme="minorHAnsi" w:cstheme="minorHAnsi"/>
          <w:color w:val="000000" w:themeColor="text1"/>
          <w:sz w:val="20"/>
          <w:szCs w:val="20"/>
          <w:lang w:val="en-US"/>
        </w:rPr>
        <w:t>are equal to 6.1×10</w:t>
      </w:r>
      <w:r w:rsidRPr="00BA38EB">
        <w:rPr>
          <w:rFonts w:asciiTheme="minorHAnsi" w:hAnsiTheme="minorHAnsi" w:cstheme="minorHAnsi"/>
          <w:color w:val="000000" w:themeColor="text1"/>
          <w:sz w:val="20"/>
          <w:szCs w:val="20"/>
          <w:vertAlign w:val="superscript"/>
          <w:lang w:val="en-US"/>
        </w:rPr>
        <w:t>4</w:t>
      </w:r>
      <w:r w:rsidRPr="00BA38EB">
        <w:rPr>
          <w:rFonts w:asciiTheme="minorHAnsi" w:hAnsiTheme="minorHAnsi" w:cstheme="minorHAnsi"/>
          <w:color w:val="000000" w:themeColor="text1"/>
          <w:sz w:val="20"/>
          <w:szCs w:val="20"/>
          <w:lang w:val="en-US"/>
        </w:rPr>
        <w:t xml:space="preserve"> and 7.7×10</w:t>
      </w:r>
      <w:r w:rsidRPr="00BA38EB">
        <w:rPr>
          <w:rFonts w:asciiTheme="minorHAnsi" w:hAnsiTheme="minorHAnsi" w:cstheme="minorHAnsi"/>
          <w:color w:val="000000" w:themeColor="text1"/>
          <w:sz w:val="20"/>
          <w:szCs w:val="20"/>
          <w:vertAlign w:val="superscript"/>
          <w:lang w:val="en-US"/>
        </w:rPr>
        <w:t>4</w:t>
      </w:r>
      <w:r w:rsidRPr="00BA38EB">
        <w:rPr>
          <w:rFonts w:asciiTheme="minorHAnsi" w:hAnsiTheme="minorHAnsi" w:cstheme="minorHAnsi"/>
          <w:color w:val="000000" w:themeColor="text1"/>
          <w:sz w:val="20"/>
          <w:szCs w:val="20"/>
          <w:lang w:val="en-US"/>
        </w:rPr>
        <w:t xml:space="preserve"> cm</w:t>
      </w:r>
      <w:r w:rsidRPr="00BA38EB">
        <w:rPr>
          <w:rFonts w:asciiTheme="minorHAnsi" w:hAnsiTheme="minorHAnsi" w:cstheme="minorHAnsi"/>
          <w:color w:val="000000" w:themeColor="text1"/>
          <w:sz w:val="20"/>
          <w:szCs w:val="20"/>
          <w:vertAlign w:val="superscript"/>
          <w:lang w:val="en-US"/>
        </w:rPr>
        <w:t>2</w:t>
      </w:r>
      <w:r w:rsidRPr="00BA38EB">
        <w:rPr>
          <w:rFonts w:asciiTheme="minorHAnsi" w:hAnsiTheme="minorHAnsi" w:cstheme="minorHAnsi"/>
          <w:color w:val="000000" w:themeColor="text1"/>
          <w:sz w:val="20"/>
          <w:szCs w:val="20"/>
          <w:lang w:val="en-US"/>
        </w:rPr>
        <w:t>mol</w:t>
      </w:r>
      <w:r w:rsidRPr="00BA38EB">
        <w:rPr>
          <w:rFonts w:asciiTheme="minorHAnsi" w:hAnsiTheme="minorHAnsi" w:cstheme="minorHAnsi"/>
          <w:color w:val="000000" w:themeColor="text1"/>
          <w:sz w:val="20"/>
          <w:szCs w:val="20"/>
          <w:vertAlign w:val="superscript"/>
          <w:lang w:val="en-US"/>
        </w:rPr>
        <w:t>-1</w:t>
      </w:r>
      <w:r w:rsidRPr="00BA38EB">
        <w:rPr>
          <w:rFonts w:asciiTheme="minorHAnsi" w:hAnsiTheme="minorHAnsi" w:cstheme="minorHAnsi"/>
          <w:color w:val="000000" w:themeColor="text1"/>
          <w:sz w:val="20"/>
          <w:szCs w:val="20"/>
          <w:lang w:val="en-US"/>
        </w:rPr>
        <w:t>, respectively.</w:t>
      </w:r>
    </w:p>
    <w:p w14:paraId="408F21E1" w14:textId="77777777" w:rsidR="00BA38EB" w:rsidRPr="00BA38EB" w:rsidRDefault="00BA38EB" w:rsidP="00BA38EB">
      <w:pPr>
        <w:pStyle w:val="3"/>
        <w:numPr>
          <w:ilvl w:val="1"/>
          <w:numId w:val="1"/>
        </w:numPr>
        <w:tabs>
          <w:tab w:val="num" w:pos="360"/>
        </w:tabs>
        <w:spacing w:before="120" w:after="120"/>
        <w:ind w:left="0" w:firstLine="0"/>
        <w:rPr>
          <w:rFonts w:asciiTheme="minorHAnsi" w:hAnsiTheme="minorHAnsi" w:cstheme="minorHAnsi"/>
          <w:b/>
          <w:bCs/>
          <w:color w:val="000000" w:themeColor="text1"/>
          <w:sz w:val="20"/>
          <w:szCs w:val="20"/>
          <w:lang w:val="en-US"/>
        </w:rPr>
      </w:pPr>
      <w:r w:rsidRPr="00BA38EB">
        <w:rPr>
          <w:rFonts w:asciiTheme="minorHAnsi" w:hAnsiTheme="minorHAnsi" w:cstheme="minorHAnsi"/>
          <w:b/>
          <w:bCs/>
          <w:color w:val="000000" w:themeColor="text1"/>
          <w:sz w:val="20"/>
          <w:szCs w:val="20"/>
          <w:lang w:val="en-US"/>
        </w:rPr>
        <w:t>XRD</w:t>
      </w:r>
    </w:p>
    <w:p w14:paraId="4E138A9B" w14:textId="77777777" w:rsidR="00BA38EB" w:rsidRPr="00BA38EB" w:rsidRDefault="00BA38EB" w:rsidP="00BA38EB">
      <w:pPr>
        <w:spacing w:before="120" w:after="120" w:line="360" w:lineRule="auto"/>
        <w:ind w:firstLine="709"/>
        <w:jc w:val="both"/>
        <w:rPr>
          <w:rFonts w:asciiTheme="minorHAnsi" w:hAnsiTheme="minorHAnsi" w:cstheme="minorHAnsi"/>
          <w:color w:val="000000" w:themeColor="text1"/>
          <w:sz w:val="20"/>
          <w:szCs w:val="20"/>
          <w:lang w:val="en-US"/>
        </w:rPr>
      </w:pPr>
      <w:r w:rsidRPr="00BA38EB">
        <w:rPr>
          <w:rFonts w:asciiTheme="minorHAnsi" w:hAnsiTheme="minorHAnsi" w:cstheme="minorHAnsi"/>
          <w:color w:val="000000" w:themeColor="text1"/>
          <w:sz w:val="20"/>
          <w:szCs w:val="20"/>
          <w:lang w:val="en-US"/>
        </w:rPr>
        <w:t>The degree of crystallinity (</w:t>
      </w:r>
      <m:oMath>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χ</m:t>
            </m:r>
          </m:e>
          <m:sub>
            <m:r>
              <m:rPr>
                <m:sty m:val="p"/>
              </m:rPr>
              <w:rPr>
                <w:rFonts w:ascii="Cambria Math" w:hAnsi="Cambria Math" w:cstheme="minorHAnsi"/>
                <w:color w:val="000000" w:themeColor="text1"/>
                <w:sz w:val="20"/>
                <w:szCs w:val="20"/>
              </w:rPr>
              <m:t>кр</m:t>
            </m:r>
          </m:sub>
        </m:sSub>
      </m:oMath>
      <w:r w:rsidRPr="00BA38EB">
        <w:rPr>
          <w:rFonts w:asciiTheme="minorHAnsi" w:hAnsiTheme="minorHAnsi" w:cstheme="minorHAnsi"/>
          <w:color w:val="000000" w:themeColor="text1"/>
          <w:sz w:val="20"/>
          <w:szCs w:val="20"/>
          <w:lang w:val="en-US"/>
        </w:rPr>
        <w:t>) for PVDF powder, film and composite films was calculated using the deconvoluting the XRD profile:</w:t>
      </w:r>
    </w:p>
    <w:p w14:paraId="5EB93C4A" w14:textId="77777777" w:rsidR="00BA38EB" w:rsidRPr="00BA38EB" w:rsidRDefault="00BA38EB" w:rsidP="00BA38EB">
      <w:pPr>
        <w:spacing w:before="120" w:after="120" w:line="360" w:lineRule="auto"/>
        <w:ind w:firstLine="709"/>
        <w:jc w:val="both"/>
        <w:rPr>
          <w:rFonts w:asciiTheme="minorHAnsi" w:eastAsiaTheme="minorEastAsia" w:hAnsiTheme="minorHAnsi" w:cstheme="minorHAnsi"/>
          <w:color w:val="000000" w:themeColor="text1"/>
          <w:sz w:val="20"/>
          <w:szCs w:val="20"/>
          <w:lang w:val="en-US"/>
        </w:rPr>
      </w:pPr>
      <m:oMathPara>
        <m:oMath>
          <m:eqArr>
            <m:eqArrPr>
              <m:maxDist m:val="1"/>
              <m:ctrlPr>
                <w:rPr>
                  <w:rFonts w:ascii="Cambria Math" w:hAnsi="Cambria Math" w:cstheme="minorHAnsi"/>
                  <w:color w:val="000000" w:themeColor="text1"/>
                  <w:sz w:val="20"/>
                  <w:szCs w:val="20"/>
                  <w:lang w:val="en-US"/>
                </w:rPr>
              </m:ctrlPr>
            </m:eqArrPr>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χ</m:t>
                  </m:r>
                </m:e>
                <m:sub>
                  <m:r>
                    <m:rPr>
                      <m:sty m:val="p"/>
                    </m:rPr>
                    <w:rPr>
                      <w:rFonts w:ascii="Cambria Math" w:hAnsi="Cambria Math" w:cstheme="minorHAnsi"/>
                      <w:color w:val="000000" w:themeColor="text1"/>
                      <w:sz w:val="20"/>
                      <w:szCs w:val="20"/>
                    </w:rPr>
                    <m:t>кр</m:t>
                  </m:r>
                </m:sub>
              </m:sSub>
              <m:r>
                <m:rPr>
                  <m:sty m:val="p"/>
                </m:rPr>
                <w:rPr>
                  <w:rFonts w:ascii="Cambria Math" w:hAnsi="Cambria Math" w:cstheme="minorHAnsi"/>
                  <w:color w:val="000000" w:themeColor="text1"/>
                  <w:sz w:val="20"/>
                  <w:szCs w:val="20"/>
                  <w:lang w:val="en-US"/>
                </w:rPr>
                <m:t>=</m:t>
              </m:r>
              <m:f>
                <m:fPr>
                  <m:ctrlPr>
                    <w:rPr>
                      <w:rFonts w:ascii="Cambria Math" w:hAnsi="Cambria Math" w:cstheme="minorHAnsi"/>
                      <w:color w:val="000000" w:themeColor="text1"/>
                      <w:sz w:val="20"/>
                      <w:szCs w:val="20"/>
                      <w:lang w:val="en-US"/>
                    </w:rPr>
                  </m:ctrlPr>
                </m:fPr>
                <m:num>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кр</m:t>
                          </m:r>
                        </m:sub>
                      </m:sSub>
                    </m:e>
                  </m:nary>
                </m:num>
                <m:den>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кр</m:t>
                          </m:r>
                        </m:sub>
                      </m:sSub>
                    </m:e>
                  </m:nary>
                  <m:r>
                    <m:rPr>
                      <m:sty m:val="p"/>
                    </m:rPr>
                    <w:rPr>
                      <w:rFonts w:ascii="Cambria Math" w:hAnsi="Cambria Math" w:cstheme="minorHAnsi"/>
                      <w:color w:val="000000" w:themeColor="text1"/>
                      <w:sz w:val="20"/>
                      <w:szCs w:val="20"/>
                      <w:lang w:val="en-US"/>
                    </w:rPr>
                    <m:t>+</m:t>
                  </m:r>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ам</m:t>
                          </m:r>
                        </m:sub>
                      </m:sSub>
                    </m:e>
                  </m:nary>
                </m:den>
              </m:f>
              <m:r>
                <m:rPr>
                  <m:sty m:val="p"/>
                </m:rPr>
                <w:rPr>
                  <w:rFonts w:ascii="Cambria Math" w:hAnsi="Cambria Math" w:cstheme="minorHAnsi"/>
                  <w:color w:val="000000" w:themeColor="text1"/>
                  <w:sz w:val="20"/>
                  <w:szCs w:val="20"/>
                  <w:lang w:val="en-US"/>
                </w:rPr>
                <m:t>*100 % #</m:t>
              </m:r>
              <m:d>
                <m:dPr>
                  <m:begChr m:val="["/>
                  <m:endChr m:val="]"/>
                  <m:ctrlPr>
                    <w:rPr>
                      <w:rFonts w:ascii="Cambria Math" w:hAnsi="Cambria Math" w:cstheme="minorHAnsi"/>
                      <w:color w:val="000000" w:themeColor="text1"/>
                      <w:sz w:val="20"/>
                      <w:szCs w:val="20"/>
                      <w:lang w:val="en-US"/>
                    </w:rPr>
                  </m:ctrlPr>
                </m:dPr>
                <m:e>
                  <m:r>
                    <m:rPr>
                      <m:sty m:val="p"/>
                    </m:rPr>
                    <w:rPr>
                      <w:rFonts w:ascii="Cambria Math" w:hAnsi="Cambria Math" w:cstheme="minorHAnsi"/>
                      <w:color w:val="000000" w:themeColor="text1"/>
                      <w:sz w:val="20"/>
                      <w:szCs w:val="20"/>
                      <w:lang w:val="en-US"/>
                    </w:rPr>
                    <m:t>3</m:t>
                  </m:r>
                </m:e>
              </m:d>
            </m:e>
          </m:eqArr>
        </m:oMath>
      </m:oMathPara>
    </w:p>
    <w:p w14:paraId="034AD6E0" w14:textId="77777777" w:rsidR="00BA38EB" w:rsidRPr="00BA38EB" w:rsidRDefault="00BA38EB" w:rsidP="00BA38EB">
      <w:pPr>
        <w:spacing w:before="120" w:after="120" w:line="360" w:lineRule="auto"/>
        <w:ind w:firstLine="709"/>
        <w:jc w:val="both"/>
        <w:rPr>
          <w:rFonts w:asciiTheme="minorHAnsi" w:hAnsiTheme="minorHAnsi" w:cstheme="minorHAnsi"/>
          <w:color w:val="000000" w:themeColor="text1"/>
          <w:sz w:val="20"/>
          <w:szCs w:val="20"/>
          <w:lang w:val="en-US"/>
        </w:rPr>
      </w:pPr>
      <w:r w:rsidRPr="00BA38EB">
        <w:rPr>
          <w:rFonts w:asciiTheme="minorHAnsi" w:hAnsiTheme="minorHAnsi" w:cstheme="minorHAnsi"/>
          <w:color w:val="000000" w:themeColor="text1"/>
          <w:sz w:val="20"/>
          <w:szCs w:val="20"/>
          <w:lang w:val="en-US"/>
        </w:rPr>
        <w:t xml:space="preserve">where </w:t>
      </w:r>
      <m:oMath>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кр</m:t>
                </m:r>
              </m:sub>
            </m:sSub>
          </m:e>
        </m:nary>
      </m:oMath>
      <w:r w:rsidRPr="00BA38EB">
        <w:rPr>
          <w:rFonts w:asciiTheme="minorHAnsi" w:eastAsiaTheme="minorEastAsia" w:hAnsiTheme="minorHAnsi" w:cstheme="minorHAnsi"/>
          <w:color w:val="000000" w:themeColor="text1"/>
          <w:sz w:val="20"/>
          <w:szCs w:val="20"/>
          <w:lang w:val="en-US"/>
        </w:rPr>
        <w:t xml:space="preserve"> </w:t>
      </w:r>
      <w:r w:rsidRPr="00BA38EB">
        <w:rPr>
          <w:rFonts w:asciiTheme="minorHAnsi" w:hAnsiTheme="minorHAnsi" w:cstheme="minorHAnsi"/>
          <w:color w:val="000000" w:themeColor="text1"/>
          <w:sz w:val="20"/>
          <w:szCs w:val="20"/>
          <w:lang w:val="en-US"/>
        </w:rPr>
        <w:t xml:space="preserve">and </w:t>
      </w:r>
      <m:oMath>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ам</m:t>
                </m:r>
              </m:sub>
            </m:sSub>
          </m:e>
        </m:nary>
      </m:oMath>
      <w:r w:rsidRPr="00BA38EB">
        <w:rPr>
          <w:rFonts w:asciiTheme="minorHAnsi" w:eastAsiaTheme="minorEastAsia" w:hAnsiTheme="minorHAnsi" w:cstheme="minorHAnsi"/>
          <w:color w:val="000000" w:themeColor="text1"/>
          <w:sz w:val="20"/>
          <w:szCs w:val="20"/>
          <w:lang w:val="en-US"/>
        </w:rPr>
        <w:t xml:space="preserve"> </w:t>
      </w:r>
      <w:r w:rsidRPr="00BA38EB">
        <w:rPr>
          <w:rFonts w:asciiTheme="minorHAnsi" w:hAnsiTheme="minorHAnsi" w:cstheme="minorHAnsi"/>
          <w:color w:val="000000" w:themeColor="text1"/>
          <w:sz w:val="20"/>
          <w:szCs w:val="20"/>
          <w:lang w:val="en-US"/>
        </w:rPr>
        <w:t>are the integrated areas of crystalline peaks and the amorphous halo, respectively. The relative β</w:t>
      </w:r>
      <w:r w:rsidRPr="00BA38EB">
        <w:rPr>
          <w:rFonts w:ascii="Cambria Math" w:hAnsi="Cambria Math" w:cs="Cambria Math"/>
          <w:color w:val="000000" w:themeColor="text1"/>
          <w:sz w:val="20"/>
          <w:szCs w:val="20"/>
          <w:lang w:val="en-US"/>
        </w:rPr>
        <w:t>‑</w:t>
      </w:r>
      <w:r w:rsidRPr="00BA38EB">
        <w:rPr>
          <w:rFonts w:asciiTheme="minorHAnsi" w:hAnsiTheme="minorHAnsi" w:cstheme="minorHAnsi"/>
          <w:color w:val="000000" w:themeColor="text1"/>
          <w:sz w:val="20"/>
          <w:szCs w:val="20"/>
          <w:lang w:val="en-US"/>
        </w:rPr>
        <w:t>phase content was determined as:</w:t>
      </w:r>
    </w:p>
    <w:p w14:paraId="692209BE" w14:textId="77777777" w:rsidR="00BA38EB" w:rsidRPr="00BA38EB" w:rsidRDefault="00BA38EB" w:rsidP="00BA38EB">
      <w:pPr>
        <w:spacing w:before="120" w:after="120" w:line="360" w:lineRule="auto"/>
        <w:jc w:val="both"/>
        <w:rPr>
          <w:rFonts w:asciiTheme="minorHAnsi" w:eastAsiaTheme="minorEastAsia" w:hAnsiTheme="minorHAnsi" w:cstheme="minorHAnsi"/>
          <w:color w:val="000000" w:themeColor="text1"/>
          <w:sz w:val="20"/>
          <w:szCs w:val="20"/>
          <w:lang w:val="en-US"/>
        </w:rPr>
      </w:pPr>
      <m:oMathPara>
        <m:oMath>
          <m:eqArr>
            <m:eqArrPr>
              <m:maxDist m:val="1"/>
              <m:ctrlPr>
                <w:rPr>
                  <w:rFonts w:ascii="Cambria Math" w:hAnsi="Cambria Math" w:cstheme="minorHAnsi"/>
                  <w:color w:val="000000" w:themeColor="text1"/>
                  <w:sz w:val="20"/>
                  <w:szCs w:val="20"/>
                  <w:lang w:val="en-US"/>
                </w:rPr>
              </m:ctrlPr>
            </m:eqArrPr>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χ</m:t>
                  </m:r>
                </m:e>
                <m:sub>
                  <m:r>
                    <m:rPr>
                      <m:sty m:val="p"/>
                    </m:rPr>
                    <w:rPr>
                      <w:rFonts w:ascii="Cambria Math" w:hAnsi="Cambria Math" w:cstheme="minorHAnsi"/>
                      <w:color w:val="000000" w:themeColor="text1"/>
                      <w:sz w:val="20"/>
                      <w:szCs w:val="20"/>
                    </w:rPr>
                    <m:t>β</m:t>
                  </m:r>
                </m:sub>
              </m:sSub>
              <m:r>
                <m:rPr>
                  <m:sty m:val="p"/>
                </m:rPr>
                <w:rPr>
                  <w:rFonts w:ascii="Cambria Math" w:hAnsi="Cambria Math" w:cstheme="minorHAnsi"/>
                  <w:color w:val="000000" w:themeColor="text1"/>
                  <w:sz w:val="20"/>
                  <w:szCs w:val="20"/>
                  <w:lang w:val="en-US"/>
                </w:rPr>
                <m:t>=</m:t>
              </m:r>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χ</m:t>
                  </m:r>
                </m:e>
                <m:sub>
                  <m:r>
                    <m:rPr>
                      <m:sty m:val="p"/>
                    </m:rPr>
                    <w:rPr>
                      <w:rFonts w:ascii="Cambria Math" w:hAnsi="Cambria Math" w:cstheme="minorHAnsi"/>
                      <w:color w:val="000000" w:themeColor="text1"/>
                      <w:sz w:val="20"/>
                      <w:szCs w:val="20"/>
                    </w:rPr>
                    <m:t>кр</m:t>
                  </m:r>
                </m:sub>
              </m:sSub>
              <m:r>
                <m:rPr>
                  <m:sty m:val="p"/>
                </m:rPr>
                <w:rPr>
                  <w:rFonts w:ascii="Cambria Math" w:hAnsi="Cambria Math" w:cstheme="minorHAnsi"/>
                  <w:color w:val="000000" w:themeColor="text1"/>
                  <w:sz w:val="20"/>
                  <w:szCs w:val="20"/>
                  <w:lang w:val="en-US"/>
                </w:rPr>
                <m:t>*</m:t>
              </m:r>
              <m:f>
                <m:fPr>
                  <m:ctrlPr>
                    <w:rPr>
                      <w:rFonts w:ascii="Cambria Math" w:hAnsi="Cambria Math" w:cstheme="minorHAnsi"/>
                      <w:color w:val="000000" w:themeColor="text1"/>
                      <w:sz w:val="20"/>
                      <w:szCs w:val="20"/>
                      <w:lang w:val="en-US"/>
                    </w:rPr>
                  </m:ctrlPr>
                </m:fPr>
                <m:num>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β</m:t>
                          </m:r>
                        </m:sub>
                      </m:sSub>
                    </m:e>
                  </m:nary>
                </m:num>
                <m:den>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β</m:t>
                          </m:r>
                        </m:sub>
                      </m:sSub>
                    </m:e>
                  </m:nary>
                  <m:r>
                    <m:rPr>
                      <m:sty m:val="p"/>
                    </m:rPr>
                    <w:rPr>
                      <w:rFonts w:ascii="Cambria Math" w:hAnsi="Cambria Math" w:cstheme="minorHAnsi"/>
                      <w:color w:val="000000" w:themeColor="text1"/>
                      <w:sz w:val="20"/>
                      <w:szCs w:val="20"/>
                      <w:lang w:val="en-US"/>
                    </w:rPr>
                    <m:t>+</m:t>
                  </m:r>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α</m:t>
                          </m:r>
                        </m:sub>
                      </m:sSub>
                    </m:e>
                  </m:nary>
                </m:den>
              </m:f>
              <m:r>
                <m:rPr>
                  <m:sty m:val="p"/>
                </m:rPr>
                <w:rPr>
                  <w:rFonts w:ascii="Cambria Math" w:hAnsi="Cambria Math" w:cstheme="minorHAnsi"/>
                  <w:color w:val="000000" w:themeColor="text1"/>
                  <w:sz w:val="20"/>
                  <w:szCs w:val="20"/>
                  <w:lang w:val="en-US"/>
                </w:rPr>
                <m:t xml:space="preserve"> % #</m:t>
              </m:r>
              <m:d>
                <m:dPr>
                  <m:begChr m:val="["/>
                  <m:endChr m:val="]"/>
                  <m:ctrlPr>
                    <w:rPr>
                      <w:rFonts w:ascii="Cambria Math" w:hAnsi="Cambria Math" w:cstheme="minorHAnsi"/>
                      <w:color w:val="000000" w:themeColor="text1"/>
                      <w:sz w:val="20"/>
                      <w:szCs w:val="20"/>
                      <w:lang w:val="en-US"/>
                    </w:rPr>
                  </m:ctrlPr>
                </m:dPr>
                <m:e>
                  <m:r>
                    <m:rPr>
                      <m:sty m:val="p"/>
                    </m:rPr>
                    <w:rPr>
                      <w:rFonts w:ascii="Cambria Math" w:hAnsi="Cambria Math" w:cstheme="minorHAnsi"/>
                      <w:color w:val="000000" w:themeColor="text1"/>
                      <w:sz w:val="20"/>
                      <w:szCs w:val="20"/>
                      <w:lang w:val="en-US"/>
                    </w:rPr>
                    <m:t>4</m:t>
                  </m:r>
                </m:e>
              </m:d>
            </m:e>
          </m:eqArr>
        </m:oMath>
      </m:oMathPara>
    </w:p>
    <w:p w14:paraId="59DCAAF8" w14:textId="77777777" w:rsidR="00BA38EB" w:rsidRPr="00BA38EB" w:rsidRDefault="00BA38EB" w:rsidP="00BA38EB">
      <w:pPr>
        <w:spacing w:before="120" w:after="120" w:line="360" w:lineRule="auto"/>
        <w:ind w:firstLine="709"/>
        <w:jc w:val="both"/>
        <w:rPr>
          <w:rFonts w:asciiTheme="minorHAnsi" w:hAnsiTheme="minorHAnsi" w:cstheme="minorHAnsi"/>
          <w:color w:val="000000" w:themeColor="text1"/>
          <w:sz w:val="20"/>
          <w:szCs w:val="20"/>
          <w:lang w:val="en-US"/>
        </w:rPr>
      </w:pPr>
      <w:r w:rsidRPr="00BA38EB">
        <w:rPr>
          <w:rFonts w:asciiTheme="minorHAnsi" w:hAnsiTheme="minorHAnsi" w:cstheme="minorHAnsi"/>
          <w:color w:val="000000" w:themeColor="text1"/>
          <w:sz w:val="20"/>
          <w:szCs w:val="20"/>
          <w:lang w:val="en-US"/>
        </w:rPr>
        <w:t xml:space="preserve">where </w:t>
      </w:r>
      <m:oMath>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β</m:t>
                </m:r>
              </m:sub>
            </m:sSub>
          </m:e>
        </m:nary>
      </m:oMath>
      <w:r w:rsidRPr="00BA38EB">
        <w:rPr>
          <w:rFonts w:asciiTheme="minorHAnsi" w:hAnsiTheme="minorHAnsi" w:cstheme="minorHAnsi"/>
          <w:color w:val="000000" w:themeColor="text1"/>
          <w:sz w:val="20"/>
          <w:szCs w:val="20"/>
          <w:lang w:val="en-US"/>
        </w:rPr>
        <w:t xml:space="preserve"> and </w:t>
      </w:r>
      <m:oMath>
        <m:nary>
          <m:naryPr>
            <m:chr m:val="∑"/>
            <m:limLoc m:val="undOvr"/>
            <m:subHide m:val="1"/>
            <m:supHide m:val="1"/>
            <m:ctrlPr>
              <w:rPr>
                <w:rFonts w:ascii="Cambria Math" w:hAnsi="Cambria Math" w:cstheme="minorHAnsi"/>
                <w:color w:val="000000" w:themeColor="text1"/>
                <w:sz w:val="20"/>
                <w:szCs w:val="20"/>
                <w:lang w:val="en-US"/>
              </w:rPr>
            </m:ctrlPr>
          </m:naryPr>
          <m:sub/>
          <m:sup/>
          <m:e>
            <m:sSub>
              <m:sSubPr>
                <m:ctrlPr>
                  <w:rPr>
                    <w:rFonts w:ascii="Cambria Math" w:hAnsi="Cambria Math" w:cstheme="minorHAnsi"/>
                    <w:color w:val="000000" w:themeColor="text1"/>
                    <w:sz w:val="20"/>
                    <w:szCs w:val="20"/>
                    <w:lang w:val="en-US"/>
                  </w:rPr>
                </m:ctrlPr>
              </m:sSubPr>
              <m:e>
                <m:r>
                  <m:rPr>
                    <m:sty m:val="p"/>
                  </m:rPr>
                  <w:rPr>
                    <w:rFonts w:ascii="Cambria Math" w:hAnsi="Cambria Math" w:cstheme="minorHAnsi"/>
                    <w:color w:val="000000" w:themeColor="text1"/>
                    <w:sz w:val="20"/>
                    <w:szCs w:val="20"/>
                    <w:lang w:val="en-US"/>
                  </w:rPr>
                  <m:t>A</m:t>
                </m:r>
              </m:e>
              <m:sub>
                <m:r>
                  <m:rPr>
                    <m:sty m:val="p"/>
                  </m:rPr>
                  <w:rPr>
                    <w:rFonts w:ascii="Cambria Math" w:hAnsi="Cambria Math" w:cstheme="minorHAnsi"/>
                    <w:color w:val="000000" w:themeColor="text1"/>
                    <w:sz w:val="20"/>
                    <w:szCs w:val="20"/>
                  </w:rPr>
                  <m:t>α</m:t>
                </m:r>
              </m:sub>
            </m:sSub>
          </m:e>
        </m:nary>
      </m:oMath>
      <w:r w:rsidRPr="00BA38EB">
        <w:rPr>
          <w:rFonts w:asciiTheme="minorHAnsi" w:hAnsiTheme="minorHAnsi" w:cstheme="minorHAnsi"/>
          <w:color w:val="000000" w:themeColor="text1"/>
          <w:sz w:val="20"/>
          <w:szCs w:val="20"/>
          <w:lang w:val="en-US"/>
        </w:rPr>
        <w:t xml:space="preserve"> are the integrated areas of the </w:t>
      </w:r>
      <w:r w:rsidRPr="00BA38EB">
        <w:rPr>
          <w:rFonts w:asciiTheme="minorHAnsi" w:hAnsiTheme="minorHAnsi" w:cstheme="minorHAnsi"/>
          <w:color w:val="000000" w:themeColor="text1"/>
          <w:sz w:val="20"/>
          <w:szCs w:val="20"/>
        </w:rPr>
        <w:t>α</w:t>
      </w:r>
      <w:r w:rsidRPr="00BA38EB">
        <w:rPr>
          <w:rFonts w:asciiTheme="minorHAnsi" w:hAnsiTheme="minorHAnsi" w:cstheme="minorHAnsi"/>
          <w:color w:val="000000" w:themeColor="text1"/>
          <w:sz w:val="20"/>
          <w:szCs w:val="20"/>
          <w:lang w:val="en-US"/>
        </w:rPr>
        <w:noBreakHyphen/>
        <w:t xml:space="preserve"> and </w:t>
      </w:r>
      <m:oMath>
        <m:r>
          <w:rPr>
            <w:rFonts w:ascii="Cambria Math" w:hAnsi="Cambria Math" w:cstheme="minorHAnsi"/>
            <w:color w:val="000000" w:themeColor="text1"/>
            <w:sz w:val="20"/>
            <w:szCs w:val="20"/>
          </w:rPr>
          <m:t>β</m:t>
        </m:r>
      </m:oMath>
      <w:r w:rsidRPr="00BA38EB">
        <w:rPr>
          <w:rFonts w:asciiTheme="minorHAnsi" w:hAnsiTheme="minorHAnsi" w:cstheme="minorHAnsi"/>
          <w:color w:val="000000" w:themeColor="text1"/>
          <w:sz w:val="20"/>
          <w:szCs w:val="20"/>
          <w:lang w:val="en-US"/>
        </w:rPr>
        <w:t xml:space="preserve">-phase peaks. </w:t>
      </w:r>
    </w:p>
    <w:p w14:paraId="3CA66F15" w14:textId="77777777" w:rsidR="00127072" w:rsidRPr="00BA38EB" w:rsidRDefault="00127072">
      <w:pPr>
        <w:rPr>
          <w:rFonts w:asciiTheme="minorHAnsi" w:hAnsiTheme="minorHAnsi" w:cstheme="minorHAnsi"/>
          <w:sz w:val="18"/>
          <w:szCs w:val="18"/>
          <w:lang w:val="en-US"/>
        </w:rPr>
      </w:pPr>
    </w:p>
    <w:sectPr w:rsidR="00127072" w:rsidRPr="00BA38EB" w:rsidSect="00BA38EB">
      <w:headerReference w:type="default" r:id="rId17"/>
      <w:footnotePr>
        <w:numFmt w:val="chicago"/>
      </w:footnotePr>
      <w:pgSz w:w="11906" w:h="16838" w:code="9"/>
      <w:pgMar w:top="42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44C4" w14:textId="77777777" w:rsidR="00DA46ED" w:rsidRDefault="00DA46ED" w:rsidP="00BA38EB">
      <w:pPr>
        <w:spacing w:after="0"/>
      </w:pPr>
      <w:r>
        <w:separator/>
      </w:r>
    </w:p>
  </w:endnote>
  <w:endnote w:type="continuationSeparator" w:id="0">
    <w:p w14:paraId="3393323D" w14:textId="77777777" w:rsidR="00DA46ED" w:rsidRDefault="00DA46ED" w:rsidP="00BA3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B5D9" w14:textId="77777777" w:rsidR="00DA46ED" w:rsidRDefault="00DA46ED" w:rsidP="00BA38EB">
      <w:pPr>
        <w:spacing w:after="0"/>
      </w:pPr>
      <w:r>
        <w:separator/>
      </w:r>
    </w:p>
  </w:footnote>
  <w:footnote w:type="continuationSeparator" w:id="0">
    <w:p w14:paraId="764BA741" w14:textId="77777777" w:rsidR="00DA46ED" w:rsidRDefault="00DA46ED" w:rsidP="00BA38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D169" w14:textId="50899FE6" w:rsidR="00BA38EB" w:rsidRPr="00BA38EB" w:rsidRDefault="00BA38EB" w:rsidP="00BA38EB">
    <w:pPr>
      <w:pStyle w:val="ae"/>
      <w:ind w:left="-1134"/>
      <w:rPr>
        <w:rFonts w:asciiTheme="minorHAnsi" w:hAnsiTheme="minorHAnsi" w:cstheme="minorHAnsi"/>
        <w:sz w:val="24"/>
        <w:szCs w:val="20"/>
        <w:lang w:val="en-US"/>
      </w:rPr>
    </w:pPr>
    <w:r w:rsidRPr="00BA38EB">
      <w:rPr>
        <w:rFonts w:asciiTheme="minorHAnsi" w:hAnsiTheme="minorHAnsi" w:cstheme="minorHAnsi"/>
        <w:sz w:val="24"/>
        <w:szCs w:val="20"/>
        <w:lang w:val="en-US"/>
      </w:rPr>
      <w:t>Supplementary Information (SI) for Journal of Materials Chemistry A.</w:t>
    </w:r>
  </w:p>
  <w:p w14:paraId="7BEDD3E4" w14:textId="39D58A9D" w:rsidR="00BA38EB" w:rsidRPr="00BA38EB" w:rsidRDefault="00BA38EB" w:rsidP="00BA38EB">
    <w:pPr>
      <w:pStyle w:val="ae"/>
      <w:ind w:left="-1134"/>
      <w:rPr>
        <w:rFonts w:asciiTheme="minorHAnsi" w:hAnsiTheme="minorHAnsi" w:cstheme="minorHAnsi"/>
        <w:sz w:val="24"/>
        <w:szCs w:val="20"/>
        <w:lang w:val="en-US"/>
      </w:rPr>
    </w:pPr>
    <w:r w:rsidRPr="00BA38EB">
      <w:rPr>
        <w:rFonts w:asciiTheme="minorHAnsi" w:hAnsiTheme="minorHAnsi" w:cstheme="minorHAnsi"/>
        <w:sz w:val="24"/>
        <w:szCs w:val="20"/>
        <w:lang w:val="en-US"/>
      </w:rPr>
      <w:t xml:space="preserve">This journal is </w:t>
    </w:r>
    <w:r w:rsidRPr="00BA38EB">
      <w:rPr>
        <w:rFonts w:asciiTheme="minorHAnsi" w:hAnsiTheme="minorHAnsi" w:cstheme="minorHAnsi"/>
        <w:sz w:val="24"/>
        <w:szCs w:val="20"/>
        <w:lang w:val="en-US"/>
      </w:rPr>
      <w:t>©</w:t>
    </w:r>
    <w:r w:rsidRPr="00BA38EB">
      <w:rPr>
        <w:rFonts w:asciiTheme="minorHAnsi" w:hAnsiTheme="minorHAnsi" w:cstheme="minorHAnsi"/>
        <w:sz w:val="24"/>
        <w:szCs w:val="20"/>
        <w:lang w:val="en-US"/>
      </w:rPr>
      <w:t xml:space="preserve"> The Royal Society of Chemistry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52AC"/>
    <w:multiLevelType w:val="hybridMultilevel"/>
    <w:tmpl w:val="EA4C0084"/>
    <w:lvl w:ilvl="0" w:tplc="2A8CB324">
      <w:start w:val="1"/>
      <w:numFmt w:val="bullet"/>
      <w:lvlText w:val=""/>
      <w:lvlJc w:val="left"/>
      <w:pPr>
        <w:ind w:left="720" w:hanging="360"/>
      </w:pPr>
      <w:rPr>
        <w:rFonts w:ascii="Symbol" w:eastAsiaTheme="minorHAnsi"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B947B1"/>
    <w:multiLevelType w:val="hybridMultilevel"/>
    <w:tmpl w:val="CD98F8B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FC6648"/>
    <w:multiLevelType w:val="multilevel"/>
    <w:tmpl w:val="34109F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D1C56DA"/>
    <w:multiLevelType w:val="hybridMultilevel"/>
    <w:tmpl w:val="E92CC8E2"/>
    <w:lvl w:ilvl="0" w:tplc="69507A72">
      <w:start w:val="1"/>
      <w:numFmt w:val="bullet"/>
      <w:lvlText w:val=""/>
      <w:lvlJc w:val="left"/>
      <w:pPr>
        <w:ind w:left="720" w:hanging="360"/>
      </w:pPr>
      <w:rPr>
        <w:rFonts w:ascii="Symbol" w:eastAsiaTheme="minorHAnsi"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0343805">
    <w:abstractNumId w:val="2"/>
  </w:num>
  <w:num w:numId="2" w16cid:durableId="7409560">
    <w:abstractNumId w:val="1"/>
  </w:num>
  <w:num w:numId="3" w16cid:durableId="1388383175">
    <w:abstractNumId w:val="0"/>
  </w:num>
  <w:num w:numId="4" w16cid:durableId="1118455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EB"/>
    <w:rsid w:val="000D3802"/>
    <w:rsid w:val="00127072"/>
    <w:rsid w:val="00427A8A"/>
    <w:rsid w:val="00753C98"/>
    <w:rsid w:val="008733F7"/>
    <w:rsid w:val="0095607F"/>
    <w:rsid w:val="00BA38EB"/>
    <w:rsid w:val="00DA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E26B"/>
  <w15:chartTrackingRefBased/>
  <w15:docId w15:val="{DBFB384D-1081-44B8-8E1E-70A2378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8EB"/>
    <w:pPr>
      <w:spacing w:line="240" w:lineRule="auto"/>
    </w:pPr>
    <w:rPr>
      <w:rFonts w:ascii="Times New Roman" w:hAnsi="Times New Roman"/>
      <w:sz w:val="28"/>
      <w:szCs w:val="22"/>
    </w:rPr>
  </w:style>
  <w:style w:type="paragraph" w:styleId="1">
    <w:name w:val="heading 1"/>
    <w:basedOn w:val="a"/>
    <w:next w:val="a"/>
    <w:link w:val="10"/>
    <w:uiPriority w:val="9"/>
    <w:qFormat/>
    <w:rsid w:val="00BA3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A3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A38EB"/>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BA38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38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3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3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3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3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A3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A3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3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3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3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3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A3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38EB"/>
    <w:rPr>
      <w:rFonts w:eastAsiaTheme="majorEastAsia" w:cstheme="majorBidi"/>
      <w:color w:val="272727" w:themeColor="text1" w:themeTint="D8"/>
    </w:rPr>
  </w:style>
  <w:style w:type="paragraph" w:styleId="a3">
    <w:name w:val="Title"/>
    <w:basedOn w:val="a"/>
    <w:next w:val="a"/>
    <w:link w:val="a4"/>
    <w:uiPriority w:val="10"/>
    <w:qFormat/>
    <w:rsid w:val="00BA38E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3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8EB"/>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BA38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38EB"/>
    <w:pPr>
      <w:spacing w:before="160"/>
      <w:jc w:val="center"/>
    </w:pPr>
    <w:rPr>
      <w:i/>
      <w:iCs/>
      <w:color w:val="404040" w:themeColor="text1" w:themeTint="BF"/>
    </w:rPr>
  </w:style>
  <w:style w:type="character" w:customStyle="1" w:styleId="22">
    <w:name w:val="Цитата 2 Знак"/>
    <w:basedOn w:val="a0"/>
    <w:link w:val="21"/>
    <w:uiPriority w:val="29"/>
    <w:rsid w:val="00BA38EB"/>
    <w:rPr>
      <w:i/>
      <w:iCs/>
      <w:color w:val="404040" w:themeColor="text1" w:themeTint="BF"/>
    </w:rPr>
  </w:style>
  <w:style w:type="paragraph" w:styleId="a7">
    <w:name w:val="List Paragraph"/>
    <w:basedOn w:val="a"/>
    <w:uiPriority w:val="34"/>
    <w:qFormat/>
    <w:rsid w:val="00BA38EB"/>
    <w:pPr>
      <w:ind w:left="720"/>
      <w:contextualSpacing/>
    </w:pPr>
  </w:style>
  <w:style w:type="character" w:styleId="a8">
    <w:name w:val="Intense Emphasis"/>
    <w:basedOn w:val="a0"/>
    <w:uiPriority w:val="21"/>
    <w:qFormat/>
    <w:rsid w:val="00BA38EB"/>
    <w:rPr>
      <w:i/>
      <w:iCs/>
      <w:color w:val="2F5496" w:themeColor="accent1" w:themeShade="BF"/>
    </w:rPr>
  </w:style>
  <w:style w:type="paragraph" w:styleId="a9">
    <w:name w:val="Intense Quote"/>
    <w:basedOn w:val="a"/>
    <w:next w:val="a"/>
    <w:link w:val="aa"/>
    <w:uiPriority w:val="30"/>
    <w:qFormat/>
    <w:rsid w:val="00BA3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38EB"/>
    <w:rPr>
      <w:i/>
      <w:iCs/>
      <w:color w:val="2F5496" w:themeColor="accent1" w:themeShade="BF"/>
    </w:rPr>
  </w:style>
  <w:style w:type="character" w:styleId="ab">
    <w:name w:val="Intense Reference"/>
    <w:basedOn w:val="a0"/>
    <w:uiPriority w:val="32"/>
    <w:qFormat/>
    <w:rsid w:val="00BA38EB"/>
    <w:rPr>
      <w:b/>
      <w:bCs/>
      <w:smallCaps/>
      <w:color w:val="2F5496" w:themeColor="accent1" w:themeShade="BF"/>
      <w:spacing w:val="5"/>
    </w:rPr>
  </w:style>
  <w:style w:type="table" w:styleId="ac">
    <w:name w:val="Table Grid"/>
    <w:basedOn w:val="a1"/>
    <w:uiPriority w:val="39"/>
    <w:unhideWhenUsed/>
    <w:qFormat/>
    <w:rsid w:val="00BA38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BA38EB"/>
    <w:pPr>
      <w:spacing w:after="200"/>
    </w:pPr>
    <w:rPr>
      <w:i/>
      <w:iCs/>
      <w:color w:val="44546A" w:themeColor="text2"/>
      <w:sz w:val="18"/>
      <w:szCs w:val="18"/>
    </w:rPr>
  </w:style>
  <w:style w:type="character" w:customStyle="1" w:styleId="rynqvb">
    <w:name w:val="rynqvb"/>
    <w:basedOn w:val="a0"/>
    <w:rsid w:val="00BA38EB"/>
  </w:style>
  <w:style w:type="paragraph" w:styleId="ae">
    <w:name w:val="header"/>
    <w:basedOn w:val="a"/>
    <w:link w:val="af"/>
    <w:uiPriority w:val="99"/>
    <w:unhideWhenUsed/>
    <w:rsid w:val="00BA38EB"/>
    <w:pPr>
      <w:tabs>
        <w:tab w:val="center" w:pos="4677"/>
        <w:tab w:val="right" w:pos="9355"/>
      </w:tabs>
      <w:spacing w:after="0"/>
    </w:pPr>
  </w:style>
  <w:style w:type="character" w:customStyle="1" w:styleId="af">
    <w:name w:val="Верхний колонтитул Знак"/>
    <w:basedOn w:val="a0"/>
    <w:link w:val="ae"/>
    <w:uiPriority w:val="99"/>
    <w:rsid w:val="00BA38EB"/>
    <w:rPr>
      <w:rFonts w:ascii="Times New Roman" w:hAnsi="Times New Roman"/>
      <w:sz w:val="28"/>
      <w:szCs w:val="22"/>
    </w:rPr>
  </w:style>
  <w:style w:type="paragraph" w:styleId="af0">
    <w:name w:val="footer"/>
    <w:basedOn w:val="a"/>
    <w:link w:val="af1"/>
    <w:uiPriority w:val="99"/>
    <w:unhideWhenUsed/>
    <w:rsid w:val="00BA38EB"/>
    <w:pPr>
      <w:tabs>
        <w:tab w:val="center" w:pos="4677"/>
        <w:tab w:val="right" w:pos="9355"/>
      </w:tabs>
      <w:spacing w:after="0"/>
    </w:pPr>
  </w:style>
  <w:style w:type="character" w:customStyle="1" w:styleId="af1">
    <w:name w:val="Нижний колонтитул Знак"/>
    <w:basedOn w:val="a0"/>
    <w:link w:val="af0"/>
    <w:uiPriority w:val="99"/>
    <w:rsid w:val="00BA38EB"/>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Гуменный Игорь</dc:creator>
  <cp:keywords/>
  <dc:description/>
  <cp:lastModifiedBy>Гуменный Игорь</cp:lastModifiedBy>
  <cp:revision>1</cp:revision>
  <dcterms:created xsi:type="dcterms:W3CDTF">2026-02-17T13:53:00Z</dcterms:created>
  <dcterms:modified xsi:type="dcterms:W3CDTF">2026-02-17T14:13:00Z</dcterms:modified>
</cp:coreProperties>
</file>