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9D1FE" w14:textId="77777777" w:rsidR="009C6C48" w:rsidRDefault="009C6C48" w:rsidP="009C6C48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Article title: Impact of Neurokinin-1 Receptor Antagonists on New-Onset diabetes in Patients Receiving Chemotherapy: A Retrospective Cross-Sectional Study Using Health Claims Database in Japan</w:t>
      </w:r>
    </w:p>
    <w:p w14:paraId="0009D3E6" w14:textId="77777777" w:rsidR="009C6C48" w:rsidRDefault="009C6C48" w:rsidP="009C6C48">
      <w:pPr>
        <w:spacing w:after="0" w:line="480" w:lineRule="auto"/>
        <w:rPr>
          <w:b/>
          <w:sz w:val="20"/>
        </w:rPr>
      </w:pPr>
    </w:p>
    <w:p w14:paraId="1412C1C6" w14:textId="77777777" w:rsidR="009C6C48" w:rsidRDefault="009C6C48" w:rsidP="009C6C48">
      <w:pPr>
        <w:spacing w:after="0" w:line="480" w:lineRule="auto"/>
        <w:rPr>
          <w:b/>
          <w:sz w:val="20"/>
        </w:rPr>
      </w:pPr>
      <w:r>
        <w:rPr>
          <w:b/>
          <w:sz w:val="20"/>
        </w:rPr>
        <w:t xml:space="preserve">Journal name: </w:t>
      </w:r>
      <w:r w:rsidRPr="00E122CF">
        <w:rPr>
          <w:b/>
          <w:i/>
          <w:iCs/>
          <w:sz w:val="20"/>
        </w:rPr>
        <w:t xml:space="preserve">Supportive Care </w:t>
      </w:r>
      <w:r>
        <w:rPr>
          <w:b/>
          <w:i/>
          <w:iCs/>
          <w:sz w:val="20"/>
        </w:rPr>
        <w:t>i</w:t>
      </w:r>
      <w:r w:rsidRPr="00E122CF">
        <w:rPr>
          <w:b/>
          <w:i/>
          <w:iCs/>
          <w:sz w:val="20"/>
        </w:rPr>
        <w:t>n Cancer</w:t>
      </w:r>
      <w:r>
        <w:rPr>
          <w:b/>
          <w:sz w:val="20"/>
        </w:rPr>
        <w:t xml:space="preserve"> </w:t>
      </w:r>
    </w:p>
    <w:p w14:paraId="2EA08AA5" w14:textId="77777777" w:rsidR="009C6C48" w:rsidRDefault="009C6C48" w:rsidP="009C6C48">
      <w:pPr>
        <w:spacing w:after="0" w:line="480" w:lineRule="auto"/>
        <w:rPr>
          <w:rFonts w:eastAsia="Times New Roman" w:cs="Times New Roman"/>
          <w:b/>
          <w:sz w:val="20"/>
        </w:rPr>
      </w:pPr>
    </w:p>
    <w:p w14:paraId="5FF3A889" w14:textId="77777777" w:rsidR="009C6C48" w:rsidRDefault="009C6C48" w:rsidP="009C6C48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Authors:</w:t>
      </w:r>
    </w:p>
    <w:p w14:paraId="21957A2B" w14:textId="77777777" w:rsidR="009C6C48" w:rsidRDefault="009C6C48" w:rsidP="009C6C48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Yuki Ozawa</w:t>
      </w:r>
      <w:r>
        <w:rPr>
          <w:rFonts w:eastAsia="Times New Roman" w:cs="Times New Roman"/>
          <w:sz w:val="20"/>
          <w:vertAlign w:val="superscript"/>
        </w:rPr>
        <w:t>1,2</w:t>
      </w:r>
      <w:r>
        <w:rPr>
          <w:rFonts w:eastAsia="Times New Roman" w:cs="Times New Roman"/>
          <w:sz w:val="20"/>
        </w:rPr>
        <w:t>, Shinya Suzuki</w:t>
      </w:r>
      <w:r>
        <w:rPr>
          <w:rFonts w:eastAsia="Times New Roman" w:cs="Times New Roman"/>
          <w:sz w:val="20"/>
          <w:vertAlign w:val="superscript"/>
        </w:rPr>
        <w:t xml:space="preserve"> 3</w:t>
      </w:r>
      <w:r>
        <w:rPr>
          <w:rFonts w:eastAsia="Times New Roman" w:cs="Times New Roman"/>
          <w:sz w:val="20"/>
        </w:rPr>
        <w:t>*, Takuma Koinuma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Takashi Yokokawa</w:t>
      </w:r>
      <w:r>
        <w:rPr>
          <w:rFonts w:eastAsia="Times New Roman" w:cs="Times New Roman"/>
          <w:sz w:val="20"/>
          <w:vertAlign w:val="superscript"/>
        </w:rPr>
        <w:t>1</w:t>
      </w:r>
      <w:r>
        <w:rPr>
          <w:rFonts w:eastAsia="Times New Roman" w:cs="Times New Roman"/>
          <w:sz w:val="20"/>
        </w:rPr>
        <w:t xml:space="preserve">, </w:t>
      </w:r>
      <w:proofErr w:type="spellStart"/>
      <w:r>
        <w:rPr>
          <w:rFonts w:eastAsia="Times New Roman" w:cs="Times New Roman"/>
          <w:sz w:val="20"/>
        </w:rPr>
        <w:t>Takenori</w:t>
      </w:r>
      <w:proofErr w:type="spellEnd"/>
      <w:r>
        <w:rPr>
          <w:rFonts w:eastAsia="Times New Roman" w:cs="Times New Roman"/>
          <w:sz w:val="20"/>
        </w:rPr>
        <w:t xml:space="preserve"> Ichimura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Kenichi Suzuki</w:t>
      </w:r>
      <w:r>
        <w:rPr>
          <w:rFonts w:eastAsia="Times New Roman" w:cs="Times New Roman"/>
          <w:sz w:val="20"/>
          <w:vertAlign w:val="superscript"/>
        </w:rPr>
        <w:t>1</w:t>
      </w:r>
      <w:r>
        <w:rPr>
          <w:rFonts w:eastAsia="Times New Roman" w:cs="Times New Roman"/>
          <w:sz w:val="20"/>
        </w:rPr>
        <w:t>, Yusuke Hori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and Shinobu Imai</w:t>
      </w:r>
      <w:r>
        <w:rPr>
          <w:rFonts w:eastAsia="Times New Roman" w:cs="Times New Roman"/>
          <w:sz w:val="20"/>
          <w:vertAlign w:val="superscript"/>
        </w:rPr>
        <w:t>4</w:t>
      </w:r>
    </w:p>
    <w:p w14:paraId="7E7C9AC2" w14:textId="77777777" w:rsidR="009C6C48" w:rsidRDefault="009C6C48" w:rsidP="009C6C48">
      <w:pPr>
        <w:spacing w:after="0" w:line="480" w:lineRule="auto"/>
        <w:rPr>
          <w:sz w:val="20"/>
        </w:rPr>
      </w:pPr>
    </w:p>
    <w:p w14:paraId="0D4A0E33" w14:textId="77777777" w:rsidR="009C6C48" w:rsidRDefault="009C6C48" w:rsidP="009C6C48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Affiliation</w:t>
      </w:r>
      <w:r>
        <w:rPr>
          <w:rFonts w:eastAsia="Times New Roman" w:cs="Times New Roman"/>
          <w:sz w:val="20"/>
        </w:rPr>
        <w:t>s</w:t>
      </w:r>
      <w:r>
        <w:rPr>
          <w:rFonts w:eastAsia="Times New Roman" w:cs="Times New Roman"/>
          <w:b/>
          <w:sz w:val="20"/>
        </w:rPr>
        <w:t>:</w:t>
      </w:r>
    </w:p>
    <w:p w14:paraId="6D0F689B" w14:textId="77777777" w:rsidR="009C6C48" w:rsidRDefault="009C6C48" w:rsidP="009C6C48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eastAsia="Times New Roman" w:cs="Times New Roman"/>
          <w:sz w:val="20"/>
        </w:rPr>
        <w:t>1.</w:t>
      </w:r>
      <w:r>
        <w:rPr>
          <w:rFonts w:eastAsia="Times New Roman" w:cs="Times New Roman"/>
          <w:sz w:val="20"/>
        </w:rPr>
        <w:tab/>
        <w:t>Department of Clinical Pharmacology, School of Pharmacy, Tokyo University of Pharmacy and Life Sciences, Tokyo, Japan</w:t>
      </w:r>
    </w:p>
    <w:p w14:paraId="032CF75A" w14:textId="77777777" w:rsidR="009C6C48" w:rsidRDefault="009C6C48" w:rsidP="009C6C48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eastAsia="Times New Roman" w:cs="Times New Roman"/>
          <w:sz w:val="20"/>
        </w:rPr>
        <w:t>2.</w:t>
      </w:r>
      <w:r>
        <w:rPr>
          <w:rFonts w:eastAsia="Times New Roman" w:cs="Times New Roman"/>
          <w:sz w:val="20"/>
        </w:rPr>
        <w:tab/>
        <w:t xml:space="preserve">Department of Pharmacy, Kanagawa Prefectural </w:t>
      </w:r>
      <w:proofErr w:type="spellStart"/>
      <w:r>
        <w:rPr>
          <w:rFonts w:eastAsia="Times New Roman" w:cs="Times New Roman"/>
          <w:sz w:val="20"/>
        </w:rPr>
        <w:t>Keiyukai</w:t>
      </w:r>
      <w:proofErr w:type="spellEnd"/>
      <w:r>
        <w:rPr>
          <w:rFonts w:eastAsia="Times New Roman" w:cs="Times New Roman"/>
          <w:sz w:val="20"/>
        </w:rPr>
        <w:t xml:space="preserve">, </w:t>
      </w:r>
      <w:proofErr w:type="spellStart"/>
      <w:r>
        <w:rPr>
          <w:rFonts w:eastAsia="Times New Roman" w:cs="Times New Roman"/>
          <w:sz w:val="20"/>
        </w:rPr>
        <w:t>Keiyu</w:t>
      </w:r>
      <w:proofErr w:type="spellEnd"/>
      <w:r>
        <w:rPr>
          <w:rFonts w:eastAsia="Times New Roman" w:cs="Times New Roman"/>
          <w:sz w:val="20"/>
        </w:rPr>
        <w:t xml:space="preserve"> Hospital, Kanagawa, Japan</w:t>
      </w:r>
    </w:p>
    <w:p w14:paraId="6F19E0AE" w14:textId="77777777" w:rsidR="009C6C48" w:rsidRDefault="009C6C48" w:rsidP="009C6C48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eastAsia="Times New Roman" w:cs="Times New Roman"/>
          <w:sz w:val="20"/>
        </w:rPr>
        <w:t>3.</w:t>
      </w:r>
      <w:r>
        <w:rPr>
          <w:rFonts w:eastAsia="Times New Roman" w:cs="Times New Roman"/>
          <w:sz w:val="20"/>
        </w:rPr>
        <w:tab/>
        <w:t>Pharmacy Practice Education Center, School of Pharmacy, Tokyo University of Pharmacy and Life Sciences, Tokyo, Japan</w:t>
      </w:r>
    </w:p>
    <w:p w14:paraId="4ECD5AC3" w14:textId="77777777" w:rsidR="009C6C48" w:rsidRDefault="009C6C48" w:rsidP="009C6C48">
      <w:pPr>
        <w:pStyle w:val="a9"/>
        <w:widowControl/>
        <w:shd w:val="clear" w:color="auto" w:fill="FFFFFF"/>
        <w:spacing w:after="0" w:line="480" w:lineRule="auto"/>
        <w:ind w:left="360" w:hanging="360"/>
        <w:rPr>
          <w:color w:val="000000"/>
          <w:sz w:val="20"/>
        </w:rPr>
      </w:pPr>
      <w:r>
        <w:rPr>
          <w:rFonts w:eastAsia="Times New Roman" w:cs="Times New Roman"/>
          <w:color w:val="000000"/>
          <w:sz w:val="20"/>
        </w:rPr>
        <w:t>4.</w:t>
      </w:r>
      <w:r>
        <w:rPr>
          <w:rFonts w:eastAsia="Times New Roman" w:cs="Times New Roman"/>
          <w:color w:val="000000"/>
          <w:sz w:val="20"/>
        </w:rPr>
        <w:tab/>
        <w:t>Division of Pharmacoepidemiology, Department of Healthcare and Regulatory Sciences, Showa University School of Pharmacy, Tokyo, Japan</w:t>
      </w:r>
    </w:p>
    <w:p w14:paraId="371FDCCF" w14:textId="77777777" w:rsidR="009C6C48" w:rsidRDefault="009C6C48" w:rsidP="009C6C48">
      <w:pPr>
        <w:spacing w:after="0" w:line="480" w:lineRule="auto"/>
        <w:rPr>
          <w:b/>
          <w:sz w:val="20"/>
        </w:rPr>
      </w:pPr>
    </w:p>
    <w:p w14:paraId="5C66AF3D" w14:textId="77777777" w:rsidR="009C6C48" w:rsidRDefault="009C6C48" w:rsidP="009C6C48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Corresponding author:</w:t>
      </w:r>
    </w:p>
    <w:p w14:paraId="6A5DA048" w14:textId="77777777" w:rsidR="009C6C48" w:rsidRDefault="009C6C48" w:rsidP="009C6C48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Shinya Suzuki, Pharmacy Practice Education Center, School of Pharmacy, Tokyo University of Pharmacy and Life Sciences, 1432-1, Horinouchi, Hachioji-city, Tokyo 192-0392, Japan</w:t>
      </w:r>
    </w:p>
    <w:p w14:paraId="24DAE44B" w14:textId="77777777" w:rsidR="009C6C48" w:rsidRDefault="009C6C48" w:rsidP="009C6C48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Tel: +08-</w:t>
      </w:r>
      <w:r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</w:t>
      </w:r>
      <w:r>
        <w:rPr>
          <w:rFonts w:eastAsia="Times New Roman" w:cs="Times New Roman"/>
          <w:sz w:val="20"/>
        </w:rPr>
        <w:t>42-676-4364</w:t>
      </w:r>
    </w:p>
    <w:p w14:paraId="7C74C791" w14:textId="77777777" w:rsidR="009C6C48" w:rsidRDefault="009C6C48" w:rsidP="009C6C48">
      <w:pPr>
        <w:widowControl/>
        <w:spacing w:after="0" w:line="480" w:lineRule="auto"/>
        <w:rPr>
          <w:rFonts w:eastAsia="Times New Roman" w:cs="Times New Roman"/>
          <w:b/>
        </w:rPr>
      </w:pPr>
      <w:r>
        <w:rPr>
          <w:rFonts w:eastAsia="Times New Roman" w:cs="Times New Roman"/>
          <w:sz w:val="20"/>
        </w:rPr>
        <w:t>E-mail: ssuzuki@toyaku.ac.jp</w:t>
      </w:r>
    </w:p>
    <w:p w14:paraId="00DA2C7B" w14:textId="77777777" w:rsidR="002F08B0" w:rsidRDefault="002F08B0"/>
    <w:p w14:paraId="50924EA2" w14:textId="77777777" w:rsidR="009C6C48" w:rsidRDefault="009C6C48"/>
    <w:p w14:paraId="713E2877" w14:textId="77777777" w:rsidR="009C6C48" w:rsidRDefault="009C6C48"/>
    <w:p w14:paraId="2A870837" w14:textId="77777777" w:rsidR="009C6C48" w:rsidRDefault="009C6C48"/>
    <w:p w14:paraId="1B2526E7" w14:textId="77777777" w:rsidR="009C6C48" w:rsidRDefault="009C6C48"/>
    <w:p w14:paraId="19636C3C" w14:textId="77777777" w:rsidR="009C6C48" w:rsidRDefault="009C6C48"/>
    <w:p w14:paraId="198B7FD5" w14:textId="3EC23BF7" w:rsidR="009C6C48" w:rsidRDefault="009C6C48" w:rsidP="009C6C48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</w:rPr>
        <w:lastRenderedPageBreak/>
        <w:t xml:space="preserve">Online Resource 5. </w:t>
      </w:r>
      <w:r>
        <w:rPr>
          <w:rFonts w:eastAsia="Times New Roman" w:cs="Times New Roman"/>
          <w:b/>
          <w:sz w:val="20"/>
        </w:rPr>
        <w:t>Sensitivity analysis of excluding pancreatic cancer from covariate</w:t>
      </w:r>
    </w:p>
    <w:tbl>
      <w:tblPr>
        <w:tblStyle w:val="25"/>
        <w:tblW w:w="0" w:type="auto"/>
        <w:tblLook w:val="0620" w:firstRow="1" w:lastRow="0" w:firstColumn="0" w:lastColumn="0" w:noHBand="1" w:noVBand="1"/>
      </w:tblPr>
      <w:tblGrid>
        <w:gridCol w:w="2401"/>
        <w:gridCol w:w="2135"/>
        <w:gridCol w:w="2835"/>
        <w:gridCol w:w="1133"/>
      </w:tblGrid>
      <w:tr w:rsidR="009C6C48" w14:paraId="12480101" w14:textId="77777777" w:rsidTr="0075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1" w:type="dxa"/>
          </w:tcPr>
          <w:p w14:paraId="17B3C66E" w14:textId="77777777" w:rsidR="009C6C48" w:rsidRDefault="009C6C48" w:rsidP="0075649E">
            <w:pPr>
              <w:rPr>
                <w:sz w:val="20"/>
              </w:rPr>
            </w:pPr>
          </w:p>
        </w:tc>
        <w:tc>
          <w:tcPr>
            <w:tcW w:w="2135" w:type="dxa"/>
          </w:tcPr>
          <w:p w14:paraId="66D01857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Odds ratio</w:t>
            </w:r>
          </w:p>
        </w:tc>
        <w:tc>
          <w:tcPr>
            <w:tcW w:w="2835" w:type="dxa"/>
          </w:tcPr>
          <w:p w14:paraId="5842AC27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95% confidence interval</w:t>
            </w:r>
          </w:p>
        </w:tc>
        <w:tc>
          <w:tcPr>
            <w:tcW w:w="1133" w:type="dxa"/>
          </w:tcPr>
          <w:p w14:paraId="10D33940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i/>
                <w:sz w:val="20"/>
              </w:rPr>
              <w:t>p</w:t>
            </w:r>
            <w:r>
              <w:rPr>
                <w:rFonts w:eastAsia="Times New Roman" w:cs="Times New Roman"/>
                <w:sz w:val="20"/>
              </w:rPr>
              <w:t>-value</w:t>
            </w:r>
          </w:p>
        </w:tc>
      </w:tr>
      <w:tr w:rsidR="009C6C48" w14:paraId="5F939164" w14:textId="77777777" w:rsidTr="0075649E">
        <w:tc>
          <w:tcPr>
            <w:tcW w:w="2401" w:type="dxa"/>
          </w:tcPr>
          <w:p w14:paraId="6F5B320B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Age ≥ 70</w:t>
            </w:r>
          </w:p>
        </w:tc>
        <w:tc>
          <w:tcPr>
            <w:tcW w:w="2135" w:type="dxa"/>
          </w:tcPr>
          <w:p w14:paraId="189BB00F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1.08</w:t>
            </w:r>
          </w:p>
        </w:tc>
        <w:tc>
          <w:tcPr>
            <w:tcW w:w="2835" w:type="dxa"/>
          </w:tcPr>
          <w:p w14:paraId="27BDDDD5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1.00–1.18</w:t>
            </w:r>
          </w:p>
        </w:tc>
        <w:tc>
          <w:tcPr>
            <w:tcW w:w="1133" w:type="dxa"/>
          </w:tcPr>
          <w:p w14:paraId="39F3F890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0.067</w:t>
            </w:r>
          </w:p>
        </w:tc>
      </w:tr>
      <w:tr w:rsidR="009C6C48" w14:paraId="30E0FF14" w14:textId="77777777" w:rsidTr="0075649E">
        <w:tc>
          <w:tcPr>
            <w:tcW w:w="2401" w:type="dxa"/>
          </w:tcPr>
          <w:p w14:paraId="3B3D8471" w14:textId="3C833C29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Sex (female)</w:t>
            </w:r>
          </w:p>
        </w:tc>
        <w:tc>
          <w:tcPr>
            <w:tcW w:w="2135" w:type="dxa"/>
          </w:tcPr>
          <w:p w14:paraId="420EB818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0.73</w:t>
            </w:r>
          </w:p>
        </w:tc>
        <w:tc>
          <w:tcPr>
            <w:tcW w:w="2835" w:type="dxa"/>
          </w:tcPr>
          <w:p w14:paraId="49B950C7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0.68–0.80</w:t>
            </w:r>
          </w:p>
        </w:tc>
        <w:tc>
          <w:tcPr>
            <w:tcW w:w="1133" w:type="dxa"/>
          </w:tcPr>
          <w:p w14:paraId="655CB6E3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9C6C48" w14:paraId="18BA7CC2" w14:textId="77777777" w:rsidTr="0075649E">
        <w:tc>
          <w:tcPr>
            <w:tcW w:w="2401" w:type="dxa"/>
          </w:tcPr>
          <w:p w14:paraId="42A66939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Hypertension</w:t>
            </w:r>
          </w:p>
        </w:tc>
        <w:tc>
          <w:tcPr>
            <w:tcW w:w="2135" w:type="dxa"/>
          </w:tcPr>
          <w:p w14:paraId="051F8A13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1.21</w:t>
            </w:r>
          </w:p>
        </w:tc>
        <w:tc>
          <w:tcPr>
            <w:tcW w:w="2835" w:type="dxa"/>
          </w:tcPr>
          <w:p w14:paraId="2600B0A1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1.11–1.32</w:t>
            </w:r>
          </w:p>
        </w:tc>
        <w:tc>
          <w:tcPr>
            <w:tcW w:w="1133" w:type="dxa"/>
          </w:tcPr>
          <w:p w14:paraId="0384CD09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9C6C48" w14:paraId="3324AE0F" w14:textId="77777777" w:rsidTr="0075649E">
        <w:tc>
          <w:tcPr>
            <w:tcW w:w="2401" w:type="dxa"/>
          </w:tcPr>
          <w:p w14:paraId="4550D194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Hyperuricemia</w:t>
            </w:r>
          </w:p>
        </w:tc>
        <w:tc>
          <w:tcPr>
            <w:tcW w:w="2135" w:type="dxa"/>
          </w:tcPr>
          <w:p w14:paraId="4884EFF5" w14:textId="77777777" w:rsidR="009C6C48" w:rsidRDefault="009C6C48" w:rsidP="0075649E">
            <w:pPr>
              <w:tabs>
                <w:tab w:val="right" w:pos="266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1.00</w:t>
            </w:r>
          </w:p>
        </w:tc>
        <w:tc>
          <w:tcPr>
            <w:tcW w:w="2835" w:type="dxa"/>
          </w:tcPr>
          <w:p w14:paraId="2EF67800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0.88–1.13</w:t>
            </w:r>
          </w:p>
        </w:tc>
        <w:tc>
          <w:tcPr>
            <w:tcW w:w="1133" w:type="dxa"/>
          </w:tcPr>
          <w:p w14:paraId="4066645A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0.9909</w:t>
            </w:r>
          </w:p>
        </w:tc>
      </w:tr>
      <w:tr w:rsidR="009C6C48" w14:paraId="206EBA71" w14:textId="77777777" w:rsidTr="0075649E">
        <w:tc>
          <w:tcPr>
            <w:tcW w:w="2401" w:type="dxa"/>
          </w:tcPr>
          <w:p w14:paraId="2136355E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Dyslipidemia</w:t>
            </w:r>
          </w:p>
        </w:tc>
        <w:tc>
          <w:tcPr>
            <w:tcW w:w="2135" w:type="dxa"/>
          </w:tcPr>
          <w:p w14:paraId="37AA084D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1.14</w:t>
            </w:r>
          </w:p>
        </w:tc>
        <w:tc>
          <w:tcPr>
            <w:tcW w:w="2835" w:type="dxa"/>
          </w:tcPr>
          <w:p w14:paraId="110D51CF" w14:textId="77777777" w:rsidR="009C6C48" w:rsidRDefault="009C6C48" w:rsidP="0075649E">
            <w:pPr>
              <w:tabs>
                <w:tab w:val="right" w:pos="26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1.08–1.25</w:t>
            </w:r>
          </w:p>
        </w:tc>
        <w:tc>
          <w:tcPr>
            <w:tcW w:w="1133" w:type="dxa"/>
          </w:tcPr>
          <w:p w14:paraId="470831E3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0.002</w:t>
            </w:r>
          </w:p>
        </w:tc>
      </w:tr>
      <w:tr w:rsidR="009C6C48" w14:paraId="07529F52" w14:textId="77777777" w:rsidTr="0075649E">
        <w:tc>
          <w:tcPr>
            <w:tcW w:w="2401" w:type="dxa"/>
          </w:tcPr>
          <w:p w14:paraId="52F346E2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Depression</w:t>
            </w:r>
          </w:p>
        </w:tc>
        <w:tc>
          <w:tcPr>
            <w:tcW w:w="2135" w:type="dxa"/>
          </w:tcPr>
          <w:p w14:paraId="59F33107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1.02</w:t>
            </w:r>
          </w:p>
        </w:tc>
        <w:tc>
          <w:tcPr>
            <w:tcW w:w="2835" w:type="dxa"/>
          </w:tcPr>
          <w:p w14:paraId="61ACCD15" w14:textId="77777777" w:rsidR="009C6C48" w:rsidRDefault="009C6C48" w:rsidP="0075649E">
            <w:pPr>
              <w:tabs>
                <w:tab w:val="right" w:pos="26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0.86–1.21</w:t>
            </w:r>
          </w:p>
        </w:tc>
        <w:tc>
          <w:tcPr>
            <w:tcW w:w="1133" w:type="dxa"/>
          </w:tcPr>
          <w:p w14:paraId="3D447BEA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0.791</w:t>
            </w:r>
          </w:p>
        </w:tc>
      </w:tr>
      <w:tr w:rsidR="009C6C48" w14:paraId="1D76D312" w14:textId="77777777" w:rsidTr="0075649E">
        <w:tc>
          <w:tcPr>
            <w:tcW w:w="2401" w:type="dxa"/>
          </w:tcPr>
          <w:p w14:paraId="07B6C211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Insomnia</w:t>
            </w:r>
          </w:p>
        </w:tc>
        <w:tc>
          <w:tcPr>
            <w:tcW w:w="2135" w:type="dxa"/>
          </w:tcPr>
          <w:p w14:paraId="093FBF46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0.92</w:t>
            </w:r>
          </w:p>
        </w:tc>
        <w:tc>
          <w:tcPr>
            <w:tcW w:w="2835" w:type="dxa"/>
          </w:tcPr>
          <w:p w14:paraId="6D99A3A3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0.85–1.01</w:t>
            </w:r>
          </w:p>
        </w:tc>
        <w:tc>
          <w:tcPr>
            <w:tcW w:w="1133" w:type="dxa"/>
          </w:tcPr>
          <w:p w14:paraId="3A27A1CC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0.083</w:t>
            </w:r>
          </w:p>
        </w:tc>
      </w:tr>
      <w:tr w:rsidR="009C6C48" w14:paraId="59502B2E" w14:textId="77777777" w:rsidTr="0075649E">
        <w:tc>
          <w:tcPr>
            <w:tcW w:w="2401" w:type="dxa"/>
          </w:tcPr>
          <w:p w14:paraId="728C29B6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CCI score without cancer ≥ 1</w:t>
            </w:r>
          </w:p>
        </w:tc>
        <w:tc>
          <w:tcPr>
            <w:tcW w:w="2135" w:type="dxa"/>
          </w:tcPr>
          <w:p w14:paraId="06291299" w14:textId="77777777" w:rsidR="009C6C48" w:rsidRDefault="009C6C48" w:rsidP="0075649E">
            <w:pPr>
              <w:tabs>
                <w:tab w:val="right" w:pos="19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1.18</w:t>
            </w:r>
          </w:p>
        </w:tc>
        <w:tc>
          <w:tcPr>
            <w:tcW w:w="2835" w:type="dxa"/>
          </w:tcPr>
          <w:p w14:paraId="70BB2536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1.08–1.29</w:t>
            </w:r>
          </w:p>
        </w:tc>
        <w:tc>
          <w:tcPr>
            <w:tcW w:w="1133" w:type="dxa"/>
          </w:tcPr>
          <w:p w14:paraId="568F7A35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9C6C48" w14:paraId="59941086" w14:textId="77777777" w:rsidTr="0075649E">
        <w:tc>
          <w:tcPr>
            <w:tcW w:w="2401" w:type="dxa"/>
          </w:tcPr>
          <w:p w14:paraId="73955B13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NK1-RA</w:t>
            </w:r>
          </w:p>
        </w:tc>
        <w:tc>
          <w:tcPr>
            <w:tcW w:w="2135" w:type="dxa"/>
          </w:tcPr>
          <w:p w14:paraId="43D3E02A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1.14</w:t>
            </w:r>
          </w:p>
        </w:tc>
        <w:tc>
          <w:tcPr>
            <w:tcW w:w="2835" w:type="dxa"/>
          </w:tcPr>
          <w:p w14:paraId="324B7344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1.05–1.23</w:t>
            </w:r>
          </w:p>
        </w:tc>
        <w:tc>
          <w:tcPr>
            <w:tcW w:w="1133" w:type="dxa"/>
          </w:tcPr>
          <w:p w14:paraId="1391C089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0.002</w:t>
            </w:r>
          </w:p>
        </w:tc>
      </w:tr>
      <w:tr w:rsidR="009C6C48" w14:paraId="0D220BC3" w14:textId="77777777" w:rsidTr="0075649E">
        <w:tc>
          <w:tcPr>
            <w:tcW w:w="2401" w:type="dxa"/>
          </w:tcPr>
          <w:p w14:paraId="204ACCD5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Olanzapine</w:t>
            </w:r>
          </w:p>
        </w:tc>
        <w:tc>
          <w:tcPr>
            <w:tcW w:w="2135" w:type="dxa"/>
          </w:tcPr>
          <w:p w14:paraId="70A0CD49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1.16</w:t>
            </w:r>
          </w:p>
        </w:tc>
        <w:tc>
          <w:tcPr>
            <w:tcW w:w="2835" w:type="dxa"/>
          </w:tcPr>
          <w:p w14:paraId="63F0556A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1.01–1.34</w:t>
            </w:r>
          </w:p>
        </w:tc>
        <w:tc>
          <w:tcPr>
            <w:tcW w:w="1133" w:type="dxa"/>
          </w:tcPr>
          <w:p w14:paraId="1609B2EE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0.039</w:t>
            </w:r>
          </w:p>
        </w:tc>
      </w:tr>
      <w:tr w:rsidR="009C6C48" w14:paraId="4530E26C" w14:textId="77777777" w:rsidTr="0075649E">
        <w:tc>
          <w:tcPr>
            <w:tcW w:w="2401" w:type="dxa"/>
          </w:tcPr>
          <w:p w14:paraId="6E29ED43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Total dose of dexamethasone ≥ 50 mg</w:t>
            </w:r>
          </w:p>
        </w:tc>
        <w:tc>
          <w:tcPr>
            <w:tcW w:w="2135" w:type="dxa"/>
          </w:tcPr>
          <w:p w14:paraId="598010BC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1.01</w:t>
            </w:r>
          </w:p>
        </w:tc>
        <w:tc>
          <w:tcPr>
            <w:tcW w:w="2835" w:type="dxa"/>
          </w:tcPr>
          <w:p w14:paraId="210EDDA2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0.93–1.09</w:t>
            </w:r>
          </w:p>
        </w:tc>
        <w:tc>
          <w:tcPr>
            <w:tcW w:w="1133" w:type="dxa"/>
          </w:tcPr>
          <w:p w14:paraId="52594174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0.849</w:t>
            </w:r>
          </w:p>
        </w:tc>
      </w:tr>
      <w:tr w:rsidR="009C6C48" w14:paraId="1122817B" w14:textId="77777777" w:rsidTr="0075649E">
        <w:tc>
          <w:tcPr>
            <w:tcW w:w="2401" w:type="dxa"/>
          </w:tcPr>
          <w:p w14:paraId="7F6B168F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Steroid except dexamethasone</w:t>
            </w:r>
          </w:p>
        </w:tc>
        <w:tc>
          <w:tcPr>
            <w:tcW w:w="2135" w:type="dxa"/>
          </w:tcPr>
          <w:p w14:paraId="4A4D572C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2.85</w:t>
            </w:r>
          </w:p>
        </w:tc>
        <w:tc>
          <w:tcPr>
            <w:tcW w:w="2835" w:type="dxa"/>
          </w:tcPr>
          <w:p w14:paraId="14160A21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2.63–3.10</w:t>
            </w:r>
          </w:p>
        </w:tc>
        <w:tc>
          <w:tcPr>
            <w:tcW w:w="1133" w:type="dxa"/>
          </w:tcPr>
          <w:p w14:paraId="2C8F50FB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9C6C48" w14:paraId="6246705F" w14:textId="77777777" w:rsidTr="0075649E">
        <w:tc>
          <w:tcPr>
            <w:tcW w:w="2401" w:type="dxa"/>
          </w:tcPr>
          <w:p w14:paraId="73CE0C6B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Surgery before chemotherapy</w:t>
            </w:r>
          </w:p>
        </w:tc>
        <w:tc>
          <w:tcPr>
            <w:tcW w:w="2135" w:type="dxa"/>
          </w:tcPr>
          <w:p w14:paraId="42BF62AD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0.44</w:t>
            </w:r>
          </w:p>
        </w:tc>
        <w:tc>
          <w:tcPr>
            <w:tcW w:w="2835" w:type="dxa"/>
          </w:tcPr>
          <w:p w14:paraId="43395FCA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0.39–0.48</w:t>
            </w:r>
          </w:p>
        </w:tc>
        <w:tc>
          <w:tcPr>
            <w:tcW w:w="1133" w:type="dxa"/>
          </w:tcPr>
          <w:p w14:paraId="0B1C932A" w14:textId="77777777" w:rsidR="009C6C48" w:rsidRDefault="009C6C48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</w:tbl>
    <w:p w14:paraId="1723C469" w14:textId="11A7CB09" w:rsidR="009C6C48" w:rsidRDefault="009C6C48">
      <w:r>
        <w:rPr>
          <w:rFonts w:eastAsia="Times New Roman" w:cs="Times New Roman"/>
          <w:i/>
          <w:sz w:val="20"/>
        </w:rPr>
        <w:t>CCI</w:t>
      </w:r>
      <w:r>
        <w:rPr>
          <w:rFonts w:eastAsia="Times New Roman" w:cs="Times New Roman"/>
          <w:sz w:val="20"/>
        </w:rPr>
        <w:t xml:space="preserve"> Charlson comorbidity index,</w:t>
      </w:r>
      <w:r>
        <w:rPr>
          <w:rFonts w:eastAsia="Times New Roman" w:cs="Times New Roman"/>
          <w:i/>
          <w:sz w:val="20"/>
        </w:rPr>
        <w:t xml:space="preserve"> NK1-RA</w:t>
      </w:r>
      <w:r>
        <w:rPr>
          <w:rFonts w:eastAsia="Times New Roman" w:cs="Times New Roman"/>
          <w:sz w:val="20"/>
        </w:rPr>
        <w:t xml:space="preserve"> neurokinin 1 receptor antagonist.</w:t>
      </w:r>
    </w:p>
    <w:sectPr w:rsidR="009C6C48" w:rsidSect="00FA5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54519"/>
    <w:multiLevelType w:val="hybridMultilevel"/>
    <w:tmpl w:val="2FFE8458"/>
    <w:lvl w:ilvl="0" w:tplc="9A82F4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59A71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9605A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7A039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C1209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C06C0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C410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354A1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D0E26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3117019F"/>
    <w:multiLevelType w:val="hybridMultilevel"/>
    <w:tmpl w:val="BC268C10"/>
    <w:lvl w:ilvl="0" w:tplc="DF9878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87E68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0ACD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494C0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62E85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AC4BE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98638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7BC93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27CF4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3B8774C1"/>
    <w:multiLevelType w:val="hybridMultilevel"/>
    <w:tmpl w:val="BDF4D288"/>
    <w:lvl w:ilvl="0" w:tplc="6ABE6F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2DEA1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190D6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0027D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7BA9A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B498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AE49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8BAA7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24669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41284AB8"/>
    <w:multiLevelType w:val="hybridMultilevel"/>
    <w:tmpl w:val="520AB778"/>
    <w:lvl w:ilvl="0" w:tplc="038C8D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19E6B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5A83B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68AC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4F2A6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1B2C6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2457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861C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E6A2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4157721C"/>
    <w:multiLevelType w:val="hybridMultilevel"/>
    <w:tmpl w:val="E63E7220"/>
    <w:lvl w:ilvl="0" w:tplc="A26474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A00F2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C74C6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20CEF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6BE6C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6D23C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2065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75235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42CFB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428B02FF"/>
    <w:multiLevelType w:val="hybridMultilevel"/>
    <w:tmpl w:val="5904867E"/>
    <w:lvl w:ilvl="0" w:tplc="23A0FB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BA0E7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C98D5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F44A2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262BE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05A84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55091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F74A0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2F8C2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4E2E1300"/>
    <w:multiLevelType w:val="hybridMultilevel"/>
    <w:tmpl w:val="4B545508"/>
    <w:lvl w:ilvl="0" w:tplc="7520AF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28687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16CF2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F8BF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F0C1C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48A24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60608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07E88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D9CE3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4EE15C39"/>
    <w:multiLevelType w:val="hybridMultilevel"/>
    <w:tmpl w:val="9670E424"/>
    <w:lvl w:ilvl="0" w:tplc="BD90B9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B8AB8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274E9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EC279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042A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260C7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00E33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0D489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3F4CE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6091687F"/>
    <w:multiLevelType w:val="hybridMultilevel"/>
    <w:tmpl w:val="3D287D70"/>
    <w:lvl w:ilvl="0" w:tplc="9DB6F8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33E95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3664F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9A8B3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2B6FD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F987B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5EAAC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F2ECD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AA0D8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70331B2D"/>
    <w:multiLevelType w:val="hybridMultilevel"/>
    <w:tmpl w:val="6302B2EE"/>
    <w:lvl w:ilvl="0" w:tplc="002E57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66CE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DF2C8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A02E0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6687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024F1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06A60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DE698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01AFF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690912453">
    <w:abstractNumId w:val="6"/>
  </w:num>
  <w:num w:numId="2" w16cid:durableId="1902520925">
    <w:abstractNumId w:val="2"/>
  </w:num>
  <w:num w:numId="3" w16cid:durableId="449472887">
    <w:abstractNumId w:val="8"/>
  </w:num>
  <w:num w:numId="4" w16cid:durableId="1263033379">
    <w:abstractNumId w:val="0"/>
  </w:num>
  <w:num w:numId="5" w16cid:durableId="383870225">
    <w:abstractNumId w:val="1"/>
  </w:num>
  <w:num w:numId="6" w16cid:durableId="310715786">
    <w:abstractNumId w:val="3"/>
  </w:num>
  <w:num w:numId="7" w16cid:durableId="1816146230">
    <w:abstractNumId w:val="4"/>
  </w:num>
  <w:num w:numId="8" w16cid:durableId="925380163">
    <w:abstractNumId w:val="7"/>
  </w:num>
  <w:num w:numId="9" w16cid:durableId="1888057937">
    <w:abstractNumId w:val="5"/>
  </w:num>
  <w:num w:numId="10" w16cid:durableId="4313234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C48"/>
    <w:rsid w:val="000828C9"/>
    <w:rsid w:val="000A2149"/>
    <w:rsid w:val="00147626"/>
    <w:rsid w:val="002F08B0"/>
    <w:rsid w:val="00422FB5"/>
    <w:rsid w:val="005516FD"/>
    <w:rsid w:val="0077523A"/>
    <w:rsid w:val="00941366"/>
    <w:rsid w:val="009C6C48"/>
    <w:rsid w:val="00E122CF"/>
    <w:rsid w:val="00FA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9D6012"/>
  <w15:chartTrackingRefBased/>
  <w15:docId w15:val="{BACAEAD7-186E-4AAA-90E9-A87D0AB8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0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C48"/>
    <w:pPr>
      <w:widowControl w:val="0"/>
      <w:spacing w:line="259" w:lineRule="auto"/>
    </w:pPr>
    <w:rPr>
      <w:rFonts w:ascii="Times New Roman" w:eastAsia="ＭＳ 明朝" w:hAnsi="Times New Roman"/>
      <w:sz w:val="21"/>
      <w:lang w:val="en-US" w:eastAsia="ja-JP"/>
    </w:rPr>
  </w:style>
  <w:style w:type="paragraph" w:styleId="1">
    <w:name w:val="heading 1"/>
    <w:basedOn w:val="a"/>
    <w:next w:val="a"/>
    <w:link w:val="10"/>
    <w:uiPriority w:val="9"/>
    <w:qFormat/>
    <w:rsid w:val="009C6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C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C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6C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9C6C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9C6C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9C6C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9C6C48"/>
    <w:rPr>
      <w:rFonts w:eastAsiaTheme="majorEastAsia" w:cstheme="majorBidi"/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9C6C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9C6C48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9C6C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9C6C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6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6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6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6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6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C6C48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9C6C4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C6C4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6C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C6C4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C6C48"/>
    <w:rPr>
      <w:b/>
      <w:bCs/>
      <w:smallCaps/>
      <w:color w:val="2F5496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9C6C48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9C6C48"/>
    <w:pPr>
      <w:spacing w:line="240" w:lineRule="auto"/>
    </w:pPr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9C6C48"/>
    <w:rPr>
      <w:rFonts w:ascii="Times New Roman" w:eastAsia="ＭＳ 明朝" w:hAnsi="Times New Roman"/>
      <w:sz w:val="20"/>
      <w:szCs w:val="20"/>
      <w:lang w:val="en-US" w:eastAsia="ja-JP"/>
    </w:rPr>
  </w:style>
  <w:style w:type="table" w:styleId="25">
    <w:name w:val="Plain Table 2"/>
    <w:basedOn w:val="a1"/>
    <w:rsid w:val="009C6C48"/>
    <w:pPr>
      <w:spacing w:after="0" w:line="240" w:lineRule="auto"/>
    </w:pPr>
    <w:rPr>
      <w:rFonts w:ascii="Times New Roman" w:eastAsia="ＭＳ 明朝" w:hAnsi="Times New Roman"/>
      <w:sz w:val="21"/>
      <w:lang w:val="en-US" w:eastAsia="ja-JP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d">
    <w:name w:val="Revision"/>
    <w:hidden/>
    <w:uiPriority w:val="99"/>
    <w:semiHidden/>
    <w:rsid w:val="009C6C48"/>
    <w:pPr>
      <w:spacing w:after="0" w:line="240" w:lineRule="auto"/>
    </w:pPr>
    <w:rPr>
      <w:rFonts w:ascii="Times New Roman" w:eastAsia="ＭＳ 明朝" w:hAnsi="Times New Roman"/>
      <w:sz w:val="21"/>
      <w:lang w:val="en-US" w:eastAsia="ja-JP"/>
    </w:rPr>
  </w:style>
  <w:style w:type="paragraph" w:styleId="ae">
    <w:name w:val="Balloon Text"/>
    <w:basedOn w:val="a"/>
    <w:link w:val="af"/>
    <w:uiPriority w:val="99"/>
    <w:semiHidden/>
    <w:unhideWhenUsed/>
    <w:rsid w:val="0042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422FB5"/>
    <w:rPr>
      <w:rFonts w:ascii="Segoe UI" w:eastAsia="ＭＳ 明朝" w:hAnsi="Segoe UI" w:cs="Segoe UI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有輝 小澤</cp:lastModifiedBy>
  <cp:revision>3</cp:revision>
  <dcterms:created xsi:type="dcterms:W3CDTF">2026-02-25T17:02:00Z</dcterms:created>
  <dcterms:modified xsi:type="dcterms:W3CDTF">2026-03-09T13:57:00Z</dcterms:modified>
</cp:coreProperties>
</file>