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33199" w14:textId="77777777" w:rsidR="00702377" w:rsidRDefault="00702377" w:rsidP="00702377">
      <w:pPr>
        <w:spacing w:after="0" w:line="480" w:lineRule="auto"/>
        <w:rPr>
          <w:b/>
          <w:sz w:val="20"/>
        </w:rPr>
      </w:pPr>
      <w:r>
        <w:rPr>
          <w:rFonts w:eastAsia="Times New Roman" w:cs="Times New Roman"/>
          <w:b/>
          <w:sz w:val="20"/>
        </w:rPr>
        <w:t>Article title: Impact of Neurokinin-1 Receptor Antagonists on New-Onset diabetes in Patients Receiving Chemotherapy: A Retrospective Cross-Sectional Study Using Health Claims Database in Japan</w:t>
      </w:r>
    </w:p>
    <w:p w14:paraId="5C027F24" w14:textId="77777777" w:rsidR="00702377" w:rsidRDefault="00702377" w:rsidP="00702377">
      <w:pPr>
        <w:spacing w:after="0" w:line="480" w:lineRule="auto"/>
        <w:rPr>
          <w:b/>
          <w:sz w:val="20"/>
        </w:rPr>
      </w:pPr>
    </w:p>
    <w:p w14:paraId="66D469A2" w14:textId="77777777" w:rsidR="00702377" w:rsidRDefault="00702377" w:rsidP="00702377">
      <w:pPr>
        <w:spacing w:after="0" w:line="480" w:lineRule="auto"/>
        <w:rPr>
          <w:b/>
          <w:sz w:val="20"/>
        </w:rPr>
      </w:pPr>
      <w:r>
        <w:rPr>
          <w:b/>
          <w:sz w:val="20"/>
        </w:rPr>
        <w:t xml:space="preserve">Journal name: </w:t>
      </w:r>
      <w:r w:rsidRPr="00C2538F">
        <w:rPr>
          <w:b/>
          <w:i/>
          <w:iCs/>
          <w:sz w:val="20"/>
        </w:rPr>
        <w:t xml:space="preserve">Supportive Care </w:t>
      </w:r>
      <w:r>
        <w:rPr>
          <w:b/>
          <w:i/>
          <w:iCs/>
          <w:sz w:val="20"/>
        </w:rPr>
        <w:t>i</w:t>
      </w:r>
      <w:r w:rsidRPr="00C2538F">
        <w:rPr>
          <w:b/>
          <w:i/>
          <w:iCs/>
          <w:sz w:val="20"/>
        </w:rPr>
        <w:t>n Cancer</w:t>
      </w:r>
      <w:r>
        <w:rPr>
          <w:b/>
          <w:sz w:val="20"/>
        </w:rPr>
        <w:t xml:space="preserve"> </w:t>
      </w:r>
    </w:p>
    <w:p w14:paraId="7DE558B8" w14:textId="77777777" w:rsidR="00702377" w:rsidRDefault="00702377" w:rsidP="00702377">
      <w:pPr>
        <w:spacing w:after="0" w:line="480" w:lineRule="auto"/>
        <w:rPr>
          <w:rFonts w:eastAsia="Times New Roman" w:cs="Times New Roman"/>
          <w:b/>
          <w:sz w:val="20"/>
        </w:rPr>
      </w:pPr>
    </w:p>
    <w:p w14:paraId="6289881F" w14:textId="77777777" w:rsidR="00702377" w:rsidRDefault="00702377" w:rsidP="00702377">
      <w:pPr>
        <w:spacing w:after="0" w:line="480" w:lineRule="auto"/>
        <w:rPr>
          <w:b/>
          <w:sz w:val="20"/>
        </w:rPr>
      </w:pPr>
      <w:r>
        <w:rPr>
          <w:rFonts w:eastAsia="Times New Roman" w:cs="Times New Roman"/>
          <w:b/>
          <w:sz w:val="20"/>
        </w:rPr>
        <w:t>Authors:</w:t>
      </w:r>
    </w:p>
    <w:p w14:paraId="51380213" w14:textId="76C898D9" w:rsidR="00702377" w:rsidRDefault="00702377" w:rsidP="00702377">
      <w:pPr>
        <w:spacing w:after="0" w:line="480" w:lineRule="auto"/>
        <w:rPr>
          <w:sz w:val="20"/>
        </w:rPr>
      </w:pPr>
      <w:r>
        <w:rPr>
          <w:rFonts w:eastAsia="Times New Roman" w:cs="Times New Roman"/>
          <w:sz w:val="20"/>
        </w:rPr>
        <w:t>Yuki Ozawa</w:t>
      </w:r>
      <w:r>
        <w:rPr>
          <w:rFonts w:eastAsia="Times New Roman" w:cs="Times New Roman"/>
          <w:sz w:val="20"/>
          <w:vertAlign w:val="superscript"/>
        </w:rPr>
        <w:t>1,2</w:t>
      </w:r>
      <w:r>
        <w:rPr>
          <w:rFonts w:eastAsia="Times New Roman" w:cs="Times New Roman"/>
          <w:sz w:val="20"/>
        </w:rPr>
        <w:t>, Shinya Suzuki</w:t>
      </w:r>
      <w:r>
        <w:rPr>
          <w:rFonts w:eastAsia="Times New Roman" w:cs="Times New Roman"/>
          <w:sz w:val="20"/>
          <w:vertAlign w:val="superscript"/>
        </w:rPr>
        <w:t xml:space="preserve"> 3</w:t>
      </w:r>
      <w:r>
        <w:rPr>
          <w:rFonts w:eastAsia="Times New Roman" w:cs="Times New Roman"/>
          <w:sz w:val="20"/>
        </w:rPr>
        <w:t>*, Takuma Koinuma</w:t>
      </w:r>
      <w:r>
        <w:rPr>
          <w:rFonts w:eastAsia="Times New Roman" w:cs="Times New Roman"/>
          <w:sz w:val="20"/>
          <w:vertAlign w:val="superscript"/>
        </w:rPr>
        <w:t>3</w:t>
      </w:r>
      <w:r>
        <w:rPr>
          <w:rFonts w:eastAsia="Times New Roman" w:cs="Times New Roman"/>
          <w:sz w:val="20"/>
        </w:rPr>
        <w:t>, Takashi Yokokawa</w:t>
      </w:r>
      <w:r>
        <w:rPr>
          <w:rFonts w:eastAsia="Times New Roman" w:cs="Times New Roman"/>
          <w:sz w:val="20"/>
          <w:vertAlign w:val="superscript"/>
        </w:rPr>
        <w:t>1</w:t>
      </w:r>
      <w:r>
        <w:rPr>
          <w:rFonts w:eastAsia="Times New Roman" w:cs="Times New Roman"/>
          <w:sz w:val="20"/>
        </w:rPr>
        <w:t xml:space="preserve">, </w:t>
      </w:r>
      <w:proofErr w:type="spellStart"/>
      <w:r>
        <w:rPr>
          <w:rFonts w:eastAsia="Times New Roman" w:cs="Times New Roman"/>
          <w:sz w:val="20"/>
        </w:rPr>
        <w:t>Takenori</w:t>
      </w:r>
      <w:proofErr w:type="spellEnd"/>
      <w:r>
        <w:rPr>
          <w:rFonts w:eastAsia="Times New Roman" w:cs="Times New Roman"/>
          <w:sz w:val="20"/>
        </w:rPr>
        <w:t xml:space="preserve"> Ichimura</w:t>
      </w:r>
      <w:r>
        <w:rPr>
          <w:rFonts w:eastAsia="Times New Roman" w:cs="Times New Roman"/>
          <w:sz w:val="20"/>
          <w:vertAlign w:val="superscript"/>
        </w:rPr>
        <w:t>3</w:t>
      </w:r>
      <w:r>
        <w:rPr>
          <w:rFonts w:eastAsia="Times New Roman" w:cs="Times New Roman"/>
          <w:sz w:val="20"/>
        </w:rPr>
        <w:t>, Kenichi Suzuki</w:t>
      </w:r>
      <w:r>
        <w:rPr>
          <w:rFonts w:eastAsia="Times New Roman" w:cs="Times New Roman"/>
          <w:sz w:val="20"/>
          <w:vertAlign w:val="superscript"/>
        </w:rPr>
        <w:t>1</w:t>
      </w:r>
      <w:r>
        <w:rPr>
          <w:rFonts w:eastAsia="Times New Roman" w:cs="Times New Roman"/>
          <w:sz w:val="20"/>
        </w:rPr>
        <w:t>, Yusuke Hori</w:t>
      </w:r>
      <w:r>
        <w:rPr>
          <w:rFonts w:eastAsia="Times New Roman" w:cs="Times New Roman"/>
          <w:sz w:val="20"/>
          <w:vertAlign w:val="superscript"/>
        </w:rPr>
        <w:t>3</w:t>
      </w:r>
      <w:r>
        <w:rPr>
          <w:rFonts w:eastAsia="Times New Roman" w:cs="Times New Roman"/>
          <w:sz w:val="20"/>
        </w:rPr>
        <w:t>, and Shinobu Imai</w:t>
      </w:r>
      <w:r>
        <w:rPr>
          <w:rFonts w:eastAsia="Times New Roman" w:cs="Times New Roman"/>
          <w:sz w:val="20"/>
          <w:vertAlign w:val="superscript"/>
        </w:rPr>
        <w:t>4</w:t>
      </w:r>
    </w:p>
    <w:p w14:paraId="6CB4738F" w14:textId="77777777" w:rsidR="00702377" w:rsidRDefault="00702377" w:rsidP="00702377">
      <w:pPr>
        <w:spacing w:after="0" w:line="480" w:lineRule="auto"/>
        <w:rPr>
          <w:sz w:val="20"/>
        </w:rPr>
      </w:pPr>
    </w:p>
    <w:p w14:paraId="61C21AED" w14:textId="77777777" w:rsidR="00702377" w:rsidRDefault="00702377" w:rsidP="00702377">
      <w:pPr>
        <w:spacing w:after="0" w:line="480" w:lineRule="auto"/>
        <w:rPr>
          <w:b/>
          <w:sz w:val="20"/>
        </w:rPr>
      </w:pPr>
      <w:r>
        <w:rPr>
          <w:rFonts w:eastAsia="Times New Roman" w:cs="Times New Roman"/>
          <w:b/>
          <w:sz w:val="20"/>
        </w:rPr>
        <w:t>Affiliation</w:t>
      </w:r>
      <w:r>
        <w:rPr>
          <w:rFonts w:eastAsia="Times New Roman" w:cs="Times New Roman"/>
          <w:sz w:val="20"/>
        </w:rPr>
        <w:t>s</w:t>
      </w:r>
      <w:r>
        <w:rPr>
          <w:rFonts w:eastAsia="Times New Roman" w:cs="Times New Roman"/>
          <w:b/>
          <w:sz w:val="20"/>
        </w:rPr>
        <w:t>:</w:t>
      </w:r>
    </w:p>
    <w:p w14:paraId="6E8FD82D" w14:textId="77777777" w:rsidR="00702377" w:rsidRDefault="00702377" w:rsidP="00702377">
      <w:pPr>
        <w:pStyle w:val="a9"/>
        <w:spacing w:after="0" w:line="480" w:lineRule="auto"/>
        <w:ind w:left="360" w:hanging="360"/>
        <w:rPr>
          <w:sz w:val="20"/>
        </w:rPr>
      </w:pPr>
      <w:r>
        <w:rPr>
          <w:rFonts w:eastAsia="Times New Roman" w:cs="Times New Roman"/>
          <w:sz w:val="20"/>
        </w:rPr>
        <w:t>1.</w:t>
      </w:r>
      <w:r>
        <w:rPr>
          <w:rFonts w:eastAsia="Times New Roman" w:cs="Times New Roman"/>
          <w:sz w:val="20"/>
        </w:rPr>
        <w:tab/>
        <w:t>Department of Clinical Pharmacology, School of Pharmacy, Tokyo University of Pharmacy and Life Sciences, Tokyo, Japan</w:t>
      </w:r>
    </w:p>
    <w:p w14:paraId="1F652DA3" w14:textId="77777777" w:rsidR="00702377" w:rsidRDefault="00702377" w:rsidP="00702377">
      <w:pPr>
        <w:pStyle w:val="a9"/>
        <w:spacing w:after="0" w:line="480" w:lineRule="auto"/>
        <w:ind w:left="360" w:hanging="360"/>
        <w:rPr>
          <w:sz w:val="20"/>
        </w:rPr>
      </w:pPr>
      <w:r>
        <w:rPr>
          <w:rFonts w:eastAsia="Times New Roman" w:cs="Times New Roman"/>
          <w:sz w:val="20"/>
        </w:rPr>
        <w:t>2.</w:t>
      </w:r>
      <w:r>
        <w:rPr>
          <w:rFonts w:eastAsia="Times New Roman" w:cs="Times New Roman"/>
          <w:sz w:val="20"/>
        </w:rPr>
        <w:tab/>
        <w:t xml:space="preserve">Department of Pharmacy, Kanagawa Prefectural </w:t>
      </w:r>
      <w:proofErr w:type="spellStart"/>
      <w:r>
        <w:rPr>
          <w:rFonts w:eastAsia="Times New Roman" w:cs="Times New Roman"/>
          <w:sz w:val="20"/>
        </w:rPr>
        <w:t>Keiyukai</w:t>
      </w:r>
      <w:proofErr w:type="spellEnd"/>
      <w:r>
        <w:rPr>
          <w:rFonts w:eastAsia="Times New Roman" w:cs="Times New Roman"/>
          <w:sz w:val="20"/>
        </w:rPr>
        <w:t xml:space="preserve">, </w:t>
      </w:r>
      <w:proofErr w:type="spellStart"/>
      <w:r>
        <w:rPr>
          <w:rFonts w:eastAsia="Times New Roman" w:cs="Times New Roman"/>
          <w:sz w:val="20"/>
        </w:rPr>
        <w:t>Keiyu</w:t>
      </w:r>
      <w:proofErr w:type="spellEnd"/>
      <w:r>
        <w:rPr>
          <w:rFonts w:eastAsia="Times New Roman" w:cs="Times New Roman"/>
          <w:sz w:val="20"/>
        </w:rPr>
        <w:t xml:space="preserve"> Hospital, Kanagawa, Japan</w:t>
      </w:r>
    </w:p>
    <w:p w14:paraId="0794804A" w14:textId="77777777" w:rsidR="00702377" w:rsidRDefault="00702377" w:rsidP="00702377">
      <w:pPr>
        <w:pStyle w:val="a9"/>
        <w:spacing w:after="0" w:line="480" w:lineRule="auto"/>
        <w:ind w:left="360" w:hanging="360"/>
        <w:rPr>
          <w:sz w:val="20"/>
        </w:rPr>
      </w:pPr>
      <w:r>
        <w:rPr>
          <w:rFonts w:eastAsia="Times New Roman" w:cs="Times New Roman"/>
          <w:sz w:val="20"/>
        </w:rPr>
        <w:t>3.</w:t>
      </w:r>
      <w:r>
        <w:rPr>
          <w:rFonts w:eastAsia="Times New Roman" w:cs="Times New Roman"/>
          <w:sz w:val="20"/>
        </w:rPr>
        <w:tab/>
        <w:t>Pharmacy Practice Education Center, School of Pharmacy, Tokyo University of Pharmacy and Life Sciences, Tokyo, Japan</w:t>
      </w:r>
    </w:p>
    <w:p w14:paraId="670A4197" w14:textId="77777777" w:rsidR="00702377" w:rsidRDefault="00702377" w:rsidP="00702377">
      <w:pPr>
        <w:pStyle w:val="a9"/>
        <w:widowControl/>
        <w:shd w:val="clear" w:color="auto" w:fill="FFFFFF"/>
        <w:spacing w:after="0" w:line="480" w:lineRule="auto"/>
        <w:ind w:left="360" w:hanging="360"/>
        <w:rPr>
          <w:color w:val="000000"/>
          <w:sz w:val="20"/>
        </w:rPr>
      </w:pPr>
      <w:r>
        <w:rPr>
          <w:rFonts w:eastAsia="Times New Roman" w:cs="Times New Roman"/>
          <w:color w:val="000000"/>
          <w:sz w:val="20"/>
        </w:rPr>
        <w:t>4.</w:t>
      </w:r>
      <w:r>
        <w:rPr>
          <w:rFonts w:eastAsia="Times New Roman" w:cs="Times New Roman"/>
          <w:color w:val="000000"/>
          <w:sz w:val="20"/>
        </w:rPr>
        <w:tab/>
        <w:t>Division of Pharmacoepidemiology, Department of Healthcare and Regulatory Sciences, Showa University School of Pharmacy, Tokyo, Japan</w:t>
      </w:r>
    </w:p>
    <w:p w14:paraId="0F832C3A" w14:textId="77777777" w:rsidR="00702377" w:rsidRDefault="00702377" w:rsidP="00702377">
      <w:pPr>
        <w:spacing w:after="0" w:line="480" w:lineRule="auto"/>
        <w:rPr>
          <w:b/>
          <w:sz w:val="20"/>
        </w:rPr>
      </w:pPr>
    </w:p>
    <w:p w14:paraId="364475E7" w14:textId="77777777" w:rsidR="00702377" w:rsidRDefault="00702377" w:rsidP="00702377">
      <w:pPr>
        <w:spacing w:after="0" w:line="480" w:lineRule="auto"/>
        <w:rPr>
          <w:b/>
          <w:sz w:val="20"/>
        </w:rPr>
      </w:pPr>
      <w:r>
        <w:rPr>
          <w:rFonts w:eastAsia="Times New Roman" w:cs="Times New Roman"/>
          <w:b/>
          <w:sz w:val="20"/>
        </w:rPr>
        <w:t>Corresponding author:</w:t>
      </w:r>
    </w:p>
    <w:p w14:paraId="7B6BE7AC" w14:textId="77777777" w:rsidR="00702377" w:rsidRDefault="00702377" w:rsidP="00702377">
      <w:pPr>
        <w:spacing w:after="0" w:line="480" w:lineRule="auto"/>
        <w:rPr>
          <w:sz w:val="20"/>
        </w:rPr>
      </w:pPr>
      <w:r>
        <w:rPr>
          <w:rFonts w:eastAsia="Times New Roman" w:cs="Times New Roman"/>
          <w:sz w:val="20"/>
        </w:rPr>
        <w:t>Shinya Suzuki, Pharmacy Practice Education Center, School of Pharmacy, Tokyo University of Pharmacy and Life Sciences, 1432-1, Horinouchi, Hachioji-city, Tokyo 192-0392, Japan</w:t>
      </w:r>
    </w:p>
    <w:p w14:paraId="75A399A2" w14:textId="77777777" w:rsidR="00702377" w:rsidRDefault="00702377" w:rsidP="00702377">
      <w:pPr>
        <w:spacing w:after="0" w:line="480" w:lineRule="auto"/>
        <w:rPr>
          <w:sz w:val="20"/>
        </w:rPr>
      </w:pPr>
      <w:r>
        <w:rPr>
          <w:rFonts w:eastAsia="Times New Roman" w:cs="Times New Roman"/>
          <w:sz w:val="20"/>
        </w:rPr>
        <w:t>Tel: +08-</w:t>
      </w:r>
      <w:r>
        <w:rPr>
          <w:rFonts w:ascii="Arial" w:eastAsia="Arial" w:hAnsi="Arial" w:cs="Arial"/>
          <w:color w:val="222222"/>
          <w:sz w:val="20"/>
          <w:shd w:val="clear" w:color="auto" w:fill="FFFFFF"/>
        </w:rPr>
        <w:t xml:space="preserve"> </w:t>
      </w:r>
      <w:r>
        <w:rPr>
          <w:rFonts w:eastAsia="Times New Roman" w:cs="Times New Roman"/>
          <w:sz w:val="20"/>
        </w:rPr>
        <w:t>42-676-4364</w:t>
      </w:r>
    </w:p>
    <w:p w14:paraId="2049C846" w14:textId="77777777" w:rsidR="00702377" w:rsidRDefault="00702377" w:rsidP="00702377">
      <w:pPr>
        <w:widowControl/>
        <w:spacing w:after="0" w:line="480" w:lineRule="auto"/>
        <w:rPr>
          <w:rFonts w:eastAsia="Times New Roman" w:cs="Times New Roman"/>
          <w:b/>
        </w:rPr>
      </w:pPr>
      <w:r>
        <w:rPr>
          <w:rFonts w:eastAsia="Times New Roman" w:cs="Times New Roman"/>
          <w:sz w:val="20"/>
        </w:rPr>
        <w:t>E-mail: ssuzuki@toyaku.ac.jp</w:t>
      </w:r>
    </w:p>
    <w:p w14:paraId="4994F8F9" w14:textId="77777777" w:rsidR="00702377" w:rsidRDefault="00702377" w:rsidP="00702377">
      <w:pPr>
        <w:widowControl/>
        <w:spacing w:after="0" w:line="480" w:lineRule="auto"/>
        <w:rPr>
          <w:rFonts w:eastAsia="Times New Roman" w:cs="Times New Roman"/>
          <w:b/>
        </w:rPr>
      </w:pPr>
    </w:p>
    <w:p w14:paraId="6EF2BFE0" w14:textId="77777777" w:rsidR="002F08B0" w:rsidRDefault="002F08B0"/>
    <w:p w14:paraId="79E76B3E" w14:textId="77777777" w:rsidR="00702377" w:rsidRDefault="00702377"/>
    <w:p w14:paraId="2463139A" w14:textId="77777777" w:rsidR="00702377" w:rsidRDefault="00702377"/>
    <w:p w14:paraId="2C9C3E35" w14:textId="77777777" w:rsidR="00702377" w:rsidRDefault="00702377"/>
    <w:p w14:paraId="6BD3FB0F" w14:textId="1E8AF99A" w:rsidR="00702377" w:rsidRDefault="00702377" w:rsidP="00702377">
      <w:pPr>
        <w:widowControl/>
        <w:spacing w:after="0" w:line="480" w:lineRule="auto"/>
        <w:rPr>
          <w:b/>
        </w:rPr>
      </w:pPr>
      <w:r>
        <w:rPr>
          <w:rFonts w:eastAsia="Times New Roman" w:cs="Times New Roman"/>
          <w:b/>
        </w:rPr>
        <w:lastRenderedPageBreak/>
        <w:t xml:space="preserve">Online Resource 2. </w:t>
      </w:r>
      <w:r>
        <w:rPr>
          <w:rFonts w:eastAsia="Times New Roman" w:cs="Times New Roman"/>
          <w:b/>
          <w:sz w:val="20"/>
        </w:rPr>
        <w:t xml:space="preserve">ICD-10 codes of </w:t>
      </w:r>
      <w:r>
        <w:rPr>
          <w:rFonts w:eastAsia="Times New Roman" w:cs="Times New Roman"/>
          <w:b/>
        </w:rPr>
        <w:t>Charlson comorbidity index</w:t>
      </w:r>
    </w:p>
    <w:tbl>
      <w:tblPr>
        <w:tblStyle w:val="25"/>
        <w:tblW w:w="8505" w:type="dxa"/>
        <w:tblLook w:val="0620" w:firstRow="1" w:lastRow="0" w:firstColumn="0" w:lastColumn="0" w:noHBand="1" w:noVBand="1"/>
      </w:tblPr>
      <w:tblGrid>
        <w:gridCol w:w="2401"/>
        <w:gridCol w:w="6104"/>
      </w:tblGrid>
      <w:tr w:rsidR="00702377" w14:paraId="243A407C" w14:textId="77777777" w:rsidTr="00756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401" w:type="dxa"/>
          </w:tcPr>
          <w:p w14:paraId="3E535E78" w14:textId="77777777" w:rsidR="00702377" w:rsidRDefault="00702377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Comorbidity</w:t>
            </w:r>
          </w:p>
        </w:tc>
        <w:tc>
          <w:tcPr>
            <w:tcW w:w="6104" w:type="dxa"/>
          </w:tcPr>
          <w:p w14:paraId="1F5BEA5A" w14:textId="77777777" w:rsidR="00702377" w:rsidRDefault="00702377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ICD-10 codes</w:t>
            </w:r>
          </w:p>
        </w:tc>
      </w:tr>
      <w:tr w:rsidR="00702377" w14:paraId="62B66D30" w14:textId="77777777" w:rsidTr="0075649E">
        <w:tc>
          <w:tcPr>
            <w:tcW w:w="2401" w:type="dxa"/>
          </w:tcPr>
          <w:p w14:paraId="69C89AF4" w14:textId="77777777" w:rsidR="00702377" w:rsidRDefault="00702377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Myocardial infarction</w:t>
            </w:r>
          </w:p>
        </w:tc>
        <w:tc>
          <w:tcPr>
            <w:tcW w:w="6104" w:type="dxa"/>
          </w:tcPr>
          <w:p w14:paraId="4FED6E89" w14:textId="77777777" w:rsidR="00702377" w:rsidRDefault="00702377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I21.x–I22.x, I25.2</w:t>
            </w:r>
          </w:p>
        </w:tc>
      </w:tr>
      <w:tr w:rsidR="00702377" w14:paraId="739D0C0A" w14:textId="77777777" w:rsidTr="0075649E">
        <w:tc>
          <w:tcPr>
            <w:tcW w:w="2401" w:type="dxa"/>
          </w:tcPr>
          <w:p w14:paraId="0B87A81A" w14:textId="77777777" w:rsidR="00702377" w:rsidRDefault="00702377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Cerebrovascular disease</w:t>
            </w:r>
          </w:p>
        </w:tc>
        <w:tc>
          <w:tcPr>
            <w:tcW w:w="6104" w:type="dxa"/>
          </w:tcPr>
          <w:p w14:paraId="6E48A2DE" w14:textId="77777777" w:rsidR="00702377" w:rsidRDefault="00702377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G45.x–G46.x, I60.x–I69.x, H34.0</w:t>
            </w:r>
          </w:p>
        </w:tc>
      </w:tr>
      <w:tr w:rsidR="00702377" w14:paraId="423762E9" w14:textId="77777777" w:rsidTr="0075649E">
        <w:tc>
          <w:tcPr>
            <w:tcW w:w="2401" w:type="dxa"/>
          </w:tcPr>
          <w:p w14:paraId="6AE3E353" w14:textId="77777777" w:rsidR="00702377" w:rsidRDefault="00702377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Congestive heart failure</w:t>
            </w:r>
          </w:p>
        </w:tc>
        <w:tc>
          <w:tcPr>
            <w:tcW w:w="6104" w:type="dxa"/>
          </w:tcPr>
          <w:p w14:paraId="4394E58E" w14:textId="77777777" w:rsidR="00702377" w:rsidRDefault="00702377" w:rsidP="0075649E">
            <w:pPr>
              <w:tabs>
                <w:tab w:val="right" w:pos="2619"/>
              </w:tabs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I43.x, I50.x, I09.9, I11.0, I13.0, I13.2, I25.5, I42.0, I42.5–I42.9, P29.0</w:t>
            </w:r>
          </w:p>
        </w:tc>
      </w:tr>
      <w:tr w:rsidR="00702377" w14:paraId="3B12EC57" w14:textId="77777777" w:rsidTr="0075649E">
        <w:tc>
          <w:tcPr>
            <w:tcW w:w="2401" w:type="dxa"/>
          </w:tcPr>
          <w:p w14:paraId="61DA54D1" w14:textId="77777777" w:rsidR="00702377" w:rsidRDefault="00702377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Connective tissue disease-rheumatic disease</w:t>
            </w:r>
          </w:p>
        </w:tc>
        <w:tc>
          <w:tcPr>
            <w:tcW w:w="6104" w:type="dxa"/>
          </w:tcPr>
          <w:p w14:paraId="0FF4BD68" w14:textId="77777777" w:rsidR="00702377" w:rsidRDefault="00702377" w:rsidP="0075649E">
            <w:pPr>
              <w:tabs>
                <w:tab w:val="right" w:pos="2619"/>
              </w:tabs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M05.x–M06.x, M31.5, M32.x–M34.x, M35.1, M35.3, M36.x</w:t>
            </w:r>
          </w:p>
        </w:tc>
      </w:tr>
      <w:tr w:rsidR="00702377" w14:paraId="0AA8C6E0" w14:textId="77777777" w:rsidTr="0075649E">
        <w:tc>
          <w:tcPr>
            <w:tcW w:w="2401" w:type="dxa"/>
          </w:tcPr>
          <w:p w14:paraId="600189DD" w14:textId="77777777" w:rsidR="00702377" w:rsidRDefault="00702377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Dementia</w:t>
            </w:r>
          </w:p>
        </w:tc>
        <w:tc>
          <w:tcPr>
            <w:tcW w:w="6104" w:type="dxa"/>
          </w:tcPr>
          <w:p w14:paraId="3612CF55" w14:textId="77777777" w:rsidR="00702377" w:rsidRDefault="00702377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F00.x– F03, F05.1, G30.x, G31.1</w:t>
            </w:r>
          </w:p>
        </w:tc>
      </w:tr>
      <w:tr w:rsidR="00702377" w14:paraId="4E65047D" w14:textId="77777777" w:rsidTr="0075649E">
        <w:tc>
          <w:tcPr>
            <w:tcW w:w="2401" w:type="dxa"/>
          </w:tcPr>
          <w:p w14:paraId="07E22E6F" w14:textId="77777777" w:rsidR="00702377" w:rsidRDefault="00702377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Diabetes without complications</w:t>
            </w:r>
          </w:p>
        </w:tc>
        <w:tc>
          <w:tcPr>
            <w:tcW w:w="6104" w:type="dxa"/>
          </w:tcPr>
          <w:p w14:paraId="0B1C0E80" w14:textId="77777777" w:rsidR="00702377" w:rsidRDefault="00702377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E10.0, E10.1, E10.6, E10.8, E10.9, E11.0, E11.1, E11.6, E11.8–E12.1, E12.6, E12.8–E13.1, E13.6, E13.8–E14.1, E14.6, E14.8, E14.9</w:t>
            </w:r>
          </w:p>
        </w:tc>
      </w:tr>
      <w:tr w:rsidR="00702377" w14:paraId="01B7B559" w14:textId="77777777" w:rsidTr="0075649E">
        <w:tc>
          <w:tcPr>
            <w:tcW w:w="2401" w:type="dxa"/>
          </w:tcPr>
          <w:p w14:paraId="146A0DE6" w14:textId="77777777" w:rsidR="00702377" w:rsidRDefault="00702377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Mild liver disease</w:t>
            </w:r>
          </w:p>
        </w:tc>
        <w:tc>
          <w:tcPr>
            <w:tcW w:w="6104" w:type="dxa"/>
          </w:tcPr>
          <w:p w14:paraId="43A3E5E7" w14:textId="77777777" w:rsidR="00702377" w:rsidRDefault="00702377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B18.x, K70.0–K70.3, K70.9, K71.3–71.5, K71.7, K73.x, K74.x, K76.0, K76.2–K76.4, K76.8, K76.9, Z94.4</w:t>
            </w:r>
          </w:p>
        </w:tc>
      </w:tr>
      <w:tr w:rsidR="00702377" w14:paraId="3495D075" w14:textId="77777777" w:rsidTr="0075649E">
        <w:tc>
          <w:tcPr>
            <w:tcW w:w="2401" w:type="dxa"/>
          </w:tcPr>
          <w:p w14:paraId="7FB4D66B" w14:textId="77777777" w:rsidR="00702377" w:rsidRDefault="00702377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Peptic ulcer disease</w:t>
            </w:r>
          </w:p>
        </w:tc>
        <w:tc>
          <w:tcPr>
            <w:tcW w:w="6104" w:type="dxa"/>
          </w:tcPr>
          <w:p w14:paraId="5792C4D4" w14:textId="77777777" w:rsidR="00702377" w:rsidRDefault="00702377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K25.x–K28.x</w:t>
            </w:r>
          </w:p>
        </w:tc>
      </w:tr>
      <w:tr w:rsidR="00702377" w14:paraId="0ECC6B78" w14:textId="77777777" w:rsidTr="0075649E">
        <w:tc>
          <w:tcPr>
            <w:tcW w:w="2401" w:type="dxa"/>
          </w:tcPr>
          <w:p w14:paraId="726AF15E" w14:textId="77777777" w:rsidR="00702377" w:rsidRDefault="00702377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Peripheral vascular disease</w:t>
            </w:r>
          </w:p>
        </w:tc>
        <w:tc>
          <w:tcPr>
            <w:tcW w:w="6104" w:type="dxa"/>
          </w:tcPr>
          <w:p w14:paraId="0BBA8D53" w14:textId="77777777" w:rsidR="00702377" w:rsidRDefault="00702377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I70.x–I71.x, I73.1, I73.8, I73.9, I77.1, I79.0, I79.2, K55.1, K55.8, K55.9, Z95.8, Z95.9</w:t>
            </w:r>
          </w:p>
        </w:tc>
      </w:tr>
      <w:tr w:rsidR="00702377" w14:paraId="3A41DAE5" w14:textId="77777777" w:rsidTr="0075649E">
        <w:tc>
          <w:tcPr>
            <w:tcW w:w="2401" w:type="dxa"/>
          </w:tcPr>
          <w:p w14:paraId="5343848E" w14:textId="77777777" w:rsidR="00702377" w:rsidRDefault="00702377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Chronic pulmonary disease</w:t>
            </w:r>
          </w:p>
        </w:tc>
        <w:tc>
          <w:tcPr>
            <w:tcW w:w="6104" w:type="dxa"/>
          </w:tcPr>
          <w:p w14:paraId="60410AA2" w14:textId="77777777" w:rsidR="00702377" w:rsidRDefault="00702377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J40–J47, J60–J67.x, J68.4, J70.1, J70.3, I27.8, I27.9</w:t>
            </w:r>
          </w:p>
        </w:tc>
      </w:tr>
      <w:tr w:rsidR="00702377" w14:paraId="46BC828D" w14:textId="77777777" w:rsidTr="0075649E">
        <w:tc>
          <w:tcPr>
            <w:tcW w:w="2401" w:type="dxa"/>
          </w:tcPr>
          <w:p w14:paraId="0B774834" w14:textId="77777777" w:rsidR="00702377" w:rsidRDefault="00702377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Cancer</w:t>
            </w:r>
          </w:p>
        </w:tc>
        <w:tc>
          <w:tcPr>
            <w:tcW w:w="6104" w:type="dxa"/>
          </w:tcPr>
          <w:p w14:paraId="7A19B187" w14:textId="77777777" w:rsidR="00702377" w:rsidRDefault="00702377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C00.x–C26.x, C30.x–C34.x, C37.x–C41.x, C43.x, C45.x–C58.x, C60.x–C76.x, C81.x–C85.x, C90.x–C97.x</w:t>
            </w:r>
          </w:p>
        </w:tc>
      </w:tr>
      <w:tr w:rsidR="00702377" w14:paraId="35D8B750" w14:textId="77777777" w:rsidTr="0075649E">
        <w:tc>
          <w:tcPr>
            <w:tcW w:w="2401" w:type="dxa"/>
          </w:tcPr>
          <w:p w14:paraId="48E93476" w14:textId="77777777" w:rsidR="00702377" w:rsidRDefault="00702377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Diabetes with complications</w:t>
            </w:r>
          </w:p>
        </w:tc>
        <w:tc>
          <w:tcPr>
            <w:tcW w:w="6104" w:type="dxa"/>
          </w:tcPr>
          <w:p w14:paraId="358E7985" w14:textId="77777777" w:rsidR="00702377" w:rsidRDefault="00702377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E10.2–E10.5, E10.7, E11.2–E11.5, E11.7, E12.2–E12.5, E12.7, E13.2–E13.5, E13.7, E14.2–E14.5, E14.7</w:t>
            </w:r>
          </w:p>
        </w:tc>
      </w:tr>
      <w:tr w:rsidR="00702377" w14:paraId="7DE7BD90" w14:textId="77777777" w:rsidTr="0075649E">
        <w:tc>
          <w:tcPr>
            <w:tcW w:w="2401" w:type="dxa"/>
          </w:tcPr>
          <w:p w14:paraId="55FD434A" w14:textId="77777777" w:rsidR="00702377" w:rsidRDefault="00702377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Paraplegia and hemiplegia</w:t>
            </w:r>
          </w:p>
        </w:tc>
        <w:tc>
          <w:tcPr>
            <w:tcW w:w="6104" w:type="dxa"/>
          </w:tcPr>
          <w:p w14:paraId="700B55CE" w14:textId="77777777" w:rsidR="00702377" w:rsidRDefault="00702377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G04.1, G11.4, G80.1, G80.2, G81.x–G82.x, G83.0–G83.4, G83.9</w:t>
            </w:r>
          </w:p>
        </w:tc>
      </w:tr>
      <w:tr w:rsidR="00702377" w14:paraId="09B328C3" w14:textId="77777777" w:rsidTr="0075649E">
        <w:tc>
          <w:tcPr>
            <w:tcW w:w="2401" w:type="dxa"/>
          </w:tcPr>
          <w:p w14:paraId="3E6035B9" w14:textId="77777777" w:rsidR="00702377" w:rsidRDefault="00702377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Renal disease</w:t>
            </w:r>
          </w:p>
        </w:tc>
        <w:tc>
          <w:tcPr>
            <w:tcW w:w="6104" w:type="dxa"/>
          </w:tcPr>
          <w:p w14:paraId="0BF9D027" w14:textId="77777777" w:rsidR="00702377" w:rsidRDefault="00702377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I12.0, I13.1, N18.x–N19.x, N05.2–N05.7, N03.2–N03.7, N25.0, Z49.0–Z49.2, Z94.0, Z99.2</w:t>
            </w:r>
          </w:p>
        </w:tc>
      </w:tr>
      <w:tr w:rsidR="00702377" w14:paraId="3A6F814F" w14:textId="77777777" w:rsidTr="0075649E">
        <w:tc>
          <w:tcPr>
            <w:tcW w:w="2401" w:type="dxa"/>
          </w:tcPr>
          <w:p w14:paraId="392F63FB" w14:textId="77777777" w:rsidR="00702377" w:rsidRDefault="00702377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Metastatic carcinoma</w:t>
            </w:r>
          </w:p>
        </w:tc>
        <w:tc>
          <w:tcPr>
            <w:tcW w:w="6104" w:type="dxa"/>
          </w:tcPr>
          <w:p w14:paraId="6A1B754A" w14:textId="77777777" w:rsidR="00702377" w:rsidRDefault="00702377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C77.x–C80.x</w:t>
            </w:r>
          </w:p>
        </w:tc>
      </w:tr>
      <w:tr w:rsidR="00702377" w14:paraId="20AF2664" w14:textId="77777777" w:rsidTr="0075649E">
        <w:tc>
          <w:tcPr>
            <w:tcW w:w="2401" w:type="dxa"/>
          </w:tcPr>
          <w:p w14:paraId="62C07CFA" w14:textId="77777777" w:rsidR="00702377" w:rsidRDefault="00702377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Moderate or severe liver disease</w:t>
            </w:r>
          </w:p>
        </w:tc>
        <w:tc>
          <w:tcPr>
            <w:tcW w:w="6104" w:type="dxa"/>
          </w:tcPr>
          <w:p w14:paraId="0D877564" w14:textId="77777777" w:rsidR="00702377" w:rsidRDefault="00702377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I85.0, I85.9, I86.4, I98.2, K70.4, K71.1, K72.1, K72.9, K76.5–K76.7</w:t>
            </w:r>
          </w:p>
        </w:tc>
      </w:tr>
      <w:tr w:rsidR="00702377" w14:paraId="6F149396" w14:textId="77777777" w:rsidTr="0075649E">
        <w:tc>
          <w:tcPr>
            <w:tcW w:w="2401" w:type="dxa"/>
          </w:tcPr>
          <w:p w14:paraId="7A60927B" w14:textId="77777777" w:rsidR="00702377" w:rsidRDefault="00702377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AIDS/HIV</w:t>
            </w:r>
          </w:p>
        </w:tc>
        <w:tc>
          <w:tcPr>
            <w:tcW w:w="6104" w:type="dxa"/>
          </w:tcPr>
          <w:p w14:paraId="65E075D0" w14:textId="77777777" w:rsidR="00702377" w:rsidRDefault="00702377" w:rsidP="0075649E">
            <w:pPr>
              <w:rPr>
                <w:sz w:val="20"/>
              </w:rPr>
            </w:pPr>
            <w:r>
              <w:rPr>
                <w:rFonts w:eastAsia="Times New Roman" w:cs="Times New Roman"/>
                <w:sz w:val="20"/>
              </w:rPr>
              <w:t>B20.x–B22.x, B24.x</w:t>
            </w:r>
          </w:p>
        </w:tc>
      </w:tr>
    </w:tbl>
    <w:p w14:paraId="0D9661ED" w14:textId="036ED855" w:rsidR="00702377" w:rsidRDefault="00702377">
      <w:r>
        <w:rPr>
          <w:rFonts w:eastAsia="Times New Roman" w:cs="Times New Roman"/>
          <w:i/>
          <w:sz w:val="20"/>
        </w:rPr>
        <w:t>ICD</w:t>
      </w:r>
      <w:r>
        <w:rPr>
          <w:rFonts w:eastAsia="Times New Roman" w:cs="Times New Roman"/>
          <w:sz w:val="20"/>
        </w:rPr>
        <w:t xml:space="preserve"> international classification of diseases.</w:t>
      </w:r>
    </w:p>
    <w:sectPr w:rsidR="00702377" w:rsidSect="00FA50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454519"/>
    <w:multiLevelType w:val="hybridMultilevel"/>
    <w:tmpl w:val="2FFE8458"/>
    <w:lvl w:ilvl="0" w:tplc="9A82F4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A59A71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F9605A8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A7A039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9C1209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C06C01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EAC4107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F354A18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D0E26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" w15:restartNumberingAfterBreak="0">
    <w:nsid w:val="3117019F"/>
    <w:multiLevelType w:val="hybridMultilevel"/>
    <w:tmpl w:val="BC268C10"/>
    <w:lvl w:ilvl="0" w:tplc="DF9878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A87E68A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160ACDD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2494C0F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C62E857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AC4BED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998638D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37BC93C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A27CF4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" w15:restartNumberingAfterBreak="0">
    <w:nsid w:val="3B8774C1"/>
    <w:multiLevelType w:val="hybridMultilevel"/>
    <w:tmpl w:val="BDF4D288"/>
    <w:lvl w:ilvl="0" w:tplc="6ABE6FA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42DEA1F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8190D6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0027D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D7BA9AD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DB4984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AE493D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F8BAA79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D24669D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" w15:restartNumberingAfterBreak="0">
    <w:nsid w:val="41284AB8"/>
    <w:multiLevelType w:val="hybridMultilevel"/>
    <w:tmpl w:val="520AB778"/>
    <w:lvl w:ilvl="0" w:tplc="038C8DA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B19E6BF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C5A83B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68ACC8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84F2A62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31B2C6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8B2457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B861C9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9E6A20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4" w15:restartNumberingAfterBreak="0">
    <w:nsid w:val="4157721C"/>
    <w:multiLevelType w:val="hybridMultilevel"/>
    <w:tmpl w:val="E63E7220"/>
    <w:lvl w:ilvl="0" w:tplc="A264748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A00F2D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8C74C64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620CEF6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F6BE6C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56D23C9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32065E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675235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42CFB8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5" w15:restartNumberingAfterBreak="0">
    <w:nsid w:val="428B02FF"/>
    <w:multiLevelType w:val="hybridMultilevel"/>
    <w:tmpl w:val="5904867E"/>
    <w:lvl w:ilvl="0" w:tplc="23A0FBA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3BA0E7E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AC98D5D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8F44A2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6262BE4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D05A843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455091F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AF74A04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2F8C2D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6" w15:restartNumberingAfterBreak="0">
    <w:nsid w:val="4E2E1300"/>
    <w:multiLevelType w:val="hybridMultilevel"/>
    <w:tmpl w:val="4B545508"/>
    <w:lvl w:ilvl="0" w:tplc="7520AFF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928687C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616CF2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CF8BF8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3F0C1C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848A24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860608D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B07E88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D9CE3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7" w15:restartNumberingAfterBreak="0">
    <w:nsid w:val="4EE15C39"/>
    <w:multiLevelType w:val="hybridMultilevel"/>
    <w:tmpl w:val="9670E424"/>
    <w:lvl w:ilvl="0" w:tplc="BD90B90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EB8AB82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3274E92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0EC279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7F042AC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5260C7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E00E33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0D489B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83F4CEC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8" w15:restartNumberingAfterBreak="0">
    <w:nsid w:val="6091687F"/>
    <w:multiLevelType w:val="hybridMultilevel"/>
    <w:tmpl w:val="3D287D70"/>
    <w:lvl w:ilvl="0" w:tplc="9DB6F81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633E95E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F3664FE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9A8B3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92B6FD7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F987BD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95EAACA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6F2ECD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0AA0D89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9" w15:restartNumberingAfterBreak="0">
    <w:nsid w:val="70331B2D"/>
    <w:multiLevelType w:val="hybridMultilevel"/>
    <w:tmpl w:val="6302B2EE"/>
    <w:lvl w:ilvl="0" w:tplc="002E579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7C66CE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DF2C87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FA02E01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36687B1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A024F1F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06A604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0DE6980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01AFF2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num w:numId="1" w16cid:durableId="775708140">
    <w:abstractNumId w:val="6"/>
  </w:num>
  <w:num w:numId="2" w16cid:durableId="1227569560">
    <w:abstractNumId w:val="2"/>
  </w:num>
  <w:num w:numId="3" w16cid:durableId="1960649243">
    <w:abstractNumId w:val="8"/>
  </w:num>
  <w:num w:numId="4" w16cid:durableId="1638297069">
    <w:abstractNumId w:val="0"/>
  </w:num>
  <w:num w:numId="5" w16cid:durableId="178004795">
    <w:abstractNumId w:val="1"/>
  </w:num>
  <w:num w:numId="6" w16cid:durableId="468910489">
    <w:abstractNumId w:val="3"/>
  </w:num>
  <w:num w:numId="7" w16cid:durableId="2103259454">
    <w:abstractNumId w:val="4"/>
  </w:num>
  <w:num w:numId="8" w16cid:durableId="1524173246">
    <w:abstractNumId w:val="7"/>
  </w:num>
  <w:num w:numId="9" w16cid:durableId="645814184">
    <w:abstractNumId w:val="5"/>
  </w:num>
  <w:num w:numId="10" w16cid:durableId="2367873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377"/>
    <w:rsid w:val="000A2149"/>
    <w:rsid w:val="00147626"/>
    <w:rsid w:val="00290D2B"/>
    <w:rsid w:val="002F08B0"/>
    <w:rsid w:val="005516FD"/>
    <w:rsid w:val="00702377"/>
    <w:rsid w:val="0077523A"/>
    <w:rsid w:val="008443BC"/>
    <w:rsid w:val="00941366"/>
    <w:rsid w:val="00C2538F"/>
    <w:rsid w:val="00FA5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F059664"/>
  <w15:chartTrackingRefBased/>
  <w15:docId w15:val="{762316AD-04AB-4AFD-A221-85BC51690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0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2377"/>
    <w:pPr>
      <w:widowControl w:val="0"/>
      <w:spacing w:line="259" w:lineRule="auto"/>
    </w:pPr>
    <w:rPr>
      <w:rFonts w:ascii="Times New Roman" w:eastAsia="ＭＳ 明朝" w:hAnsi="Times New Roman"/>
      <w:sz w:val="21"/>
      <w:lang w:val="en-US" w:eastAsia="ja-JP"/>
    </w:rPr>
  </w:style>
  <w:style w:type="paragraph" w:styleId="1">
    <w:name w:val="heading 1"/>
    <w:basedOn w:val="a"/>
    <w:next w:val="a"/>
    <w:link w:val="10"/>
    <w:uiPriority w:val="9"/>
    <w:qFormat/>
    <w:rsid w:val="007023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23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23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23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23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23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23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23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23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023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見出し 2 (文字)"/>
    <w:basedOn w:val="a0"/>
    <w:link w:val="2"/>
    <w:uiPriority w:val="9"/>
    <w:semiHidden/>
    <w:rsid w:val="007023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見出し 3 (文字)"/>
    <w:basedOn w:val="a0"/>
    <w:link w:val="3"/>
    <w:uiPriority w:val="9"/>
    <w:semiHidden/>
    <w:rsid w:val="007023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見出し 4 (文字)"/>
    <w:basedOn w:val="a0"/>
    <w:link w:val="4"/>
    <w:uiPriority w:val="9"/>
    <w:semiHidden/>
    <w:rsid w:val="0070237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見出し 5 (文字)"/>
    <w:basedOn w:val="a0"/>
    <w:link w:val="5"/>
    <w:uiPriority w:val="9"/>
    <w:semiHidden/>
    <w:rsid w:val="00702377"/>
    <w:rPr>
      <w:rFonts w:eastAsiaTheme="majorEastAsia" w:cstheme="majorBidi"/>
      <w:color w:val="2F5496" w:themeColor="accent1" w:themeShade="BF"/>
    </w:rPr>
  </w:style>
  <w:style w:type="character" w:customStyle="1" w:styleId="60">
    <w:name w:val="見出し 6 (文字)"/>
    <w:basedOn w:val="a0"/>
    <w:link w:val="6"/>
    <w:uiPriority w:val="9"/>
    <w:semiHidden/>
    <w:rsid w:val="0070237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見出し 7 (文字)"/>
    <w:basedOn w:val="a0"/>
    <w:link w:val="7"/>
    <w:uiPriority w:val="9"/>
    <w:semiHidden/>
    <w:rsid w:val="00702377"/>
    <w:rPr>
      <w:rFonts w:eastAsiaTheme="majorEastAsia" w:cstheme="majorBidi"/>
      <w:color w:val="595959" w:themeColor="text1" w:themeTint="A6"/>
    </w:rPr>
  </w:style>
  <w:style w:type="character" w:customStyle="1" w:styleId="80">
    <w:name w:val="見出し 8 (文字)"/>
    <w:basedOn w:val="a0"/>
    <w:link w:val="8"/>
    <w:uiPriority w:val="9"/>
    <w:semiHidden/>
    <w:rsid w:val="0070237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見出し 9 (文字)"/>
    <w:basedOn w:val="a0"/>
    <w:link w:val="9"/>
    <w:uiPriority w:val="9"/>
    <w:semiHidden/>
    <w:rsid w:val="0070237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023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023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23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023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023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02377"/>
    <w:rPr>
      <w:i/>
      <w:iCs/>
      <w:color w:val="404040" w:themeColor="text1" w:themeTint="BF"/>
    </w:rPr>
  </w:style>
  <w:style w:type="paragraph" w:styleId="a9">
    <w:name w:val="List Paragraph"/>
    <w:basedOn w:val="a"/>
    <w:qFormat/>
    <w:rsid w:val="0070237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02377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023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02377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702377"/>
    <w:rPr>
      <w:b/>
      <w:bCs/>
      <w:smallCaps/>
      <w:color w:val="2F5496" w:themeColor="accent1" w:themeShade="BF"/>
      <w:spacing w:val="5"/>
    </w:rPr>
  </w:style>
  <w:style w:type="character" w:styleId="aa">
    <w:name w:val="annotation reference"/>
    <w:basedOn w:val="a0"/>
    <w:uiPriority w:val="99"/>
    <w:semiHidden/>
    <w:unhideWhenUsed/>
    <w:rsid w:val="00702377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702377"/>
    <w:pPr>
      <w:spacing w:line="240" w:lineRule="auto"/>
    </w:pPr>
    <w:rPr>
      <w:sz w:val="20"/>
      <w:szCs w:val="20"/>
    </w:rPr>
  </w:style>
  <w:style w:type="character" w:customStyle="1" w:styleId="ac">
    <w:name w:val="コメント文字列 (文字)"/>
    <w:basedOn w:val="a0"/>
    <w:link w:val="ab"/>
    <w:uiPriority w:val="99"/>
    <w:rsid w:val="00702377"/>
    <w:rPr>
      <w:rFonts w:ascii="Times New Roman" w:eastAsia="ＭＳ 明朝" w:hAnsi="Times New Roman"/>
      <w:sz w:val="20"/>
      <w:szCs w:val="20"/>
      <w:lang w:val="en-US" w:eastAsia="ja-JP"/>
    </w:rPr>
  </w:style>
  <w:style w:type="table" w:styleId="25">
    <w:name w:val="Plain Table 2"/>
    <w:basedOn w:val="a1"/>
    <w:rsid w:val="00702377"/>
    <w:pPr>
      <w:spacing w:after="0" w:line="240" w:lineRule="auto"/>
    </w:pPr>
    <w:rPr>
      <w:rFonts w:ascii="Times New Roman" w:eastAsia="ＭＳ 明朝" w:hAnsi="Times New Roman"/>
      <w:sz w:val="21"/>
      <w:lang w:val="en-US" w:eastAsia="ja-JP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ad">
    <w:name w:val="Revision"/>
    <w:hidden/>
    <w:uiPriority w:val="99"/>
    <w:semiHidden/>
    <w:rsid w:val="00702377"/>
    <w:pPr>
      <w:spacing w:after="0" w:line="240" w:lineRule="auto"/>
    </w:pPr>
    <w:rPr>
      <w:rFonts w:ascii="Times New Roman" w:eastAsia="ＭＳ 明朝" w:hAnsi="Times New Roman"/>
      <w:sz w:val="21"/>
      <w:lang w:val="en-US" w:eastAsia="ja-JP"/>
    </w:rPr>
  </w:style>
  <w:style w:type="paragraph" w:styleId="ae">
    <w:name w:val="Balloon Text"/>
    <w:basedOn w:val="a"/>
    <w:link w:val="af"/>
    <w:uiPriority w:val="99"/>
    <w:semiHidden/>
    <w:unhideWhenUsed/>
    <w:rsid w:val="00844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8443BC"/>
    <w:rPr>
      <w:rFonts w:ascii="Segoe UI" w:eastAsia="ＭＳ 明朝" w:hAnsi="Segoe UI" w:cs="Segoe UI"/>
      <w:sz w:val="18"/>
      <w:szCs w:val="1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402</Words>
  <Characters>2293</Characters>
  <Application>Microsoft Office Word</Application>
  <DocSecurity>0</DocSecurity>
  <Lines>19</Lines>
  <Paragraphs>5</Paragraphs>
  <ScaleCrop>false</ScaleCrop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有輝 小澤</cp:lastModifiedBy>
  <cp:revision>3</cp:revision>
  <dcterms:created xsi:type="dcterms:W3CDTF">2026-02-25T16:56:00Z</dcterms:created>
  <dcterms:modified xsi:type="dcterms:W3CDTF">2026-03-09T13:55:00Z</dcterms:modified>
</cp:coreProperties>
</file>