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137F" w14:textId="77777777" w:rsidR="008F584F" w:rsidRDefault="008F584F" w:rsidP="008F584F">
      <w:pPr>
        <w:widowControl/>
        <w:snapToGrid w:val="0"/>
        <w:spacing w:line="480" w:lineRule="auto"/>
        <w:contextualSpacing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Table 3. Comparison of the potential factors influencing PDA treatment between the two groups of infants</w:t>
      </w:r>
    </w:p>
    <w:tbl>
      <w:tblPr>
        <w:tblW w:w="111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260"/>
        <w:gridCol w:w="500"/>
        <w:gridCol w:w="100"/>
        <w:gridCol w:w="1577"/>
        <w:gridCol w:w="1163"/>
        <w:gridCol w:w="177"/>
        <w:gridCol w:w="1237"/>
        <w:gridCol w:w="1098"/>
        <w:gridCol w:w="172"/>
        <w:gridCol w:w="1007"/>
        <w:gridCol w:w="252"/>
        <w:gridCol w:w="1167"/>
        <w:gridCol w:w="119"/>
        <w:gridCol w:w="1438"/>
      </w:tblGrid>
      <w:tr w:rsidR="008F584F" w14:paraId="3AF58EE5" w14:textId="77777777" w:rsidTr="00F953A6">
        <w:trPr>
          <w:jc w:val="center"/>
        </w:trPr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52AB4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Groups</w:t>
            </w:r>
          </w:p>
        </w:tc>
        <w:tc>
          <w:tcPr>
            <w:tcW w:w="76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82BAB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cases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4196C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pH within 24 h pre-treatment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41649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Pre‑treatment OI within 24 h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41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BE00E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Pre‑treatment urine output (ml/kg/h)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3663C8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PDA diameter/kg (mm/kg)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9EC7C6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PDA flow velocity (m/s)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2C1C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LVDd</w:t>
            </w:r>
          </w:p>
          <w:p w14:paraId="34B1011B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(mm)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842E6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Right‑to‑left or bidirectional PDA shunt</w:t>
            </w:r>
          </w:p>
        </w:tc>
      </w:tr>
      <w:tr w:rsidR="008F584F" w14:paraId="6B5AB3B3" w14:textId="77777777" w:rsidTr="00F953A6">
        <w:trPr>
          <w:jc w:val="center"/>
        </w:trPr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7977C0B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Treatment </w:t>
            </w:r>
          </w:p>
          <w:p w14:paraId="0229A21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success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</w:tcBorders>
            <w:vAlign w:val="center"/>
          </w:tcPr>
          <w:p w14:paraId="123C5CB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</w:tcBorders>
            <w:vAlign w:val="center"/>
          </w:tcPr>
          <w:p w14:paraId="30BEBFB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7.329(7.309, 7.416)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20CCAB8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3.2(2.2, 4.1)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</w:tcBorders>
            <w:vAlign w:val="center"/>
          </w:tcPr>
          <w:p w14:paraId="66DD967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3.6±1.3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vAlign w:val="center"/>
          </w:tcPr>
          <w:p w14:paraId="5DE30C94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2.4</w:t>
            </w:r>
          </w:p>
          <w:p w14:paraId="6A667B6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(1.9, 3.0)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14:paraId="789A19D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1.9</w:t>
            </w:r>
          </w:p>
          <w:p w14:paraId="4ADEB9C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(1.3, 2.2)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5D8AE62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13.0(12.0, 14.0)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vAlign w:val="center"/>
          </w:tcPr>
          <w:p w14:paraId="34AD6474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</w:p>
          <w:p w14:paraId="7AF385A3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(8.8)</w:t>
            </w:r>
          </w:p>
        </w:tc>
      </w:tr>
      <w:tr w:rsidR="008F584F" w14:paraId="7AD1406E" w14:textId="77777777" w:rsidTr="00F953A6">
        <w:trPr>
          <w:jc w:val="center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14:paraId="11ACD30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Treatment</w:t>
            </w:r>
          </w:p>
          <w:p w14:paraId="2E28E79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failure</w:t>
            </w:r>
          </w:p>
        </w:tc>
        <w:tc>
          <w:tcPr>
            <w:tcW w:w="760" w:type="dxa"/>
            <w:gridSpan w:val="2"/>
            <w:tcBorders>
              <w:bottom w:val="single" w:sz="4" w:space="0" w:color="auto"/>
            </w:tcBorders>
            <w:vAlign w:val="center"/>
          </w:tcPr>
          <w:p w14:paraId="72499E9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14:paraId="0D54ED2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7.271(7.178, 7.379)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0E1BC2B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4.0(2.5, 5.7)</w:t>
            </w:r>
          </w:p>
        </w:tc>
        <w:tc>
          <w:tcPr>
            <w:tcW w:w="1414" w:type="dxa"/>
            <w:gridSpan w:val="2"/>
            <w:tcBorders>
              <w:bottom w:val="single" w:sz="4" w:space="0" w:color="auto"/>
            </w:tcBorders>
            <w:vAlign w:val="center"/>
          </w:tcPr>
          <w:p w14:paraId="5A09F1D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3.7±1.6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vAlign w:val="center"/>
          </w:tcPr>
          <w:p w14:paraId="4A8FE5F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2.8</w:t>
            </w:r>
          </w:p>
          <w:p w14:paraId="0D7680F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(2.3, 3.5)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163F233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1.4</w:t>
            </w:r>
          </w:p>
          <w:p w14:paraId="0F37668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(1.0,1.8)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5B65FA13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12.7(12.0, 14.0)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vAlign w:val="center"/>
          </w:tcPr>
          <w:p w14:paraId="7237965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  <w:p w14:paraId="598FC04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(12.9)</w:t>
            </w:r>
          </w:p>
        </w:tc>
      </w:tr>
      <w:tr w:rsidR="008F584F" w14:paraId="78A6382D" w14:textId="77777777" w:rsidTr="00F953A6">
        <w:trPr>
          <w:trHeight w:val="344"/>
          <w:jc w:val="center"/>
        </w:trPr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48A1C2D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0063"/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</w:tcBorders>
            <w:vAlign w:val="center"/>
          </w:tcPr>
          <w:p w14:paraId="00BC3D6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</w:tcBorders>
            <w:vAlign w:val="center"/>
          </w:tcPr>
          <w:p w14:paraId="508D1C1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-2.419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507C9A78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1.948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</w:tcBorders>
            <w:vAlign w:val="center"/>
          </w:tcPr>
          <w:p w14:paraId="573EBE4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-0.428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vAlign w:val="center"/>
          </w:tcPr>
          <w:p w14:paraId="1D170EC7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2.018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14:paraId="189E9F5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-1.713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1854A00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0.106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vAlign w:val="center"/>
          </w:tcPr>
          <w:p w14:paraId="018C264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0.351</w:t>
            </w:r>
          </w:p>
        </w:tc>
      </w:tr>
      <w:tr w:rsidR="008F584F" w14:paraId="58916600" w14:textId="77777777" w:rsidTr="00F953A6">
        <w:trPr>
          <w:trHeight w:val="344"/>
          <w:jc w:val="center"/>
        </w:trPr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1BC61F3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760" w:type="dxa"/>
            <w:gridSpan w:val="2"/>
            <w:tcBorders>
              <w:bottom w:val="single" w:sz="12" w:space="0" w:color="auto"/>
            </w:tcBorders>
            <w:vAlign w:val="center"/>
          </w:tcPr>
          <w:p w14:paraId="1AA96D8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bottom w:val="single" w:sz="12" w:space="0" w:color="auto"/>
            </w:tcBorders>
            <w:vAlign w:val="center"/>
          </w:tcPr>
          <w:p w14:paraId="70DAE1D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0.016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vAlign w:val="center"/>
          </w:tcPr>
          <w:p w14:paraId="181748E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414" w:type="dxa"/>
            <w:gridSpan w:val="2"/>
            <w:tcBorders>
              <w:bottom w:val="single" w:sz="12" w:space="0" w:color="auto"/>
            </w:tcBorders>
            <w:vAlign w:val="center"/>
          </w:tcPr>
          <w:p w14:paraId="5055991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0.670</w:t>
            </w:r>
          </w:p>
        </w:tc>
        <w:tc>
          <w:tcPr>
            <w:tcW w:w="1270" w:type="dxa"/>
            <w:gridSpan w:val="2"/>
            <w:tcBorders>
              <w:bottom w:val="single" w:sz="12" w:space="0" w:color="auto"/>
            </w:tcBorders>
            <w:vAlign w:val="center"/>
          </w:tcPr>
          <w:p w14:paraId="7EDFF8C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259" w:type="dxa"/>
            <w:gridSpan w:val="2"/>
            <w:tcBorders>
              <w:bottom w:val="single" w:sz="12" w:space="0" w:color="auto"/>
            </w:tcBorders>
            <w:vAlign w:val="center"/>
          </w:tcPr>
          <w:p w14:paraId="7156CA5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1167" w:type="dxa"/>
            <w:tcBorders>
              <w:bottom w:val="single" w:sz="12" w:space="0" w:color="auto"/>
            </w:tcBorders>
            <w:vAlign w:val="center"/>
          </w:tcPr>
          <w:p w14:paraId="299C8D46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0.916</w:t>
            </w:r>
          </w:p>
        </w:tc>
        <w:tc>
          <w:tcPr>
            <w:tcW w:w="1557" w:type="dxa"/>
            <w:gridSpan w:val="2"/>
            <w:tcBorders>
              <w:bottom w:val="single" w:sz="12" w:space="0" w:color="auto"/>
            </w:tcBorders>
            <w:vAlign w:val="center"/>
          </w:tcPr>
          <w:p w14:paraId="75E4760A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0.553</w:t>
            </w:r>
          </w:p>
        </w:tc>
      </w:tr>
      <w:tr w:rsidR="008F584F" w14:paraId="56E34DFA" w14:textId="77777777" w:rsidTr="00F953A6">
        <w:trPr>
          <w:trHeight w:val="344"/>
          <w:jc w:val="center"/>
        </w:trPr>
        <w:tc>
          <w:tcPr>
            <w:tcW w:w="11198" w:type="dxa"/>
            <w:gridSpan w:val="15"/>
            <w:tcBorders>
              <w:left w:val="nil"/>
              <w:bottom w:val="single" w:sz="12" w:space="0" w:color="auto"/>
            </w:tcBorders>
            <w:vAlign w:val="center"/>
          </w:tcPr>
          <w:p w14:paraId="5D02FE5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F584F" w14:paraId="6D2BBB4E" w14:textId="77777777" w:rsidTr="00F953A6">
        <w:trPr>
          <w:jc w:val="center"/>
        </w:trPr>
        <w:tc>
          <w:tcPr>
            <w:tcW w:w="119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3366E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Groups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FEB7A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Cases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D778E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Use of acetaminophen</w:t>
            </w:r>
          </w:p>
        </w:tc>
        <w:tc>
          <w:tcPr>
            <w:tcW w:w="13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46E30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Dose of ibuprofen in the first treatment course (mg/kg)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816A74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Invasive ventilator use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DD99D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Postnatal age at treatment initiation (d)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64963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 d</w:t>
            </w:r>
          </w:p>
          <w:p w14:paraId="14E2A6A7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FO (%)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3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2007C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 d</w:t>
            </w:r>
          </w:p>
          <w:p w14:paraId="25D6E5C3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FO (%)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39317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Weight gain ratio at day 7 (%)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</w:tr>
      <w:tr w:rsidR="008F584F" w14:paraId="270368D5" w14:textId="77777777" w:rsidTr="00F953A6">
        <w:trPr>
          <w:jc w:val="center"/>
        </w:trPr>
        <w:tc>
          <w:tcPr>
            <w:tcW w:w="1191" w:type="dxa"/>
            <w:gridSpan w:val="2"/>
            <w:tcBorders>
              <w:top w:val="single" w:sz="4" w:space="0" w:color="auto"/>
            </w:tcBorders>
            <w:vAlign w:val="center"/>
          </w:tcPr>
          <w:p w14:paraId="41BDA30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Treatment</w:t>
            </w:r>
          </w:p>
          <w:p w14:paraId="23255CE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success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center"/>
          </w:tcPr>
          <w:p w14:paraId="6B68E2D3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center"/>
          </w:tcPr>
          <w:p w14:paraId="31D2B69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9(11.3%)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  <w:vAlign w:val="center"/>
          </w:tcPr>
          <w:p w14:paraId="7BB43F2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30(30, 30)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vAlign w:val="center"/>
          </w:tcPr>
          <w:p w14:paraId="4CE8D6F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62(77.5)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1B8BF3B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6(4, 7)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</w:tcBorders>
            <w:vAlign w:val="center"/>
          </w:tcPr>
          <w:p w14:paraId="6310699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0.3(-1.7, 6.7)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</w:tcBorders>
            <w:vAlign w:val="center"/>
          </w:tcPr>
          <w:p w14:paraId="07B0EBE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18.5(14.4, 24.3)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14:paraId="2957C3E8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1.7(-1.2, 6.5)</w:t>
            </w:r>
          </w:p>
        </w:tc>
      </w:tr>
      <w:tr w:rsidR="008F584F" w14:paraId="78F705CC" w14:textId="77777777" w:rsidTr="00F953A6">
        <w:trPr>
          <w:jc w:val="center"/>
        </w:trPr>
        <w:tc>
          <w:tcPr>
            <w:tcW w:w="1191" w:type="dxa"/>
            <w:gridSpan w:val="2"/>
            <w:tcBorders>
              <w:bottom w:val="single" w:sz="4" w:space="0" w:color="auto"/>
            </w:tcBorders>
            <w:vAlign w:val="center"/>
          </w:tcPr>
          <w:p w14:paraId="48D98D2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Treatment</w:t>
            </w:r>
          </w:p>
          <w:p w14:paraId="5D088F2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failure</w:t>
            </w: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vAlign w:val="center"/>
          </w:tcPr>
          <w:p w14:paraId="2C685BF4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14:paraId="3A9C6D7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6(19.4%)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1E214A0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30(20, 30)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7E228EF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24(77.4)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0ED2929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5(4, 6)</w:t>
            </w:r>
          </w:p>
        </w:tc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3F4D5E14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-2.6(-4.5, 2.0)</w:t>
            </w:r>
          </w:p>
        </w:tc>
        <w:tc>
          <w:tcPr>
            <w:tcW w:w="1538" w:type="dxa"/>
            <w:gridSpan w:val="3"/>
            <w:tcBorders>
              <w:bottom w:val="single" w:sz="4" w:space="0" w:color="auto"/>
            </w:tcBorders>
            <w:vAlign w:val="center"/>
          </w:tcPr>
          <w:p w14:paraId="161EEED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15.4(11.7, 23.6)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3BBDBC8B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2.2(-5.7, 9.8)</w:t>
            </w:r>
          </w:p>
        </w:tc>
      </w:tr>
      <w:tr w:rsidR="008F584F" w14:paraId="65E78E87" w14:textId="77777777" w:rsidTr="00F953A6">
        <w:trPr>
          <w:trHeight w:val="344"/>
          <w:jc w:val="center"/>
        </w:trPr>
        <w:tc>
          <w:tcPr>
            <w:tcW w:w="1191" w:type="dxa"/>
            <w:gridSpan w:val="2"/>
            <w:tcBorders>
              <w:top w:val="single" w:sz="4" w:space="0" w:color="auto"/>
            </w:tcBorders>
            <w:vAlign w:val="center"/>
          </w:tcPr>
          <w:p w14:paraId="37A6532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0063"/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center"/>
          </w:tcPr>
          <w:p w14:paraId="02CFE1B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vAlign w:val="center"/>
          </w:tcPr>
          <w:p w14:paraId="7C141E2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1.256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  <w:vAlign w:val="center"/>
          </w:tcPr>
          <w:p w14:paraId="2AD66A4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-0.556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vAlign w:val="center"/>
          </w:tcPr>
          <w:p w14:paraId="7EB74282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577F81F1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1.948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</w:tcBorders>
            <w:vAlign w:val="center"/>
          </w:tcPr>
          <w:p w14:paraId="51A8D92F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-0.684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</w:tcBorders>
            <w:vAlign w:val="center"/>
          </w:tcPr>
          <w:p w14:paraId="55A0C9B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-0.684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14:paraId="14679C6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0.011</w:t>
            </w:r>
          </w:p>
        </w:tc>
      </w:tr>
      <w:tr w:rsidR="008F584F" w14:paraId="382CA139" w14:textId="77777777" w:rsidTr="00F953A6">
        <w:trPr>
          <w:trHeight w:val="344"/>
          <w:jc w:val="center"/>
        </w:trPr>
        <w:tc>
          <w:tcPr>
            <w:tcW w:w="1191" w:type="dxa"/>
            <w:gridSpan w:val="2"/>
            <w:tcBorders>
              <w:bottom w:val="single" w:sz="12" w:space="0" w:color="auto"/>
            </w:tcBorders>
            <w:vAlign w:val="center"/>
          </w:tcPr>
          <w:p w14:paraId="7F53C7F3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600" w:type="dxa"/>
            <w:gridSpan w:val="2"/>
            <w:tcBorders>
              <w:bottom w:val="single" w:sz="12" w:space="0" w:color="auto"/>
            </w:tcBorders>
            <w:vAlign w:val="center"/>
          </w:tcPr>
          <w:p w14:paraId="4C2ABF98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12" w:space="0" w:color="auto"/>
            </w:tcBorders>
            <w:vAlign w:val="center"/>
          </w:tcPr>
          <w:p w14:paraId="1F05100C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0.262</w:t>
            </w:r>
          </w:p>
        </w:tc>
        <w:tc>
          <w:tcPr>
            <w:tcW w:w="1340" w:type="dxa"/>
            <w:gridSpan w:val="2"/>
            <w:tcBorders>
              <w:bottom w:val="single" w:sz="12" w:space="0" w:color="auto"/>
            </w:tcBorders>
            <w:vAlign w:val="center"/>
          </w:tcPr>
          <w:p w14:paraId="2045706E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0.578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22F6FE29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0.993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78812855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179" w:type="dxa"/>
            <w:gridSpan w:val="2"/>
            <w:tcBorders>
              <w:bottom w:val="single" w:sz="12" w:space="0" w:color="auto"/>
            </w:tcBorders>
            <w:vAlign w:val="center"/>
          </w:tcPr>
          <w:p w14:paraId="0DF542FD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0.539</w:t>
            </w:r>
          </w:p>
        </w:tc>
        <w:tc>
          <w:tcPr>
            <w:tcW w:w="1538" w:type="dxa"/>
            <w:gridSpan w:val="3"/>
            <w:tcBorders>
              <w:bottom w:val="single" w:sz="12" w:space="0" w:color="auto"/>
            </w:tcBorders>
            <w:vAlign w:val="center"/>
          </w:tcPr>
          <w:p w14:paraId="15178C00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0.494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vAlign w:val="center"/>
          </w:tcPr>
          <w:p w14:paraId="4362964B" w14:textId="77777777" w:rsidR="008F584F" w:rsidRDefault="008F584F" w:rsidP="00F953A6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0.991</w:t>
            </w:r>
          </w:p>
        </w:tc>
      </w:tr>
    </w:tbl>
    <w:p w14:paraId="2331E9B7" w14:textId="77777777" w:rsidR="008F584F" w:rsidRDefault="008F584F" w:rsidP="008F584F">
      <w:pPr>
        <w:snapToGrid w:val="0"/>
        <w:spacing w:line="480" w:lineRule="auto"/>
        <w:contextualSpacing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Note: OI stands for oxygenation index, PDA for patent ductus arteriosus, and LVDd for left ventricular end‑diastolic diameter. 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 xml:space="preserve">b </w:t>
      </w:r>
      <w:r>
        <w:rPr>
          <w:rFonts w:ascii="Times New Roman" w:hAnsi="Times New Roman"/>
          <w:color w:val="000000" w:themeColor="text1"/>
          <w:sz w:val="24"/>
        </w:rPr>
        <w:t>is presented as M(Q1</w:t>
      </w:r>
      <w:r>
        <w:rPr>
          <w:rFonts w:ascii="Times New Roman" w:hAnsi="Times New Roman"/>
          <w:color w:val="000000" w:themeColor="text1"/>
          <w:sz w:val="24"/>
        </w:rPr>
        <w:t>，</w:t>
      </w:r>
      <w:r>
        <w:rPr>
          <w:rFonts w:ascii="Times New Roman" w:hAnsi="Times New Roman"/>
          <w:color w:val="000000" w:themeColor="text1"/>
          <w:sz w:val="24"/>
        </w:rPr>
        <w:t xml:space="preserve">Q3) with the </w:t>
      </w:r>
      <w:r>
        <w:rPr>
          <w:rFonts w:ascii="Times New Roman" w:hAnsi="Times New Roman"/>
          <w:i/>
          <w:iCs/>
          <w:color w:val="000000" w:themeColor="text1"/>
          <w:sz w:val="24"/>
        </w:rPr>
        <w:t xml:space="preserve">Z </w:t>
      </w:r>
      <w:r>
        <w:rPr>
          <w:rFonts w:ascii="Times New Roman" w:hAnsi="Times New Roman"/>
          <w:color w:val="000000" w:themeColor="text1"/>
          <w:sz w:val="24"/>
        </w:rPr>
        <w:t>statistic reported. FO stands for fluid overload.</w:t>
      </w:r>
    </w:p>
    <w:p w14:paraId="0CA8F82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4F"/>
    <w:rsid w:val="000C4033"/>
    <w:rsid w:val="00173ED8"/>
    <w:rsid w:val="004B42CB"/>
    <w:rsid w:val="005F2B46"/>
    <w:rsid w:val="006E1731"/>
    <w:rsid w:val="00866D74"/>
    <w:rsid w:val="00882A73"/>
    <w:rsid w:val="008A3011"/>
    <w:rsid w:val="008F584F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3802"/>
  <w15:chartTrackingRefBased/>
  <w15:docId w15:val="{42157E7C-7C88-4CD5-A081-A09F2BCC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84F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84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84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84F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84F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84F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84F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84F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84F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84F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84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5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84F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5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84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5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84F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5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84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8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2026-04-30T16:37:00Z</dcterms:created>
  <dcterms:modified xsi:type="dcterms:W3CDTF">2026-04-30T16:38:00Z</dcterms:modified>
</cp:coreProperties>
</file>