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03EFA" w14:textId="1EC20FAD" w:rsidR="006659BB" w:rsidRPr="006659BB" w:rsidRDefault="006659BB" w:rsidP="006659BB">
      <w:pPr>
        <w:spacing w:line="360" w:lineRule="auto"/>
        <w:jc w:val="center"/>
        <w:rPr>
          <w:b/>
          <w:bCs/>
          <w:i/>
          <w:iCs/>
          <w:color w:val="000000" w:themeColor="text1"/>
          <w:sz w:val="28"/>
          <w:szCs w:val="28"/>
        </w:rPr>
      </w:pPr>
      <w:r w:rsidRPr="006659BB">
        <w:rPr>
          <w:b/>
          <w:bCs/>
          <w:i/>
          <w:iCs/>
          <w:color w:val="000000" w:themeColor="text1"/>
          <w:sz w:val="28"/>
          <w:szCs w:val="28"/>
        </w:rPr>
        <w:t>Supplementary file 2: Sensitivity analysis</w:t>
      </w:r>
    </w:p>
    <w:p w14:paraId="300CD3F7" w14:textId="359BCCD1" w:rsidR="006659BB" w:rsidRPr="00DD1875" w:rsidRDefault="006659BB" w:rsidP="006659BB">
      <w:pPr>
        <w:spacing w:line="360" w:lineRule="auto"/>
        <w:jc w:val="both"/>
      </w:pPr>
      <w:r w:rsidRPr="00DD1875">
        <w:t>A deterministic sensitivity analysis was conducted to assess the impact of varying catastrophic cost thresholds</w:t>
      </w:r>
      <w:r>
        <w:t xml:space="preserve">. </w:t>
      </w:r>
      <w:r w:rsidRPr="00DD1875">
        <w:t xml:space="preserve">Additionally, the prevalence of catastrophic </w:t>
      </w:r>
      <w:r>
        <w:t>health expenditure</w:t>
      </w:r>
      <w:r w:rsidRPr="00DD1875">
        <w:t xml:space="preserve"> was calculated using </w:t>
      </w:r>
      <w:r w:rsidRPr="001A1B79">
        <w:rPr>
          <w:rFonts w:cstheme="minorHAnsi"/>
        </w:rPr>
        <w:t>the SDG benchmark for financial protection</w:t>
      </w:r>
      <w:r>
        <w:rPr>
          <w:rFonts w:cstheme="minorHAnsi"/>
        </w:rPr>
        <w:t xml:space="preserve"> </w:t>
      </w:r>
      <w:r w:rsidRPr="00DD1875">
        <w:t>only the total direct costs as a proportion of the household with a 10% threshold</w:t>
      </w:r>
      <w:r w:rsidR="00EE7178">
        <w:t xml:space="preserve"> </w:t>
      </w:r>
      <w:r>
        <w:fldChar w:fldCharType="begin"/>
      </w:r>
      <w:r>
        <w:instrText xml:space="preserve"> ADDIN ZOTERO_ITEM CSL_CITATION {"citationID":"2oM8MR5k","properties":{"formattedCitation":"(30)","plainCitation":"(30)","noteIndex":0},"citationItems":[{"id":1872,"uris":["http://zotero.org/users/6563245/items/QGZD7ALG"],"itemData":{"id":1872,"type":"article-journal","abstract":"As part of the Collection on Monitoring Universal Health Coverage, Ties Boerma and colleagues discuss the key findings from the country case studies and technical reviews included in the Collection and, also, how these papers will help with the development of a global framework for monitoring progress towards Universal Health Coverage., \nPlease see later in the article for the Editors' Summary\n, Universal health coverage (UHC) has been defined as the desired outcome of health system performance whereby all people who need health services (promotion, prevention, treatment, rehabilitation, and palliation) receive them, without undue financial hardship. UHC has two interrelated components: the full spectrum of good-quality, essential health services according to need, and protection from financial hardship, including possible impoverishment, due to out-of-pocket payments for health services. Both components should benefit the entire population., This paper summarizes the findings from 13 country case studies and five technical reviews, which were conducted as part of the development of a global framework for monitoring progress towards UHC., The case studies show the relevance and feasibility of focusing UHC monitoring on two discrete components of health system performance: levels of coverage with health services and financial protection, with a focus on equity. These components link directly to the definition of UHC and measure the direct results of strategies and policies for UHC. The studies also show how UHC monitoring can be fully embedded in often existing, regular overall monitoring of health sector progress and performance. Several methodological and practical issues related to the monitoring of coverage of essential health services, financial protection, and equity, are highlighted. Addressing the gaps in the availability and quality of data required for monitoring progress towards UHC is critical in most countries.","container-title":"PLoS Medicine","DOI":"10.1371/journal.pmed.1001731","ISSN":"1549-1277","issue":"9","journalAbbreviation":"PLoS Med","note":"PMID: 25243899\nPMCID: PMC4171369","page":"e1001731","source":"PubMed Central","title":"Monitoring Progress towards Universal Health Coverage at Country and Global Levels","volume":"11","author":[{"family":"Boerma","given":"Ties"},{"family":"Eozenou","given":"Patrick"},{"family":"Evans","given":"David"},{"family":"Evans","given":"Tim"},{"family":"Kieny","given":"Marie-Paule"},{"family":"Wagstaff","given":"Adam"}],"issued":{"date-parts":[["2014",9,22]]}}}],"schema":"https://github.com/citation-style-language/schema/raw/master/csl-citation.json"} </w:instrText>
      </w:r>
      <w:r>
        <w:fldChar w:fldCharType="separate"/>
      </w:r>
      <w:r>
        <w:rPr>
          <w:noProof/>
        </w:rPr>
        <w:t>(30)</w:t>
      </w:r>
      <w:r>
        <w:fldChar w:fldCharType="end"/>
      </w:r>
      <w:r w:rsidRPr="00DD1875">
        <w:t xml:space="preserve">.  </w:t>
      </w:r>
    </w:p>
    <w:p w14:paraId="7F52E6A5" w14:textId="77777777" w:rsidR="000D6840" w:rsidRDefault="000D6840" w:rsidP="006659BB">
      <w:pPr>
        <w:spacing w:line="360" w:lineRule="auto"/>
        <w:jc w:val="both"/>
        <w:rPr>
          <w:color w:val="000000" w:themeColor="text1"/>
        </w:rPr>
      </w:pPr>
    </w:p>
    <w:p w14:paraId="7D93F87F" w14:textId="50A7946E" w:rsidR="006659BB" w:rsidRDefault="006659BB" w:rsidP="006659BB">
      <w:pPr>
        <w:spacing w:line="360" w:lineRule="auto"/>
        <w:jc w:val="both"/>
        <w:rPr>
          <w:color w:val="000000" w:themeColor="text1"/>
        </w:rPr>
      </w:pPr>
      <w:r>
        <w:rPr>
          <w:color w:val="000000" w:themeColor="text1"/>
        </w:rPr>
        <w:t xml:space="preserve">Using the </w:t>
      </w:r>
      <w:r w:rsidRPr="00B0696D">
        <w:rPr>
          <w:color w:val="000000" w:themeColor="text1"/>
        </w:rPr>
        <w:t xml:space="preserve">10% threshold, </w:t>
      </w:r>
      <w:r>
        <w:rPr>
          <w:color w:val="000000" w:themeColor="text1"/>
        </w:rPr>
        <w:t>more households incurred catastrophic costs (68%), and this was reversed at 40% thresholds (5%)</w:t>
      </w:r>
      <w:r w:rsidR="000D6840">
        <w:rPr>
          <w:color w:val="000000" w:themeColor="text1"/>
        </w:rPr>
        <w:t xml:space="preserve">. </w:t>
      </w:r>
      <w:r>
        <w:rPr>
          <w:color w:val="000000" w:themeColor="text1"/>
        </w:rPr>
        <w:t xml:space="preserve"> Similar trends were observed when using the output approach to estimate catastrophic costs. About 49% of households incurred catastrophic health expenditures due to TB, using a threshold of 10%.</w:t>
      </w:r>
    </w:p>
    <w:p w14:paraId="30B12DAD" w14:textId="77777777" w:rsidR="006659BB" w:rsidRPr="008D0B5B" w:rsidRDefault="006659BB" w:rsidP="006659BB">
      <w:pPr>
        <w:spacing w:line="360" w:lineRule="auto"/>
        <w:jc w:val="both"/>
        <w:rPr>
          <w:color w:val="000000" w:themeColor="text1"/>
          <w:sz w:val="18"/>
          <w:szCs w:val="18"/>
        </w:rPr>
      </w:pPr>
      <w:r w:rsidRPr="00B0696D">
        <w:rPr>
          <w:noProof/>
          <w:color w:val="000000" w:themeColor="text1"/>
        </w:rPr>
        <w:drawing>
          <wp:inline distT="0" distB="0" distL="0" distR="0" wp14:anchorId="556CBF24" wp14:editId="47EDAA02">
            <wp:extent cx="5727532" cy="2649384"/>
            <wp:effectExtent l="12700" t="12700" r="13335" b="17780"/>
            <wp:docPr id="1974876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40941" name=""/>
                    <pic:cNvPicPr/>
                  </pic:nvPicPr>
                  <pic:blipFill>
                    <a:blip r:embed="rId4"/>
                    <a:stretch>
                      <a:fillRect/>
                    </a:stretch>
                  </pic:blipFill>
                  <pic:spPr>
                    <a:xfrm>
                      <a:off x="0" y="0"/>
                      <a:ext cx="5749363" cy="2659482"/>
                    </a:xfrm>
                    <a:prstGeom prst="rect">
                      <a:avLst/>
                    </a:prstGeom>
                    <a:ln>
                      <a:solidFill>
                        <a:schemeClr val="accent1"/>
                      </a:solidFill>
                    </a:ln>
                  </pic:spPr>
                </pic:pic>
              </a:graphicData>
            </a:graphic>
          </wp:inline>
        </w:drawing>
      </w:r>
      <w:hyperlink r:id="rId5" w:anchor="Tab5" w:history="1">
        <w:r w:rsidRPr="00B0696D">
          <w:rPr>
            <w:rStyle w:val="Hyperlink"/>
            <w:b/>
            <w:bCs/>
            <w:color w:val="000000" w:themeColor="text1"/>
          </w:rPr>
          <w:br/>
        </w:r>
      </w:hyperlink>
      <w:r w:rsidRPr="008D0B5B">
        <w:rPr>
          <w:color w:val="000000" w:themeColor="text1"/>
          <w:sz w:val="18"/>
          <w:szCs w:val="18"/>
        </w:rPr>
        <w:t>*HCA represents the human capital approach method for estimating indirect costs; OA represents the output approach for estimating indirect costs; CHE represents catastrophic health expenditure calculation calculated as direct costs/household income threshold at 10%.</w:t>
      </w:r>
    </w:p>
    <w:p w14:paraId="18322456" w14:textId="77777777" w:rsidR="006659BB" w:rsidRPr="008D0B5B" w:rsidRDefault="006659BB" w:rsidP="006659BB">
      <w:pPr>
        <w:spacing w:line="360" w:lineRule="auto"/>
        <w:jc w:val="both"/>
        <w:rPr>
          <w:color w:val="000000" w:themeColor="text1"/>
          <w:sz w:val="18"/>
          <w:szCs w:val="18"/>
        </w:rPr>
      </w:pPr>
      <w:r w:rsidRPr="008D0B5B">
        <w:rPr>
          <w:color w:val="000000" w:themeColor="text1"/>
          <w:sz w:val="18"/>
          <w:szCs w:val="18"/>
        </w:rPr>
        <w:t>** Base case is estimated as costs/household expenditure with 20% threshold using the human capital approach</w:t>
      </w:r>
    </w:p>
    <w:p w14:paraId="34318E5E" w14:textId="77777777" w:rsidR="004F0131" w:rsidRDefault="004F0131" w:rsidP="006659BB">
      <w:pPr>
        <w:shd w:val="clear" w:color="auto" w:fill="FFFFFF"/>
        <w:spacing w:before="100" w:beforeAutospacing="1" w:after="100" w:afterAutospacing="1" w:line="360" w:lineRule="auto"/>
        <w:contextualSpacing/>
        <w:jc w:val="both"/>
        <w:rPr>
          <w:rFonts w:cstheme="minorHAnsi"/>
        </w:rPr>
      </w:pPr>
    </w:p>
    <w:p w14:paraId="56A8AC97" w14:textId="63C914D8" w:rsidR="006659BB" w:rsidRDefault="006659BB" w:rsidP="006659BB">
      <w:pPr>
        <w:shd w:val="clear" w:color="auto" w:fill="FFFFFF"/>
        <w:spacing w:before="100" w:beforeAutospacing="1" w:after="100" w:afterAutospacing="1" w:line="360" w:lineRule="auto"/>
        <w:contextualSpacing/>
        <w:jc w:val="both"/>
        <w:rPr>
          <w:rFonts w:cstheme="minorHAnsi"/>
        </w:rPr>
      </w:pPr>
      <w:r w:rsidRPr="001A1B79">
        <w:rPr>
          <w:rFonts w:cstheme="minorHAnsi"/>
        </w:rPr>
        <w:t>We applied the WHO-recommended 20% household income threshold for catastrophic cost assessment</w:t>
      </w:r>
      <w:r>
        <w:rPr>
          <w:rFonts w:cstheme="minorHAnsi"/>
        </w:rPr>
        <w:t xml:space="preserve"> </w:t>
      </w:r>
      <w:r w:rsidRPr="007A73EC">
        <w:rPr>
          <w:rFonts w:cstheme="minorHAnsi"/>
        </w:rPr>
        <w:fldChar w:fldCharType="begin"/>
      </w:r>
      <w:r>
        <w:rPr>
          <w:rFonts w:cstheme="minorHAnsi"/>
        </w:rPr>
        <w:instrText xml:space="preserve"> ADDIN ZOTERO_ITEM CSL_CITATION {"citationID":"juH4SKFx","properties":{"formattedCitation":"(41,59)","plainCitation":"(41,59)","noteIndex":0},"citationItems":[{"id":1811,"uris":["http://zotero.org/users/6563245/items/XS5PK6ZL"],"itemData":{"id":1811,"type":"article-journal","abstract":"Tuberculosis (TB) is a disease of poverty. Ensuring access to health care without the risk of financial hardship due to out-of-pocket health care expenditures (Universal Health Coverage [UHC]) is essential for providing accessible care to underprivileged populations, but this is not enough. The End TB Strategy promotes both patient-centred TB services and social protection measures, which aim to mitigate the economic hardship faced by TB patients and their households due to direct medical and non-medical expenditures, as well as to lost income. The strategy includes a target that no families should face catastrophic total costs due to TB. The indicator linked to this target aims to capture the total economic burden linked to TB care, and thus differs from the 'catastrophic expenditure on health' indicator, a key component of the UHC monitoring framework aligned with the Sustainable Development Goals. Countries, and particularly high TB burden countries, are expected to conduct nationally representative TB patient cost surveys to establish baseline measurements for the catastrophic costs indicator. Findings from these surveys should also help identify entry points for developing policies to ensure better financial and social protection for TB patients. In this paper, we define the key measurable concepts for TB patient cost surveys, notably the types of costs that are captured, and related affordability measures. We discuss methods for measuring these notions in the UHC framework and contrast them with how they are measured in TB patient cost surveys.","container-title":"The International Journal of Tuberculosis and Lung Disease: The Official Journal of the International Union Against Tuberculosis and Lung Disease","DOI":"10.5588/ijtld.18.0318","ISSN":"1815-7920","issue":"1","journalAbbreviation":"Int J Tuberc Lung Dis","language":"eng","note":"PMID: 30674374","page":"5-11","source":"PubMed","title":"Measuring the economic burden for TB patients in the End TB Strategy and Universal Health Coverage frameworks","volume":"23","author":[{"family":"Pedrazzoli","given":"D."},{"family":"Borghi","given":"J."},{"family":"Viney","given":"K."},{"family":"Houben","given":"R. M. G. J."},{"family":"Lönnroth","given":"K."}],"issued":{"date-parts":[["2019",1,1]]}}},{"id":89,"uris":["http://zotero.org/users/6563245/items/YXWTVZYW",["http://zotero.org/users/6563245/items/YXWTVZYW"]],"itemData":{"id":89,"type":"article-journal","abstract":"Background: Even when tuberculosis (TB) treatment is free, hidden costs incurred by patients and their households (TBaffected households) may worsen poverty and health. Extreme TB-associated costs have been termed ‘‘catastrophic’’ but are poorly defined. We studied TB-affected households’ hidden costs and their association with adverse TB outcome to create a clinically relevant definition of catastrophic costs.\nMethods and Findings: From 26 October 2002 to 30 November 2009, TB patients (n = 876, 11% with multi-drug-resistant [MDR] TB) and healthy controls (n = 487) were recruited to a prospective cohort study in shantytowns in Lima, Peru. Patients were interviewed prior to and every 2–4 wk throughout treatment, recording direct (household expenses) and indirect (lost income) TB-related costs. Costs were expressed as a proportion of the household’s annual income. In poorer households, costs were lower but constituted a higher proportion of the household’s annual income: 27% (95% CI = 20%–43%) in the least-poor houses versus 48% (95% CI = 36%–50%) in the poorest. Adverse TB outcome was defined as death, treatment abandonment or treatment failure during therapy, or recurrence within 2 y. 23% (166/725) of patients with a defined treatment outcome had an adverse outcome. Total costs $20% of household annual income was defined as catastrophic because this threshold was most strongly associated with adverse TB outcome. Catastrophic costs were incurred by 345 households (39%). Having MDR TB was associated with a higher likelihood of incurring catastrophic costs (54% [95% CI = 43%–61%] versus 38% [95% CI = 34%–41%], p,0.003). Adverse outcome was independently associated with MDR TB (odds ratio [OR] = 8.4 [95% CI = 4.7–15], p,0.001), previous TB (OR = 2.1 [95% CI = 1.3–3.5], p = 0.005), days too unwell to work pre-treatment (OR = 1.01 [95% CI = 1.00–1.01], p = 0.02), and catastrophic costs (OR = 1.7 [95% CI = 1.1–2.6], p = 0.01). The adjusted population attributable fraction of adverse outcomes explained by catastrophic costs was 18% (95% CI = 6.9%–28%), similar to that of MDR TB (20% [95% CI = 14%–25%]). Sensitivity analyses demonstrated that existing catastrophic costs thresholds ($10% or $15% of household annual income) were not associated with adverse outcome in our setting. Study limitations included not measuring certain ‘‘dis-saving’’ variables (including selling household items) and gathering only 6 mo of costs-specific follow-up data for MDR TB patients.\nConclusions: Despite free TB care, having TB disease was expensive for impoverished TB patients in Peru. Incurring higher relative costs was associated with adverse TB outcome. The population attributable fraction indicated that catastrophic costs and MDR TB were associated with similar proportions of adverse outcomes. Thus TB is a socioeconomic as well as infectious problem, and TB control interventions should address both the economic and clinical aspects of this disease.","container-title":"PLoS Medicine","DOI":"10.1371/journal.pmed.1001675","ISSN":"1549-1676","issue":"7","journalAbbreviation":"PLoS Med","language":"en","page":"e1001675","source":"DOI.org (Crossref)","title":"Defining Catastrophic Costs and Comparing Their Importance for Adverse Tuberculosis Outcome with Multi-Drug Resistance: A Prospective Cohort Study, Peru","title-short":"Defining Catastrophic Costs and Comparing Their Importance for Adverse Tuberculosis Outcome with Multi-Drug Resistance","volume":"11","author":[{"family":"Wingfield","given":"Tom"},{"family":"Boccia","given":"Delia"},{"family":"Tovar","given":"Marco"},{"family":"Gavino","given":"Arquímedes"},{"family":"Zevallos","given":"Karine"},{"family":"Montoya","given":"Rosario"},{"family":"Lönnroth","given":"Knut"},{"family":"Evans","given":"Carlton A."}],"editor":[{"family":"Ruger","given":"Jennifer Prah"}],"issued":{"date-parts":[["2014",7,15]]}}}],"schema":"https://github.com/citation-style-language/schema/raw/master/csl-citation.json"} </w:instrText>
      </w:r>
      <w:r w:rsidRPr="007A73EC">
        <w:rPr>
          <w:rFonts w:cstheme="minorHAnsi"/>
        </w:rPr>
        <w:fldChar w:fldCharType="separate"/>
      </w:r>
      <w:r>
        <w:rPr>
          <w:rFonts w:cstheme="minorHAnsi"/>
        </w:rPr>
        <w:t>(41,59)</w:t>
      </w:r>
      <w:r w:rsidRPr="007A73EC">
        <w:rPr>
          <w:rFonts w:cstheme="minorHAnsi"/>
        </w:rPr>
        <w:fldChar w:fldCharType="end"/>
      </w:r>
      <w:r w:rsidRPr="001A1B79">
        <w:rPr>
          <w:rFonts w:cstheme="minorHAnsi"/>
        </w:rPr>
        <w:t>, verifying robustness through sensitivity analyses at 10% and 40%, which confirmed expected trends. Additionally, using the SDG benchmark for financial protection</w:t>
      </w:r>
      <w:r>
        <w:rPr>
          <w:rFonts w:cstheme="minorHAnsi"/>
        </w:rPr>
        <w:t xml:space="preserve"> </w:t>
      </w:r>
      <w:r w:rsidRPr="007A73EC">
        <w:rPr>
          <w:rFonts w:cstheme="minorHAnsi"/>
        </w:rPr>
        <w:fldChar w:fldCharType="begin"/>
      </w:r>
      <w:r>
        <w:rPr>
          <w:rFonts w:cstheme="minorHAnsi"/>
        </w:rPr>
        <w:instrText xml:space="preserve"> ADDIN ZOTERO_ITEM CSL_CITATION {"citationID":"yB8DCyco","properties":{"formattedCitation":"(30)","plainCitation":"(30)","noteIndex":0},"citationItems":[{"id":1872,"uris":["http://zotero.org/users/6563245/items/QGZD7ALG"],"itemData":{"id":1872,"type":"article-journal","abstract":"As part of the Collection on Monitoring Universal Health Coverage, Ties Boerma and colleagues discuss the key findings from the country case studies and technical reviews included in the Collection and, also, how these papers will help with the development of a global framework for monitoring progress towards Universal Health Coverage., \nPlease see later in the article for the Editors' Summary\n, Universal health coverage (UHC) has been defined as the desired outcome of health system performance whereby all people who need health services (promotion, prevention, treatment, rehabilitation, and palliation) receive them, without undue financial hardship. UHC has two interrelated components: the full spectrum of good-quality, essential health services according to need, and protection from financial hardship, including possible impoverishment, due to out-of-pocket payments for health services. Both components should benefit the entire population., This paper summarizes the findings from 13 country case studies and five technical reviews, which were conducted as part of the development of a global framework for monitoring progress towards UHC., The case studies show the relevance and feasibility of focusing UHC monitoring on two discrete components of health system performance: levels of coverage with health services and financial protection, with a focus on equity. These components link directly to the definition of UHC and measure the direct results of strategies and policies for UHC. The studies also show how UHC monitoring can be fully embedded in often existing, regular overall monitoring of health sector progress and performance. Several methodological and practical issues related to the monitoring of coverage of essential health services, financial protection, and equity, are highlighted. Addressing the gaps in the availability and quality of data required for monitoring progress towards UHC is critical in most countries.","container-title":"PLoS Medicine","DOI":"10.1371/journal.pmed.1001731","ISSN":"1549-1277","issue":"9","journalAbbreviation":"PLoS Med","note":"PMID: 25243899\nPMCID: PMC4171369","page":"e1001731","source":"PubMed Central","title":"Monitoring Progress towards Universal Health Coverage at Country and Global Levels","volume":"11","author":[{"family":"Boerma","given":"Ties"},{"family":"Eozenou","given":"Patrick"},{"family":"Evans","given":"David"},{"family":"Evans","given":"Tim"},{"family":"Kieny","given":"Marie-Paule"},{"family":"Wagstaff","given":"Adam"}],"issued":{"date-parts":[["2014",9,22]]}}}],"schema":"https://github.com/citation-style-language/schema/raw/master/csl-citation.json"} </w:instrText>
      </w:r>
      <w:r w:rsidRPr="007A73EC">
        <w:rPr>
          <w:rFonts w:cstheme="minorHAnsi"/>
        </w:rPr>
        <w:fldChar w:fldCharType="separate"/>
      </w:r>
      <w:r>
        <w:rPr>
          <w:rFonts w:cstheme="minorHAnsi"/>
          <w:noProof/>
        </w:rPr>
        <w:t>(30)</w:t>
      </w:r>
      <w:r w:rsidRPr="007A73EC">
        <w:rPr>
          <w:rFonts w:cstheme="minorHAnsi"/>
        </w:rPr>
        <w:fldChar w:fldCharType="end"/>
      </w:r>
      <w:r w:rsidRPr="001A1B79">
        <w:rPr>
          <w:rFonts w:cstheme="minorHAnsi"/>
        </w:rPr>
        <w:t>, we found that 49% of households faced catastrophic health expenditures, surpassing the 33% reported for Africa</w:t>
      </w:r>
      <w:r>
        <w:rPr>
          <w:rFonts w:cstheme="minorHAnsi"/>
        </w:rPr>
        <w:t xml:space="preserve"> </w:t>
      </w:r>
      <w:r w:rsidRPr="007A73EC">
        <w:rPr>
          <w:rFonts w:cstheme="minorHAnsi"/>
        </w:rPr>
        <w:fldChar w:fldCharType="begin"/>
      </w:r>
      <w:r>
        <w:rPr>
          <w:rFonts w:cstheme="minorHAnsi"/>
        </w:rPr>
        <w:instrText xml:space="preserve"> ADDIN ZOTERO_ITEM CSL_CITATION {"citationID":"rX1nAxBv","properties":{"formattedCitation":"(60)","plainCitation":"(60)","noteIndex":0},"citationItems":[{"id":1828,"uris":["http://zotero.org/users/6563245/items/87FZ95AA"],"itemData":{"id":1828,"type":"article-journal","abstract":"Objective\nTo estimate the incidence of, and trends in, catastrophic health expenditure in sub-Saharan Africa.\n\nMethods\nWe systematically reviewed the scientific and grey literature to identify population-based studies on catastrophic health expenditure in sub-Saharan Africa published between 2000 and 2021. We performed a meta-analysis using two definitions of catastrophic health expenditure: 10% of total household expenditure and 40% of household non-food expenditure. The results of individual studies were pooled by pairwise meta-analysis using the random-effects model.\n\nFindings\nWe identified 111 publications covering a total of 1</w:instrText>
      </w:r>
      <w:r>
        <w:rPr>
          <w:rFonts w:ascii="Arial" w:hAnsi="Arial" w:cs="Arial"/>
        </w:rPr>
        <w:instrText> </w:instrText>
      </w:r>
      <w:r>
        <w:rPr>
          <w:rFonts w:cstheme="minorHAnsi"/>
        </w:rPr>
        <w:instrText>040</w:instrText>
      </w:r>
      <w:r>
        <w:rPr>
          <w:rFonts w:ascii="Arial" w:hAnsi="Arial" w:cs="Arial"/>
        </w:rPr>
        <w:instrText> </w:instrText>
      </w:r>
      <w:r>
        <w:rPr>
          <w:rFonts w:cstheme="minorHAnsi"/>
        </w:rPr>
        <w:instrText>620 households across 31 sub-Saharan African countries. Overall, the pooled annual incidence of catastrophic health expenditure was 16.5% (95% confidence interval, CI: 12.9–20.4; 50 datapoints; 462</w:instrText>
      </w:r>
      <w:r>
        <w:rPr>
          <w:rFonts w:ascii="Arial" w:hAnsi="Arial" w:cs="Arial"/>
        </w:rPr>
        <w:instrText> </w:instrText>
      </w:r>
      <w:r>
        <w:rPr>
          <w:rFonts w:cstheme="minorHAnsi"/>
        </w:rPr>
        <w:instrText>151 households; I2</w:instrText>
      </w:r>
      <w:r>
        <w:rPr>
          <w:rFonts w:ascii="Arial" w:hAnsi="Arial" w:cs="Arial"/>
        </w:rPr>
        <w:instrText> </w:instrText>
      </w:r>
      <w:r>
        <w:rPr>
          <w:rFonts w:cstheme="minorHAnsi"/>
        </w:rPr>
        <w:instrText>=</w:instrText>
      </w:r>
      <w:r>
        <w:rPr>
          <w:rFonts w:ascii="Arial" w:hAnsi="Arial" w:cs="Arial"/>
        </w:rPr>
        <w:instrText> </w:instrText>
      </w:r>
      <w:r>
        <w:rPr>
          <w:rFonts w:cstheme="minorHAnsi"/>
        </w:rPr>
        <w:instrText>99.9%) for a threshold of 10% of total household expenditure and 8.7% (95% CI: 7.2–10.3; 84 datapoints; 795</w:instrText>
      </w:r>
      <w:r>
        <w:rPr>
          <w:rFonts w:ascii="Arial" w:hAnsi="Arial" w:cs="Arial"/>
        </w:rPr>
        <w:instrText> </w:instrText>
      </w:r>
      <w:r>
        <w:rPr>
          <w:rFonts w:cstheme="minorHAnsi"/>
        </w:rPr>
        <w:instrText>355 households; I2</w:instrText>
      </w:r>
      <w:r>
        <w:rPr>
          <w:rFonts w:ascii="Arial" w:hAnsi="Arial" w:cs="Arial"/>
        </w:rPr>
        <w:instrText> </w:instrText>
      </w:r>
      <w:r>
        <w:rPr>
          <w:rFonts w:cstheme="minorHAnsi"/>
        </w:rPr>
        <w:instrText>=</w:instrText>
      </w:r>
      <w:r>
        <w:rPr>
          <w:rFonts w:ascii="Arial" w:hAnsi="Arial" w:cs="Arial"/>
        </w:rPr>
        <w:instrText> </w:instrText>
      </w:r>
      <w:r>
        <w:rPr>
          <w:rFonts w:cstheme="minorHAnsi"/>
        </w:rPr>
        <w:instrText xml:space="preserve">99.8%) for a threshold of 40% of household non-food expenditure. Countries in central and southern sub-Saharan Africa had the highest and lowest incidence, respectively. A trend analysis found that, after initially declining in the 2000s, the incidence of catastrophic health expenditure in sub-Saharan Africa increased between 2010 and 2020. The incidence among people affected by specific diseases, such as noncommunicable diseases, HIV/AIDS and tuberculosis, was generally higher.\n\nConclusion\nAlthough data on catastrophic health expenditure for some countries were sparse, the data available suggest that a non-negligible share of households in sub-Saharan Africa experienced catastrophic expenditure when accessing health-care services. Stronger financial protection measures are needed.","container-title":"Bulletin of the World Health Organization","DOI":"10.2471/BLT.21.287673","ISSN":"0042-9686","issue":"5","journalAbbreviation":"Bull World Health Organ","note":"PMID: 35521041\nPMCID: PMC9047424","page":"337-351J","source":"PubMed Central","title":"Catastrophic health expenditure in sub-Saharan Africa: systematic review and meta-analysis","title-short":"Catastrophic health expenditure in sub-Saharan Africa","volume":"100","author":[{"family":"Eze","given":"Paul"},{"family":"Lawani","given":"Lucky Osaheni"},{"family":"Agu","given":"Ujunwa Justina"},{"family":"Acharya","given":"Yubraj"}],"issued":{"date-parts":[["2022",5,1]]}}}],"schema":"https://github.com/citation-style-language/schema/raw/master/csl-citation.json"} </w:instrText>
      </w:r>
      <w:r w:rsidRPr="007A73EC">
        <w:rPr>
          <w:rFonts w:cstheme="minorHAnsi"/>
        </w:rPr>
        <w:fldChar w:fldCharType="separate"/>
      </w:r>
      <w:r>
        <w:rPr>
          <w:rFonts w:cstheme="minorHAnsi"/>
        </w:rPr>
        <w:t>(60)</w:t>
      </w:r>
      <w:r w:rsidRPr="007A73EC">
        <w:rPr>
          <w:rFonts w:cstheme="minorHAnsi"/>
        </w:rPr>
        <w:fldChar w:fldCharType="end"/>
      </w:r>
      <w:r w:rsidRPr="001A1B79">
        <w:rPr>
          <w:rFonts w:cstheme="minorHAnsi"/>
        </w:rPr>
        <w:t>.</w:t>
      </w:r>
    </w:p>
    <w:p w14:paraId="73B0298C" w14:textId="77777777" w:rsidR="004F0131" w:rsidRDefault="004F0131" w:rsidP="006659BB">
      <w:pPr>
        <w:spacing w:line="360" w:lineRule="auto"/>
        <w:jc w:val="both"/>
      </w:pPr>
    </w:p>
    <w:p w14:paraId="1FF20349" w14:textId="6C2F7533" w:rsidR="006659BB" w:rsidRPr="00DD1875" w:rsidRDefault="006659BB" w:rsidP="006659BB">
      <w:pPr>
        <w:spacing w:line="360" w:lineRule="auto"/>
        <w:jc w:val="both"/>
      </w:pPr>
      <w:r w:rsidRPr="00DD1875">
        <w:lastRenderedPageBreak/>
        <w:t xml:space="preserve">We used the human capital approach to estimate the income loss due to the low levels of formal employment. Although this approach captures all time off work, it does not consider household mitigation efforts to compensate for lost income leading to an over-estimation of the productivity losses. To counter this, we ran a parallel estimation using the output approach and using reported lost income. The indirect costs with the HCA method were higher than the output approach, giving a lower estimation of TB costs at USD 106. Still the indirect costs only contributed 17% of the total costs which is lower than 47% in the national cost estimate and in other national estimates </w:t>
      </w:r>
      <w:r w:rsidRPr="00DD1875">
        <w:fldChar w:fldCharType="begin"/>
      </w:r>
      <w:r>
        <w:instrText xml:space="preserve"> ADDIN ZOTERO_ITEM CSL_CITATION {"citationID":"XBY9k922","properties":{"formattedCitation":"(20)","plainCitation":"(20)","noteIndex":0},"citationItems":[{"id":1397,"uris":["http://zotero.org/users/6563245/items/38LITY6V"],"itemData":{"id":1397,"type":"webpage","abstract":"Publicaciones de la Organización Mundial de la Salud","language":"en","title":"National surveys of costs faced by tuberculosis patients and their households 2015-2021","URL":"https://www.who.int/publications-detail-redirect/9789240065536","accessed":{"date-parts":[["2023",9,8]]}}}],"schema":"https://github.com/citation-style-language/schema/raw/master/csl-citation.json"} </w:instrText>
      </w:r>
      <w:r w:rsidRPr="00DD1875">
        <w:fldChar w:fldCharType="separate"/>
      </w:r>
      <w:r>
        <w:t>(20)</w:t>
      </w:r>
      <w:r w:rsidRPr="00DD1875">
        <w:fldChar w:fldCharType="end"/>
      </w:r>
      <w:r w:rsidRPr="00DD1875">
        <w:t xml:space="preserve">. </w:t>
      </w:r>
    </w:p>
    <w:p w14:paraId="2274C69C" w14:textId="77777777" w:rsidR="006659BB" w:rsidRDefault="006659BB" w:rsidP="006659BB">
      <w:pPr>
        <w:shd w:val="clear" w:color="auto" w:fill="FFFFFF"/>
        <w:spacing w:before="100" w:beforeAutospacing="1" w:after="100" w:afterAutospacing="1" w:line="360" w:lineRule="auto"/>
        <w:contextualSpacing/>
        <w:jc w:val="both"/>
        <w:rPr>
          <w:rFonts w:cstheme="minorHAnsi"/>
        </w:rPr>
      </w:pPr>
    </w:p>
    <w:p w14:paraId="74F42643" w14:textId="77777777" w:rsidR="006659BB" w:rsidRPr="001A1B79" w:rsidRDefault="006659BB" w:rsidP="006659BB">
      <w:pPr>
        <w:shd w:val="clear" w:color="auto" w:fill="FFFFFF"/>
        <w:spacing w:before="100" w:beforeAutospacing="1" w:after="100" w:afterAutospacing="1" w:line="360" w:lineRule="auto"/>
        <w:contextualSpacing/>
        <w:jc w:val="both"/>
        <w:rPr>
          <w:rFonts w:cstheme="minorHAnsi"/>
        </w:rPr>
      </w:pPr>
    </w:p>
    <w:p w14:paraId="0831CFBB" w14:textId="77777777" w:rsidR="000A6F9F" w:rsidRDefault="000A6F9F"/>
    <w:sectPr w:rsidR="000A6F9F" w:rsidSect="008F784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9BB"/>
    <w:rsid w:val="000016B8"/>
    <w:rsid w:val="00006FBC"/>
    <w:rsid w:val="00010975"/>
    <w:rsid w:val="00010F7C"/>
    <w:rsid w:val="00015EAD"/>
    <w:rsid w:val="0002020B"/>
    <w:rsid w:val="000210D9"/>
    <w:rsid w:val="0002233E"/>
    <w:rsid w:val="00026478"/>
    <w:rsid w:val="00026F52"/>
    <w:rsid w:val="000436C1"/>
    <w:rsid w:val="0004772E"/>
    <w:rsid w:val="00047D7C"/>
    <w:rsid w:val="00052495"/>
    <w:rsid w:val="00054055"/>
    <w:rsid w:val="000678B1"/>
    <w:rsid w:val="000762D2"/>
    <w:rsid w:val="0008572F"/>
    <w:rsid w:val="00093A25"/>
    <w:rsid w:val="000955DB"/>
    <w:rsid w:val="000A4CDC"/>
    <w:rsid w:val="000A6F9F"/>
    <w:rsid w:val="000A79BE"/>
    <w:rsid w:val="000B44B6"/>
    <w:rsid w:val="000C0DB2"/>
    <w:rsid w:val="000C5DFF"/>
    <w:rsid w:val="000D1333"/>
    <w:rsid w:val="000D2191"/>
    <w:rsid w:val="000D63E8"/>
    <w:rsid w:val="000D6840"/>
    <w:rsid w:val="000F49B1"/>
    <w:rsid w:val="000F5938"/>
    <w:rsid w:val="00105446"/>
    <w:rsid w:val="00106812"/>
    <w:rsid w:val="001129B2"/>
    <w:rsid w:val="001130CB"/>
    <w:rsid w:val="00114E6E"/>
    <w:rsid w:val="001220F6"/>
    <w:rsid w:val="00130FDF"/>
    <w:rsid w:val="00133346"/>
    <w:rsid w:val="00141DA0"/>
    <w:rsid w:val="00152F3D"/>
    <w:rsid w:val="00156BA1"/>
    <w:rsid w:val="00160ED3"/>
    <w:rsid w:val="00167F0F"/>
    <w:rsid w:val="00171104"/>
    <w:rsid w:val="001736B8"/>
    <w:rsid w:val="00175E7A"/>
    <w:rsid w:val="00175E9F"/>
    <w:rsid w:val="00180395"/>
    <w:rsid w:val="00185D0D"/>
    <w:rsid w:val="00187B49"/>
    <w:rsid w:val="001A6C67"/>
    <w:rsid w:val="001A772E"/>
    <w:rsid w:val="001B2B48"/>
    <w:rsid w:val="001C7B01"/>
    <w:rsid w:val="001D4338"/>
    <w:rsid w:val="001D5B63"/>
    <w:rsid w:val="001E2830"/>
    <w:rsid w:val="001E57B2"/>
    <w:rsid w:val="001E6AF7"/>
    <w:rsid w:val="001F2C02"/>
    <w:rsid w:val="001F3FF1"/>
    <w:rsid w:val="001F4C87"/>
    <w:rsid w:val="001F6358"/>
    <w:rsid w:val="00201706"/>
    <w:rsid w:val="00201D4A"/>
    <w:rsid w:val="002035B5"/>
    <w:rsid w:val="00207459"/>
    <w:rsid w:val="00214FFE"/>
    <w:rsid w:val="0021788C"/>
    <w:rsid w:val="00221E33"/>
    <w:rsid w:val="00224B57"/>
    <w:rsid w:val="00225E03"/>
    <w:rsid w:val="00226ADB"/>
    <w:rsid w:val="002340EE"/>
    <w:rsid w:val="00235745"/>
    <w:rsid w:val="0023709A"/>
    <w:rsid w:val="002379EF"/>
    <w:rsid w:val="00240EC2"/>
    <w:rsid w:val="00242001"/>
    <w:rsid w:val="002436F0"/>
    <w:rsid w:val="00253FD6"/>
    <w:rsid w:val="00261E12"/>
    <w:rsid w:val="002630C4"/>
    <w:rsid w:val="002858D4"/>
    <w:rsid w:val="002929DB"/>
    <w:rsid w:val="00292E3E"/>
    <w:rsid w:val="00294533"/>
    <w:rsid w:val="002B1734"/>
    <w:rsid w:val="002B3398"/>
    <w:rsid w:val="002B5424"/>
    <w:rsid w:val="002B58C8"/>
    <w:rsid w:val="002B6294"/>
    <w:rsid w:val="002D06F9"/>
    <w:rsid w:val="002D0DBB"/>
    <w:rsid w:val="002D6B3E"/>
    <w:rsid w:val="002F58AC"/>
    <w:rsid w:val="00303CFD"/>
    <w:rsid w:val="00304A3C"/>
    <w:rsid w:val="003070D9"/>
    <w:rsid w:val="0030779E"/>
    <w:rsid w:val="00316E44"/>
    <w:rsid w:val="00322B71"/>
    <w:rsid w:val="00324669"/>
    <w:rsid w:val="003318CC"/>
    <w:rsid w:val="0033380B"/>
    <w:rsid w:val="003368FD"/>
    <w:rsid w:val="00337DE5"/>
    <w:rsid w:val="00340C4B"/>
    <w:rsid w:val="00345E07"/>
    <w:rsid w:val="0034715C"/>
    <w:rsid w:val="003625B6"/>
    <w:rsid w:val="00362FBB"/>
    <w:rsid w:val="0037040D"/>
    <w:rsid w:val="003737D7"/>
    <w:rsid w:val="0037419B"/>
    <w:rsid w:val="0038280A"/>
    <w:rsid w:val="00383292"/>
    <w:rsid w:val="003847E4"/>
    <w:rsid w:val="00395916"/>
    <w:rsid w:val="003A361E"/>
    <w:rsid w:val="003A4480"/>
    <w:rsid w:val="003B0982"/>
    <w:rsid w:val="003B3962"/>
    <w:rsid w:val="003B699B"/>
    <w:rsid w:val="003C1EFB"/>
    <w:rsid w:val="003C2E9C"/>
    <w:rsid w:val="003C5D89"/>
    <w:rsid w:val="003D417A"/>
    <w:rsid w:val="003E7F0E"/>
    <w:rsid w:val="003F4C5C"/>
    <w:rsid w:val="003F6666"/>
    <w:rsid w:val="00404343"/>
    <w:rsid w:val="004126D4"/>
    <w:rsid w:val="0042659F"/>
    <w:rsid w:val="00444B4D"/>
    <w:rsid w:val="00447B7E"/>
    <w:rsid w:val="0046190D"/>
    <w:rsid w:val="00461DBC"/>
    <w:rsid w:val="004651C9"/>
    <w:rsid w:val="00476AAB"/>
    <w:rsid w:val="00480856"/>
    <w:rsid w:val="00487CF2"/>
    <w:rsid w:val="00490AD3"/>
    <w:rsid w:val="0049706A"/>
    <w:rsid w:val="004A0E80"/>
    <w:rsid w:val="004A58A5"/>
    <w:rsid w:val="004B4D31"/>
    <w:rsid w:val="004B5DC6"/>
    <w:rsid w:val="004C0513"/>
    <w:rsid w:val="004C0549"/>
    <w:rsid w:val="004C1991"/>
    <w:rsid w:val="004C2FE7"/>
    <w:rsid w:val="004D537B"/>
    <w:rsid w:val="004E6D95"/>
    <w:rsid w:val="004F0131"/>
    <w:rsid w:val="004F019C"/>
    <w:rsid w:val="004F2DD7"/>
    <w:rsid w:val="004F3ADF"/>
    <w:rsid w:val="00515F3C"/>
    <w:rsid w:val="0052041D"/>
    <w:rsid w:val="00524D3A"/>
    <w:rsid w:val="00526CC4"/>
    <w:rsid w:val="005334DB"/>
    <w:rsid w:val="0053506E"/>
    <w:rsid w:val="00535AD2"/>
    <w:rsid w:val="005407AB"/>
    <w:rsid w:val="00547F20"/>
    <w:rsid w:val="00551F73"/>
    <w:rsid w:val="00555C5B"/>
    <w:rsid w:val="0055710F"/>
    <w:rsid w:val="00557487"/>
    <w:rsid w:val="00580294"/>
    <w:rsid w:val="00581195"/>
    <w:rsid w:val="005857BE"/>
    <w:rsid w:val="00590E19"/>
    <w:rsid w:val="00593019"/>
    <w:rsid w:val="005952E6"/>
    <w:rsid w:val="005967FD"/>
    <w:rsid w:val="005A5273"/>
    <w:rsid w:val="005A592A"/>
    <w:rsid w:val="005A6D72"/>
    <w:rsid w:val="005A7E5B"/>
    <w:rsid w:val="005B6D5E"/>
    <w:rsid w:val="005C0055"/>
    <w:rsid w:val="005C4E62"/>
    <w:rsid w:val="005D26F1"/>
    <w:rsid w:val="005D4042"/>
    <w:rsid w:val="005E7EBC"/>
    <w:rsid w:val="00600737"/>
    <w:rsid w:val="00604FAB"/>
    <w:rsid w:val="00610CD9"/>
    <w:rsid w:val="0061119E"/>
    <w:rsid w:val="00636C15"/>
    <w:rsid w:val="0064101C"/>
    <w:rsid w:val="006415A8"/>
    <w:rsid w:val="00645B3F"/>
    <w:rsid w:val="00650B9E"/>
    <w:rsid w:val="0065260B"/>
    <w:rsid w:val="00654507"/>
    <w:rsid w:val="00657DFA"/>
    <w:rsid w:val="00662C9C"/>
    <w:rsid w:val="00663F63"/>
    <w:rsid w:val="006659BB"/>
    <w:rsid w:val="00666EE9"/>
    <w:rsid w:val="00670AB3"/>
    <w:rsid w:val="00676B42"/>
    <w:rsid w:val="00684CF0"/>
    <w:rsid w:val="00685329"/>
    <w:rsid w:val="006877A8"/>
    <w:rsid w:val="00690117"/>
    <w:rsid w:val="00695B28"/>
    <w:rsid w:val="006967C5"/>
    <w:rsid w:val="006B4082"/>
    <w:rsid w:val="006B4BC0"/>
    <w:rsid w:val="006D0745"/>
    <w:rsid w:val="006D1503"/>
    <w:rsid w:val="006D23C1"/>
    <w:rsid w:val="006D61D4"/>
    <w:rsid w:val="006D67EE"/>
    <w:rsid w:val="006D6F66"/>
    <w:rsid w:val="006E1CCE"/>
    <w:rsid w:val="006E4A45"/>
    <w:rsid w:val="006F6051"/>
    <w:rsid w:val="006F60DB"/>
    <w:rsid w:val="006F6F15"/>
    <w:rsid w:val="007022B5"/>
    <w:rsid w:val="00704B3D"/>
    <w:rsid w:val="007109BA"/>
    <w:rsid w:val="00713438"/>
    <w:rsid w:val="00714EFD"/>
    <w:rsid w:val="00715506"/>
    <w:rsid w:val="00716D2F"/>
    <w:rsid w:val="00724FD2"/>
    <w:rsid w:val="00727216"/>
    <w:rsid w:val="00747384"/>
    <w:rsid w:val="00762B5F"/>
    <w:rsid w:val="007676D8"/>
    <w:rsid w:val="00775A1A"/>
    <w:rsid w:val="007802B4"/>
    <w:rsid w:val="00782044"/>
    <w:rsid w:val="00790A9F"/>
    <w:rsid w:val="00793035"/>
    <w:rsid w:val="007A0833"/>
    <w:rsid w:val="007A5051"/>
    <w:rsid w:val="007A77EE"/>
    <w:rsid w:val="007B19F8"/>
    <w:rsid w:val="007B5712"/>
    <w:rsid w:val="007D5139"/>
    <w:rsid w:val="007D52D2"/>
    <w:rsid w:val="007E0CE5"/>
    <w:rsid w:val="007E26FB"/>
    <w:rsid w:val="007F1B0E"/>
    <w:rsid w:val="007F6B89"/>
    <w:rsid w:val="00807DB0"/>
    <w:rsid w:val="0081000F"/>
    <w:rsid w:val="008103B2"/>
    <w:rsid w:val="00812760"/>
    <w:rsid w:val="00814F9B"/>
    <w:rsid w:val="00815754"/>
    <w:rsid w:val="008167C2"/>
    <w:rsid w:val="00821855"/>
    <w:rsid w:val="008219AE"/>
    <w:rsid w:val="0082613C"/>
    <w:rsid w:val="008354AA"/>
    <w:rsid w:val="0084025E"/>
    <w:rsid w:val="008410A6"/>
    <w:rsid w:val="00844BD9"/>
    <w:rsid w:val="0084532E"/>
    <w:rsid w:val="00845B55"/>
    <w:rsid w:val="008479AB"/>
    <w:rsid w:val="00870B74"/>
    <w:rsid w:val="0088224B"/>
    <w:rsid w:val="00884540"/>
    <w:rsid w:val="00887504"/>
    <w:rsid w:val="00894B0B"/>
    <w:rsid w:val="008954C9"/>
    <w:rsid w:val="00897F1C"/>
    <w:rsid w:val="008A31AC"/>
    <w:rsid w:val="008A6C91"/>
    <w:rsid w:val="008B0D53"/>
    <w:rsid w:val="008C17A3"/>
    <w:rsid w:val="008C3A53"/>
    <w:rsid w:val="008D2BA7"/>
    <w:rsid w:val="008E0F02"/>
    <w:rsid w:val="008F0126"/>
    <w:rsid w:val="008F6357"/>
    <w:rsid w:val="008F7845"/>
    <w:rsid w:val="0091285A"/>
    <w:rsid w:val="00917E4F"/>
    <w:rsid w:val="00926B89"/>
    <w:rsid w:val="00934210"/>
    <w:rsid w:val="00947A27"/>
    <w:rsid w:val="00951FD2"/>
    <w:rsid w:val="00955F56"/>
    <w:rsid w:val="00957D17"/>
    <w:rsid w:val="00960553"/>
    <w:rsid w:val="0096356C"/>
    <w:rsid w:val="00966DF2"/>
    <w:rsid w:val="00976040"/>
    <w:rsid w:val="00984EC7"/>
    <w:rsid w:val="009865A1"/>
    <w:rsid w:val="00987737"/>
    <w:rsid w:val="00993E4B"/>
    <w:rsid w:val="009954B0"/>
    <w:rsid w:val="009A34ED"/>
    <w:rsid w:val="009B14AE"/>
    <w:rsid w:val="009D1754"/>
    <w:rsid w:val="009D4B31"/>
    <w:rsid w:val="009E260C"/>
    <w:rsid w:val="009F2014"/>
    <w:rsid w:val="009F33C0"/>
    <w:rsid w:val="00A06AAF"/>
    <w:rsid w:val="00A100D6"/>
    <w:rsid w:val="00A12B7B"/>
    <w:rsid w:val="00A26167"/>
    <w:rsid w:val="00A27454"/>
    <w:rsid w:val="00A30197"/>
    <w:rsid w:val="00A31071"/>
    <w:rsid w:val="00A31C07"/>
    <w:rsid w:val="00A37515"/>
    <w:rsid w:val="00A37B59"/>
    <w:rsid w:val="00A415E9"/>
    <w:rsid w:val="00A45C09"/>
    <w:rsid w:val="00A46611"/>
    <w:rsid w:val="00A46DB9"/>
    <w:rsid w:val="00A52F35"/>
    <w:rsid w:val="00A54933"/>
    <w:rsid w:val="00A54C01"/>
    <w:rsid w:val="00A54DE5"/>
    <w:rsid w:val="00A56743"/>
    <w:rsid w:val="00A61536"/>
    <w:rsid w:val="00A619DE"/>
    <w:rsid w:val="00A634AC"/>
    <w:rsid w:val="00A67030"/>
    <w:rsid w:val="00A67DA0"/>
    <w:rsid w:val="00A72C36"/>
    <w:rsid w:val="00A72CB4"/>
    <w:rsid w:val="00A74D0F"/>
    <w:rsid w:val="00A858C2"/>
    <w:rsid w:val="00A85B91"/>
    <w:rsid w:val="00A913C1"/>
    <w:rsid w:val="00A96B89"/>
    <w:rsid w:val="00AA5AA6"/>
    <w:rsid w:val="00AA730C"/>
    <w:rsid w:val="00AA7D34"/>
    <w:rsid w:val="00AB53DF"/>
    <w:rsid w:val="00AB7381"/>
    <w:rsid w:val="00AB7F27"/>
    <w:rsid w:val="00AC0979"/>
    <w:rsid w:val="00AD3D96"/>
    <w:rsid w:val="00AE1C32"/>
    <w:rsid w:val="00AE2E04"/>
    <w:rsid w:val="00AE3F6F"/>
    <w:rsid w:val="00AF0776"/>
    <w:rsid w:val="00AF4CFC"/>
    <w:rsid w:val="00B03B0C"/>
    <w:rsid w:val="00B17F5E"/>
    <w:rsid w:val="00B23EDB"/>
    <w:rsid w:val="00B25FF4"/>
    <w:rsid w:val="00B30E76"/>
    <w:rsid w:val="00B353FC"/>
    <w:rsid w:val="00B41023"/>
    <w:rsid w:val="00B4157A"/>
    <w:rsid w:val="00B447BC"/>
    <w:rsid w:val="00B57FED"/>
    <w:rsid w:val="00B62E8C"/>
    <w:rsid w:val="00B65FF6"/>
    <w:rsid w:val="00B8012B"/>
    <w:rsid w:val="00B823EE"/>
    <w:rsid w:val="00B90D12"/>
    <w:rsid w:val="00B91BF4"/>
    <w:rsid w:val="00B97F4A"/>
    <w:rsid w:val="00BA2157"/>
    <w:rsid w:val="00BA3DFA"/>
    <w:rsid w:val="00BC25C7"/>
    <w:rsid w:val="00BC5D7C"/>
    <w:rsid w:val="00BC626E"/>
    <w:rsid w:val="00BD0B08"/>
    <w:rsid w:val="00BD71A9"/>
    <w:rsid w:val="00BE18F3"/>
    <w:rsid w:val="00BE503E"/>
    <w:rsid w:val="00BE56DB"/>
    <w:rsid w:val="00BE7EB0"/>
    <w:rsid w:val="00BF486B"/>
    <w:rsid w:val="00BF4A9F"/>
    <w:rsid w:val="00BF595E"/>
    <w:rsid w:val="00C043CE"/>
    <w:rsid w:val="00C12AF5"/>
    <w:rsid w:val="00C23C5B"/>
    <w:rsid w:val="00C25CDA"/>
    <w:rsid w:val="00C26B8D"/>
    <w:rsid w:val="00C34468"/>
    <w:rsid w:val="00C37DDF"/>
    <w:rsid w:val="00C41279"/>
    <w:rsid w:val="00C4440B"/>
    <w:rsid w:val="00C4751B"/>
    <w:rsid w:val="00C54894"/>
    <w:rsid w:val="00C568D6"/>
    <w:rsid w:val="00C61266"/>
    <w:rsid w:val="00C62305"/>
    <w:rsid w:val="00C63F16"/>
    <w:rsid w:val="00C63F3D"/>
    <w:rsid w:val="00C707A3"/>
    <w:rsid w:val="00C74674"/>
    <w:rsid w:val="00C75C8F"/>
    <w:rsid w:val="00C7649C"/>
    <w:rsid w:val="00C80B50"/>
    <w:rsid w:val="00C92C39"/>
    <w:rsid w:val="00C941B2"/>
    <w:rsid w:val="00C96F7A"/>
    <w:rsid w:val="00C97C9C"/>
    <w:rsid w:val="00CA7FA6"/>
    <w:rsid w:val="00CB0675"/>
    <w:rsid w:val="00CB52C8"/>
    <w:rsid w:val="00CC3576"/>
    <w:rsid w:val="00CD4BDA"/>
    <w:rsid w:val="00CE2E03"/>
    <w:rsid w:val="00CF39CB"/>
    <w:rsid w:val="00CF48FC"/>
    <w:rsid w:val="00CF62B4"/>
    <w:rsid w:val="00CF6754"/>
    <w:rsid w:val="00CF705D"/>
    <w:rsid w:val="00D0103E"/>
    <w:rsid w:val="00D03B22"/>
    <w:rsid w:val="00D133AA"/>
    <w:rsid w:val="00D1400F"/>
    <w:rsid w:val="00D14EE2"/>
    <w:rsid w:val="00D254B2"/>
    <w:rsid w:val="00D32289"/>
    <w:rsid w:val="00D33FC3"/>
    <w:rsid w:val="00D42FCF"/>
    <w:rsid w:val="00D44338"/>
    <w:rsid w:val="00D46325"/>
    <w:rsid w:val="00D54A20"/>
    <w:rsid w:val="00D56EAC"/>
    <w:rsid w:val="00D603F8"/>
    <w:rsid w:val="00D652F5"/>
    <w:rsid w:val="00D7344E"/>
    <w:rsid w:val="00D73DC5"/>
    <w:rsid w:val="00D75B68"/>
    <w:rsid w:val="00D77424"/>
    <w:rsid w:val="00D77E76"/>
    <w:rsid w:val="00D8319C"/>
    <w:rsid w:val="00D84D5A"/>
    <w:rsid w:val="00DD0D70"/>
    <w:rsid w:val="00DD186B"/>
    <w:rsid w:val="00DF32D7"/>
    <w:rsid w:val="00DF418B"/>
    <w:rsid w:val="00DF4A32"/>
    <w:rsid w:val="00E131BA"/>
    <w:rsid w:val="00E145A8"/>
    <w:rsid w:val="00E20295"/>
    <w:rsid w:val="00E21156"/>
    <w:rsid w:val="00E21BCB"/>
    <w:rsid w:val="00E21ECE"/>
    <w:rsid w:val="00E314FA"/>
    <w:rsid w:val="00E34787"/>
    <w:rsid w:val="00E3488D"/>
    <w:rsid w:val="00E53384"/>
    <w:rsid w:val="00E54489"/>
    <w:rsid w:val="00E60F16"/>
    <w:rsid w:val="00E67160"/>
    <w:rsid w:val="00E77201"/>
    <w:rsid w:val="00E801BA"/>
    <w:rsid w:val="00E87494"/>
    <w:rsid w:val="00EB0CE3"/>
    <w:rsid w:val="00EB335F"/>
    <w:rsid w:val="00EB6BFA"/>
    <w:rsid w:val="00EC6BC0"/>
    <w:rsid w:val="00ED4600"/>
    <w:rsid w:val="00ED50D5"/>
    <w:rsid w:val="00EE02E3"/>
    <w:rsid w:val="00EE4277"/>
    <w:rsid w:val="00EE7178"/>
    <w:rsid w:val="00EF25B7"/>
    <w:rsid w:val="00F02AE4"/>
    <w:rsid w:val="00F03CF4"/>
    <w:rsid w:val="00F1703E"/>
    <w:rsid w:val="00F2666E"/>
    <w:rsid w:val="00F27FA0"/>
    <w:rsid w:val="00F31499"/>
    <w:rsid w:val="00F359F7"/>
    <w:rsid w:val="00F37753"/>
    <w:rsid w:val="00F428A9"/>
    <w:rsid w:val="00F51D8D"/>
    <w:rsid w:val="00F556DD"/>
    <w:rsid w:val="00F7070E"/>
    <w:rsid w:val="00F709EB"/>
    <w:rsid w:val="00F72B4F"/>
    <w:rsid w:val="00F858E5"/>
    <w:rsid w:val="00F9342F"/>
    <w:rsid w:val="00FA438C"/>
    <w:rsid w:val="00FA780B"/>
    <w:rsid w:val="00FB12BA"/>
    <w:rsid w:val="00FB2D50"/>
    <w:rsid w:val="00FB6E10"/>
    <w:rsid w:val="00FC5138"/>
    <w:rsid w:val="00FD2308"/>
    <w:rsid w:val="00FD304F"/>
    <w:rsid w:val="00FD75F3"/>
    <w:rsid w:val="00FE1064"/>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79F4682C"/>
  <w15:chartTrackingRefBased/>
  <w15:docId w15:val="{AF6A2983-3F19-2741-B88C-6FC448135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9BB"/>
    <w:rPr>
      <w:lang w:val="en-GB"/>
    </w:rPr>
  </w:style>
  <w:style w:type="paragraph" w:styleId="Heading1">
    <w:name w:val="heading 1"/>
    <w:basedOn w:val="Normal"/>
    <w:next w:val="Normal"/>
    <w:link w:val="Heading1Char"/>
    <w:uiPriority w:val="9"/>
    <w:qFormat/>
    <w:rsid w:val="006659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59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59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59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59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59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59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59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59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B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6659B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6659B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6659B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6659B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6659B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6659B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6659B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6659B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6659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59B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6659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59B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6659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659BB"/>
    <w:rPr>
      <w:i/>
      <w:iCs/>
      <w:color w:val="404040" w:themeColor="text1" w:themeTint="BF"/>
      <w:lang w:val="en-GB"/>
    </w:rPr>
  </w:style>
  <w:style w:type="paragraph" w:styleId="ListParagraph">
    <w:name w:val="List Paragraph"/>
    <w:basedOn w:val="Normal"/>
    <w:uiPriority w:val="34"/>
    <w:qFormat/>
    <w:rsid w:val="006659BB"/>
    <w:pPr>
      <w:ind w:left="720"/>
      <w:contextualSpacing/>
    </w:pPr>
  </w:style>
  <w:style w:type="character" w:styleId="IntenseEmphasis">
    <w:name w:val="Intense Emphasis"/>
    <w:basedOn w:val="DefaultParagraphFont"/>
    <w:uiPriority w:val="21"/>
    <w:qFormat/>
    <w:rsid w:val="006659BB"/>
    <w:rPr>
      <w:i/>
      <w:iCs/>
      <w:color w:val="0F4761" w:themeColor="accent1" w:themeShade="BF"/>
    </w:rPr>
  </w:style>
  <w:style w:type="paragraph" w:styleId="IntenseQuote">
    <w:name w:val="Intense Quote"/>
    <w:basedOn w:val="Normal"/>
    <w:next w:val="Normal"/>
    <w:link w:val="IntenseQuoteChar"/>
    <w:uiPriority w:val="30"/>
    <w:qFormat/>
    <w:rsid w:val="00665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59BB"/>
    <w:rPr>
      <w:i/>
      <w:iCs/>
      <w:color w:val="0F4761" w:themeColor="accent1" w:themeShade="BF"/>
      <w:lang w:val="en-GB"/>
    </w:rPr>
  </w:style>
  <w:style w:type="character" w:styleId="IntenseReference">
    <w:name w:val="Intense Reference"/>
    <w:basedOn w:val="DefaultParagraphFont"/>
    <w:uiPriority w:val="32"/>
    <w:qFormat/>
    <w:rsid w:val="006659BB"/>
    <w:rPr>
      <w:b/>
      <w:bCs/>
      <w:smallCaps/>
      <w:color w:val="0F4761" w:themeColor="accent1" w:themeShade="BF"/>
      <w:spacing w:val="5"/>
    </w:rPr>
  </w:style>
  <w:style w:type="character" w:styleId="Hyperlink">
    <w:name w:val="Hyperlink"/>
    <w:basedOn w:val="DefaultParagraphFont"/>
    <w:uiPriority w:val="99"/>
    <w:unhideWhenUsed/>
    <w:rsid w:val="006659B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dpjournal.biomedcentral.com/articles/10.1186/s40249-021-00879-4" TargetMode="Externa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2738</Words>
  <Characters>15608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Kirubi</dc:creator>
  <cp:keywords/>
  <dc:description/>
  <cp:lastModifiedBy>Beatrice Kirubi</cp:lastModifiedBy>
  <cp:revision>4</cp:revision>
  <dcterms:created xsi:type="dcterms:W3CDTF">2025-08-09T13:47:00Z</dcterms:created>
  <dcterms:modified xsi:type="dcterms:W3CDTF">2025-08-26T09:03:00Z</dcterms:modified>
</cp:coreProperties>
</file>