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3EC587" w14:textId="77777777" w:rsidR="009A3583" w:rsidRPr="00F50284" w:rsidRDefault="009A3583" w:rsidP="009A3583">
      <w:pPr>
        <w:pStyle w:val="Heading1"/>
        <w:rPr>
          <w:sz w:val="24"/>
          <w:szCs w:val="24"/>
        </w:rPr>
      </w:pPr>
      <w:r w:rsidRPr="00F50284">
        <w:rPr>
          <w:sz w:val="24"/>
          <w:szCs w:val="24"/>
        </w:rPr>
        <w:t xml:space="preserve">Supplementary Methods and Materials: </w:t>
      </w:r>
    </w:p>
    <w:p w14:paraId="782CCA4B" w14:textId="77777777" w:rsidR="009A3583" w:rsidRPr="00F50284" w:rsidRDefault="009A3583" w:rsidP="009A3583">
      <w:pPr>
        <w:pStyle w:val="Heading1"/>
        <w:rPr>
          <w:sz w:val="24"/>
          <w:szCs w:val="24"/>
        </w:rPr>
      </w:pPr>
      <w:r w:rsidRPr="00F50284">
        <w:rPr>
          <w:i/>
          <w:iCs/>
          <w:sz w:val="24"/>
          <w:szCs w:val="24"/>
        </w:rPr>
        <w:t>Sensitivity-variant network reconstruction</w:t>
      </w:r>
      <w:r w:rsidRPr="00F50284">
        <w:rPr>
          <w:sz w:val="24"/>
          <w:szCs w:val="24"/>
        </w:rPr>
        <w:t xml:space="preserve">. To assess robustness of multimodal network inferences to time handling and repeated-measures dependence, we generated multiple sensitivity variants from the same early-fusion latent space and rebuilt networks for each group (Cases; Controls). For each variant, we rebuilt edge lists for three complementary network inference strategies: (i) loading-cosine similarity, (ii) k-nearest neighbor graph with Louvain community detection (kNN–Louvain), and (iii) shared-signal correlation based on reconstruction of shared latent signals back into feature space. </w:t>
      </w:r>
    </w:p>
    <w:p w14:paraId="6959A1FE" w14:textId="77777777" w:rsidR="009A3583" w:rsidRPr="00F50284" w:rsidRDefault="009A3583" w:rsidP="009A3583">
      <w:pPr>
        <w:pStyle w:val="Heading1"/>
        <w:jc w:val="both"/>
        <w:rPr>
          <w:sz w:val="24"/>
          <w:szCs w:val="24"/>
        </w:rPr>
      </w:pPr>
    </w:p>
    <w:p w14:paraId="2EA88C21" w14:textId="77777777" w:rsidR="009A3583" w:rsidRPr="00F50284" w:rsidRDefault="009A3583" w:rsidP="009A3583">
      <w:pPr>
        <w:pStyle w:val="Heading1"/>
        <w:rPr>
          <w:b/>
          <w:bCs/>
          <w:sz w:val="24"/>
          <w:szCs w:val="24"/>
        </w:rPr>
      </w:pPr>
      <w:r w:rsidRPr="00F50284">
        <w:rPr>
          <w:sz w:val="24"/>
          <w:szCs w:val="24"/>
        </w:rPr>
        <w:t>Variants retained for the supplement. We generated six variants initially, but only three were retained for the manuscript supplement because they produced non-empty networks across groups and methods: (1) baseline; (2) removal of time/timepoint-related serology features prior to network construction; and (3) subject-collapsed shared-signal reconstruction (Supplementary Table S6; Supplementary Figures S6–S7). All predefined sensitivity variants were executed. Some configurations produced extremely sparse graphs after thresholding and multiple-testing correction, and therefore are not visualized but are reported in summary outputs.</w:t>
      </w:r>
    </w:p>
    <w:p w14:paraId="13149553" w14:textId="77777777" w:rsidR="009A3583" w:rsidRPr="00F50284" w:rsidRDefault="009A3583" w:rsidP="009A3583">
      <w:pPr>
        <w:pStyle w:val="Heading1"/>
        <w:jc w:val="both"/>
        <w:rPr>
          <w:sz w:val="24"/>
          <w:szCs w:val="24"/>
        </w:rPr>
      </w:pPr>
    </w:p>
    <w:p w14:paraId="17B141A2" w14:textId="77777777" w:rsidR="009A3583" w:rsidRPr="00F50284" w:rsidRDefault="009A3583" w:rsidP="009A3583">
      <w:pPr>
        <w:pStyle w:val="Heading1"/>
        <w:rPr>
          <w:sz w:val="24"/>
          <w:szCs w:val="24"/>
        </w:rPr>
      </w:pPr>
      <w:r w:rsidRPr="00F50284">
        <w:rPr>
          <w:sz w:val="24"/>
          <w:szCs w:val="24"/>
        </w:rPr>
        <w:t>Shared-signal reconstruction and correlation inference.For shared-signal correlation networks, shared scores (first three axes) were projected back into feature space using the corresponding view loadings, producing a reconstructed shared-signal matrix per modality. Features were standardized prior to correlation testing. Edges were retained using combined effect-size and multiple-testing criteria (|r| threshold and Benjamini–Hochberg q threshold) with the minimum sample requirement enforced per group.</w:t>
      </w:r>
    </w:p>
    <w:p w14:paraId="062FAB56" w14:textId="77777777" w:rsidR="009A3583" w:rsidRDefault="009A3583" w:rsidP="009A3583">
      <w:pPr>
        <w:pStyle w:val="Heading1"/>
        <w:rPr>
          <w:sz w:val="24"/>
          <w:szCs w:val="24"/>
        </w:rPr>
      </w:pPr>
    </w:p>
    <w:p w14:paraId="6DCCC0A8" w14:textId="77777777" w:rsidR="009A3583" w:rsidRPr="00F50284" w:rsidRDefault="009A3583" w:rsidP="009A3583">
      <w:pPr>
        <w:pStyle w:val="Heading1"/>
        <w:rPr>
          <w:sz w:val="24"/>
          <w:szCs w:val="24"/>
        </w:rPr>
      </w:pPr>
      <w:r w:rsidRPr="00F50284">
        <w:rPr>
          <w:sz w:val="24"/>
          <w:szCs w:val="24"/>
        </w:rPr>
        <w:t>Subject-collapsed shared-signal sensitivity.To reduce dependence from repeated measures, we collapsed shared scores by subject prior to shared-signal reconstruction by averaging shared-score vectors within subject (and using the median time when needed). Networks were then reconstructed identically from the collapsed representation.</w:t>
      </w:r>
    </w:p>
    <w:p w14:paraId="6307D2A2" w14:textId="77777777" w:rsidR="009A3583" w:rsidRDefault="009A3583" w:rsidP="009A3583">
      <w:pPr>
        <w:pStyle w:val="Heading1"/>
        <w:rPr>
          <w:sz w:val="24"/>
          <w:szCs w:val="24"/>
        </w:rPr>
      </w:pPr>
    </w:p>
    <w:p w14:paraId="3E287661" w14:textId="77777777" w:rsidR="009A3583" w:rsidRPr="00F50284" w:rsidRDefault="009A3583" w:rsidP="009A3583">
      <w:pPr>
        <w:pStyle w:val="Heading1"/>
        <w:rPr>
          <w:b/>
          <w:bCs/>
          <w:sz w:val="24"/>
          <w:szCs w:val="24"/>
        </w:rPr>
      </w:pPr>
      <w:r w:rsidRPr="00F50284">
        <w:rPr>
          <w:sz w:val="24"/>
          <w:szCs w:val="24"/>
        </w:rPr>
        <w:t>Removal of time/timepoint serology features sensitivity. To ensure time variables embedded within a low-dimensional view (serology) did not spuriously contribute to cross-modal wiring, we removed rows with time/timepoint aliases from the serology loadings prior to network construction and recomputed all networks.</w:t>
      </w:r>
    </w:p>
    <w:p w14:paraId="315245CD" w14:textId="77777777" w:rsidR="009A3583" w:rsidRDefault="009A3583" w:rsidP="009A3583">
      <w:pPr>
        <w:pStyle w:val="Heading1"/>
        <w:rPr>
          <w:sz w:val="24"/>
          <w:szCs w:val="24"/>
        </w:rPr>
      </w:pPr>
    </w:p>
    <w:p w14:paraId="3C4C85CA" w14:textId="77777777" w:rsidR="009A3583" w:rsidRPr="00F50284" w:rsidRDefault="009A3583" w:rsidP="009A3583">
      <w:pPr>
        <w:pStyle w:val="Heading1"/>
        <w:rPr>
          <w:sz w:val="24"/>
          <w:szCs w:val="24"/>
        </w:rPr>
      </w:pPr>
      <w:r w:rsidRPr="00F50284">
        <w:rPr>
          <w:sz w:val="24"/>
          <w:szCs w:val="24"/>
        </w:rPr>
        <w:lastRenderedPageBreak/>
        <w:t>LOSO stability: As an additional robustness check, we performed leave-one-subject-out (LOSO) stability analyses comparing each fold’s networks to the full network using edge-set Jaccard similarity and bridge-set Jaccard similarity. Because loading-cosine and kNN–Louvain networks depend only on loadings (and not on the shared scores), LOSO is expected to have minimal effect for these methods; shared-signal correlation networks are score-dependent and therefore provide the most sensitive LOSO diagnostic.</w:t>
      </w:r>
    </w:p>
    <w:p w14:paraId="5EB578B0" w14:textId="77777777" w:rsidR="009A3583" w:rsidRDefault="009A3583" w:rsidP="009A3583">
      <w:pPr>
        <w:pStyle w:val="Heading1"/>
        <w:jc w:val="both"/>
      </w:pPr>
    </w:p>
    <w:p w14:paraId="72E3DDC3" w14:textId="77777777" w:rsidR="009A3583" w:rsidRDefault="009A3583" w:rsidP="009A3583">
      <w:pPr>
        <w:pStyle w:val="Heading1"/>
        <w:jc w:val="both"/>
      </w:pPr>
    </w:p>
    <w:p w14:paraId="2ABF7C46" w14:textId="77777777" w:rsidR="009A3583" w:rsidRDefault="009A3583" w:rsidP="009A3583">
      <w:pPr>
        <w:pStyle w:val="Heading1"/>
        <w:jc w:val="both"/>
      </w:pPr>
    </w:p>
    <w:p w14:paraId="0F0F5BC7" w14:textId="77777777" w:rsidR="009A3583" w:rsidRDefault="009A3583" w:rsidP="009A3583">
      <w:pPr>
        <w:pStyle w:val="Heading1"/>
        <w:jc w:val="both"/>
      </w:pPr>
    </w:p>
    <w:p w14:paraId="5B40ACAB" w14:textId="77777777" w:rsidR="009A3583" w:rsidRDefault="009A3583" w:rsidP="009A3583">
      <w:pPr>
        <w:pStyle w:val="Heading1"/>
        <w:jc w:val="both"/>
      </w:pPr>
    </w:p>
    <w:p w14:paraId="5B2D11FB" w14:textId="77777777" w:rsidR="009A3583" w:rsidRPr="0070345D" w:rsidRDefault="009A3583" w:rsidP="009A3583">
      <w:pPr>
        <w:pStyle w:val="Heading1"/>
        <w:jc w:val="both"/>
      </w:pPr>
    </w:p>
    <w:p w14:paraId="6B17BFAB" w14:textId="77777777" w:rsidR="009A3583" w:rsidRDefault="009A3583" w:rsidP="009A3583">
      <w:pPr>
        <w:pStyle w:val="Heading1"/>
        <w:jc w:val="both"/>
      </w:pPr>
      <w:r>
        <w:br/>
      </w:r>
    </w:p>
    <w:p w14:paraId="0920FC22" w14:textId="77777777" w:rsidR="009A3583" w:rsidRDefault="009A3583" w:rsidP="009A3583">
      <w:pPr>
        <w:pStyle w:val="Heading1"/>
        <w:jc w:val="both"/>
      </w:pPr>
    </w:p>
    <w:p w14:paraId="51756550" w14:textId="77777777" w:rsidR="009A3583" w:rsidRDefault="009A3583" w:rsidP="009A3583">
      <w:pPr>
        <w:pStyle w:val="Heading1"/>
        <w:jc w:val="both"/>
      </w:pPr>
    </w:p>
    <w:p w14:paraId="1FBC9A69" w14:textId="77777777" w:rsidR="009A3583" w:rsidRDefault="009A3583" w:rsidP="009A3583">
      <w:pPr>
        <w:pStyle w:val="BodyText"/>
        <w:jc w:val="both"/>
        <w:rPr>
          <w:spacing w:val="-2"/>
        </w:rPr>
      </w:pPr>
      <w:r>
        <w:rPr>
          <w:spacing w:val="-2"/>
        </w:rPr>
        <w:t>Supplementary</w:t>
      </w:r>
      <w:r>
        <w:rPr>
          <w:spacing w:val="-5"/>
        </w:rPr>
        <w:t xml:space="preserve"> </w:t>
      </w:r>
      <w:r>
        <w:rPr>
          <w:spacing w:val="-2"/>
        </w:rPr>
        <w:t>Table</w:t>
      </w:r>
      <w:r>
        <w:rPr>
          <w:spacing w:val="-5"/>
        </w:rPr>
        <w:t xml:space="preserve"> </w:t>
      </w:r>
      <w:r>
        <w:rPr>
          <w:spacing w:val="-2"/>
        </w:rPr>
        <w:t>1:</w:t>
      </w:r>
      <w:r>
        <w:rPr>
          <w:spacing w:val="14"/>
        </w:rPr>
        <w:t xml:space="preserve"> </w:t>
      </w:r>
      <w:r>
        <w:rPr>
          <w:spacing w:val="-2"/>
        </w:rPr>
        <w:t>Network</w:t>
      </w:r>
      <w:r>
        <w:rPr>
          <w:spacing w:val="-5"/>
        </w:rPr>
        <w:t xml:space="preserve"> </w:t>
      </w:r>
      <w:r>
        <w:rPr>
          <w:spacing w:val="-2"/>
        </w:rPr>
        <w:t>Topology:</w:t>
      </w:r>
      <w:r w:rsidRPr="00840797">
        <w:t xml:space="preserve"> </w:t>
      </w:r>
      <w:r>
        <w:rPr>
          <w:spacing w:val="-2"/>
        </w:rPr>
        <w:t>B</w:t>
      </w:r>
      <w:r w:rsidRPr="00840797">
        <w:rPr>
          <w:spacing w:val="-2"/>
        </w:rPr>
        <w:t>aseline tri-modal matched dataset</w:t>
      </w:r>
    </w:p>
    <w:p w14:paraId="217C7AA6" w14:textId="77777777" w:rsidR="009A3583" w:rsidRDefault="009A3583" w:rsidP="009A3583">
      <w:pPr>
        <w:pStyle w:val="BodyText"/>
        <w:spacing w:before="12" w:after="1"/>
        <w:jc w:val="both"/>
        <w:rPr>
          <w:sz w:val="2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1"/>
        <w:gridCol w:w="1409"/>
        <w:gridCol w:w="900"/>
        <w:gridCol w:w="1080"/>
        <w:gridCol w:w="720"/>
        <w:gridCol w:w="990"/>
        <w:gridCol w:w="756"/>
        <w:gridCol w:w="1134"/>
        <w:gridCol w:w="900"/>
        <w:gridCol w:w="1170"/>
      </w:tblGrid>
      <w:tr w:rsidR="009A3583" w14:paraId="2D9908D0" w14:textId="77777777" w:rsidTr="006F490F">
        <w:trPr>
          <w:trHeight w:val="992"/>
        </w:trPr>
        <w:tc>
          <w:tcPr>
            <w:tcW w:w="811" w:type="dxa"/>
            <w:tcBorders>
              <w:top w:val="single" w:sz="8" w:space="0" w:color="000000"/>
              <w:bottom w:val="single" w:sz="6" w:space="0" w:color="000000"/>
            </w:tcBorders>
          </w:tcPr>
          <w:p w14:paraId="3F79F73D" w14:textId="77777777" w:rsidR="009A3583" w:rsidRDefault="009A3583" w:rsidP="006F490F">
            <w:pPr>
              <w:pStyle w:val="TableParagraph"/>
              <w:spacing w:before="57" w:line="240" w:lineRule="auto"/>
              <w:ind w:left="119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Group</w:t>
            </w:r>
          </w:p>
        </w:tc>
        <w:tc>
          <w:tcPr>
            <w:tcW w:w="1409" w:type="dxa"/>
            <w:tcBorders>
              <w:top w:val="single" w:sz="8" w:space="0" w:color="000000"/>
              <w:bottom w:val="single" w:sz="6" w:space="0" w:color="000000"/>
            </w:tcBorders>
          </w:tcPr>
          <w:p w14:paraId="450EBD32" w14:textId="77777777" w:rsidR="009A3583" w:rsidRDefault="009A3583" w:rsidP="006F490F">
            <w:pPr>
              <w:pStyle w:val="TableParagraph"/>
              <w:spacing w:before="57" w:line="240" w:lineRule="auto"/>
              <w:ind w:left="114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Network</w:t>
            </w:r>
          </w:p>
        </w:tc>
        <w:tc>
          <w:tcPr>
            <w:tcW w:w="900" w:type="dxa"/>
            <w:tcBorders>
              <w:top w:val="single" w:sz="8" w:space="0" w:color="000000"/>
              <w:bottom w:val="single" w:sz="6" w:space="0" w:color="000000"/>
            </w:tcBorders>
          </w:tcPr>
          <w:p w14:paraId="617CFF6E" w14:textId="77777777" w:rsidR="009A3583" w:rsidRDefault="009A3583" w:rsidP="006F490F">
            <w:pPr>
              <w:pStyle w:val="TableParagraph"/>
              <w:spacing w:before="57" w:line="240" w:lineRule="auto"/>
              <w:ind w:left="347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Nodes</w:t>
            </w:r>
          </w:p>
        </w:tc>
        <w:tc>
          <w:tcPr>
            <w:tcW w:w="1080" w:type="dxa"/>
            <w:tcBorders>
              <w:top w:val="single" w:sz="8" w:space="0" w:color="000000"/>
              <w:bottom w:val="single" w:sz="6" w:space="0" w:color="000000"/>
            </w:tcBorders>
          </w:tcPr>
          <w:p w14:paraId="135FF7C1" w14:textId="77777777" w:rsidR="009A3583" w:rsidRDefault="009A3583" w:rsidP="006F490F">
            <w:pPr>
              <w:pStyle w:val="TableParagraph"/>
              <w:spacing w:before="57" w:line="240" w:lineRule="auto"/>
              <w:ind w:left="60" w:right="146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Edges</w:t>
            </w:r>
          </w:p>
        </w:tc>
        <w:tc>
          <w:tcPr>
            <w:tcW w:w="720" w:type="dxa"/>
            <w:tcBorders>
              <w:top w:val="single" w:sz="8" w:space="0" w:color="000000"/>
              <w:bottom w:val="single" w:sz="6" w:space="0" w:color="000000"/>
            </w:tcBorders>
          </w:tcPr>
          <w:p w14:paraId="63B063F4" w14:textId="77777777" w:rsidR="009A3583" w:rsidRDefault="009A3583" w:rsidP="006F490F">
            <w:pPr>
              <w:pStyle w:val="TableParagraph"/>
              <w:spacing w:before="57" w:line="240" w:lineRule="auto"/>
              <w:ind w:left="79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Density</w:t>
            </w:r>
          </w:p>
        </w:tc>
        <w:tc>
          <w:tcPr>
            <w:tcW w:w="990" w:type="dxa"/>
            <w:tcBorders>
              <w:top w:val="single" w:sz="8" w:space="0" w:color="000000"/>
              <w:bottom w:val="single" w:sz="6" w:space="0" w:color="000000"/>
            </w:tcBorders>
          </w:tcPr>
          <w:p w14:paraId="00F7745E" w14:textId="77777777" w:rsidR="009A3583" w:rsidRDefault="009A3583" w:rsidP="006F490F">
            <w:pPr>
              <w:pStyle w:val="TableParagraph"/>
              <w:spacing w:before="57" w:line="254" w:lineRule="auto"/>
              <w:ind w:left="104" w:right="315" w:hanging="1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Avg. Degree</w:t>
            </w:r>
          </w:p>
        </w:tc>
        <w:tc>
          <w:tcPr>
            <w:tcW w:w="1890" w:type="dxa"/>
            <w:gridSpan w:val="2"/>
            <w:tcBorders>
              <w:top w:val="single" w:sz="8" w:space="0" w:color="000000"/>
              <w:bottom w:val="single" w:sz="6" w:space="0" w:color="000000"/>
            </w:tcBorders>
          </w:tcPr>
          <w:p w14:paraId="3037DCC4" w14:textId="77777777" w:rsidR="009A3583" w:rsidRDefault="009A3583" w:rsidP="006F490F">
            <w:pPr>
              <w:pStyle w:val="TableParagraph"/>
              <w:spacing w:before="57" w:line="240" w:lineRule="auto"/>
              <w:jc w:val="both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 xml:space="preserve"> Global            Mean</w:t>
            </w:r>
          </w:p>
          <w:p w14:paraId="6A1D21E5" w14:textId="77777777" w:rsidR="009A3583" w:rsidRDefault="009A3583" w:rsidP="006F490F">
            <w:pPr>
              <w:pStyle w:val="TableParagraph"/>
              <w:spacing w:before="57" w:line="240" w:lineRule="auto"/>
              <w:jc w:val="both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 xml:space="preserve">Clustering        Path            </w:t>
            </w:r>
          </w:p>
          <w:p w14:paraId="7AAA3999" w14:textId="77777777" w:rsidR="009A3583" w:rsidRDefault="009A3583" w:rsidP="006F490F">
            <w:pPr>
              <w:pStyle w:val="TableParagraph"/>
              <w:spacing w:before="57" w:line="240" w:lineRule="auto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Coeffecient.     length</w:t>
            </w:r>
          </w:p>
          <w:p w14:paraId="6F709E36" w14:textId="77777777" w:rsidR="009A3583" w:rsidRDefault="009A3583" w:rsidP="006F490F">
            <w:pPr>
              <w:pStyle w:val="TableParagraph"/>
              <w:spacing w:before="12" w:line="254" w:lineRule="auto"/>
              <w:ind w:left="935" w:right="171"/>
              <w:jc w:val="both"/>
              <w:rPr>
                <w:sz w:val="18"/>
              </w:rPr>
            </w:pPr>
          </w:p>
        </w:tc>
        <w:tc>
          <w:tcPr>
            <w:tcW w:w="900" w:type="dxa"/>
            <w:tcBorders>
              <w:top w:val="single" w:sz="8" w:space="0" w:color="000000"/>
              <w:bottom w:val="single" w:sz="6" w:space="0" w:color="000000"/>
            </w:tcBorders>
          </w:tcPr>
          <w:p w14:paraId="4E7272BB" w14:textId="77777777" w:rsidR="009A3583" w:rsidRDefault="009A3583" w:rsidP="006F490F">
            <w:pPr>
              <w:pStyle w:val="TableParagraph"/>
              <w:spacing w:before="57" w:line="254" w:lineRule="auto"/>
              <w:ind w:left="184" w:right="164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Cross Modal Edges</w:t>
            </w:r>
          </w:p>
        </w:tc>
        <w:tc>
          <w:tcPr>
            <w:tcW w:w="1170" w:type="dxa"/>
            <w:tcBorders>
              <w:top w:val="single" w:sz="8" w:space="0" w:color="000000"/>
              <w:bottom w:val="single" w:sz="6" w:space="0" w:color="000000"/>
            </w:tcBorders>
          </w:tcPr>
          <w:p w14:paraId="17A8462E" w14:textId="77777777" w:rsidR="009A3583" w:rsidRDefault="009A3583" w:rsidP="006F490F">
            <w:pPr>
              <w:pStyle w:val="TableParagraph"/>
              <w:spacing w:before="57" w:line="254" w:lineRule="auto"/>
              <w:ind w:left="130" w:right="31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Fraction Cross Modal Edges</w:t>
            </w:r>
          </w:p>
        </w:tc>
      </w:tr>
      <w:tr w:rsidR="009A3583" w14:paraId="01562666" w14:textId="77777777" w:rsidTr="006F490F">
        <w:trPr>
          <w:trHeight w:val="272"/>
        </w:trPr>
        <w:tc>
          <w:tcPr>
            <w:tcW w:w="811" w:type="dxa"/>
          </w:tcPr>
          <w:p w14:paraId="62F3CC95" w14:textId="77777777" w:rsidR="009A3583" w:rsidRDefault="009A3583" w:rsidP="006F490F">
            <w:pPr>
              <w:pStyle w:val="TableParagraph"/>
              <w:spacing w:before="50"/>
              <w:ind w:left="119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Case</w:t>
            </w:r>
          </w:p>
        </w:tc>
        <w:tc>
          <w:tcPr>
            <w:tcW w:w="1409" w:type="dxa"/>
          </w:tcPr>
          <w:p w14:paraId="3DFC52BC" w14:textId="77777777" w:rsidR="009A3583" w:rsidRDefault="009A3583" w:rsidP="006F490F">
            <w:pPr>
              <w:pStyle w:val="TableParagraph"/>
              <w:spacing w:before="50"/>
              <w:ind w:left="114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Loading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Cosine</w:t>
            </w:r>
          </w:p>
        </w:tc>
        <w:tc>
          <w:tcPr>
            <w:tcW w:w="900" w:type="dxa"/>
          </w:tcPr>
          <w:p w14:paraId="13FED1A3" w14:textId="77777777" w:rsidR="009A3583" w:rsidRDefault="009A3583" w:rsidP="006F490F">
            <w:pPr>
              <w:pStyle w:val="TableParagraph"/>
              <w:spacing w:before="50"/>
              <w:ind w:left="347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976.00</w:t>
            </w:r>
          </w:p>
        </w:tc>
        <w:tc>
          <w:tcPr>
            <w:tcW w:w="1080" w:type="dxa"/>
          </w:tcPr>
          <w:p w14:paraId="31BD1DCD" w14:textId="77777777" w:rsidR="009A3583" w:rsidRDefault="009A3583" w:rsidP="006F490F">
            <w:pPr>
              <w:pStyle w:val="TableParagraph"/>
              <w:spacing w:before="50"/>
              <w:ind w:left="50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169,819</w:t>
            </w:r>
          </w:p>
        </w:tc>
        <w:tc>
          <w:tcPr>
            <w:tcW w:w="720" w:type="dxa"/>
          </w:tcPr>
          <w:p w14:paraId="3F2D152B" w14:textId="77777777" w:rsidR="009A3583" w:rsidRDefault="009A3583" w:rsidP="006F490F">
            <w:pPr>
              <w:pStyle w:val="TableParagraph"/>
              <w:spacing w:before="50"/>
              <w:ind w:left="79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0.36</w:t>
            </w:r>
          </w:p>
        </w:tc>
        <w:tc>
          <w:tcPr>
            <w:tcW w:w="990" w:type="dxa"/>
          </w:tcPr>
          <w:p w14:paraId="3F91E857" w14:textId="77777777" w:rsidR="009A3583" w:rsidRDefault="009A3583" w:rsidP="006F490F">
            <w:pPr>
              <w:pStyle w:val="TableParagraph"/>
              <w:spacing w:before="50"/>
              <w:ind w:right="22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347.99</w:t>
            </w:r>
          </w:p>
        </w:tc>
        <w:tc>
          <w:tcPr>
            <w:tcW w:w="756" w:type="dxa"/>
          </w:tcPr>
          <w:p w14:paraId="5B8B23A7" w14:textId="77777777" w:rsidR="009A3583" w:rsidRDefault="009A3583" w:rsidP="006F490F">
            <w:pPr>
              <w:pStyle w:val="TableParagraph"/>
              <w:spacing w:before="50"/>
              <w:ind w:left="128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0.71         </w:t>
            </w:r>
          </w:p>
        </w:tc>
        <w:tc>
          <w:tcPr>
            <w:tcW w:w="1134" w:type="dxa"/>
          </w:tcPr>
          <w:p w14:paraId="03E3938A" w14:textId="77777777" w:rsidR="009A3583" w:rsidRDefault="009A3583" w:rsidP="006F490F">
            <w:pPr>
              <w:pStyle w:val="TableParagraph"/>
              <w:spacing w:before="50"/>
              <w:ind w:right="42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0.59</w:t>
            </w:r>
          </w:p>
        </w:tc>
        <w:tc>
          <w:tcPr>
            <w:tcW w:w="900" w:type="dxa"/>
          </w:tcPr>
          <w:p w14:paraId="4C9FCEC1" w14:textId="77777777" w:rsidR="009A3583" w:rsidRDefault="009A3583" w:rsidP="006F490F">
            <w:pPr>
              <w:pStyle w:val="TableParagraph"/>
              <w:spacing w:before="50"/>
              <w:ind w:left="183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49,421</w:t>
            </w:r>
          </w:p>
        </w:tc>
        <w:tc>
          <w:tcPr>
            <w:tcW w:w="1170" w:type="dxa"/>
          </w:tcPr>
          <w:p w14:paraId="29CB8FBE" w14:textId="77777777" w:rsidR="009A3583" w:rsidRDefault="009A3583" w:rsidP="006F490F">
            <w:pPr>
              <w:pStyle w:val="TableParagraph"/>
              <w:spacing w:before="50"/>
              <w:ind w:left="129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0.29</w:t>
            </w:r>
          </w:p>
        </w:tc>
      </w:tr>
      <w:tr w:rsidR="009A3583" w14:paraId="51D7B403" w14:textId="77777777" w:rsidTr="006F490F">
        <w:trPr>
          <w:trHeight w:val="219"/>
        </w:trPr>
        <w:tc>
          <w:tcPr>
            <w:tcW w:w="811" w:type="dxa"/>
          </w:tcPr>
          <w:p w14:paraId="610BB746" w14:textId="77777777" w:rsidR="009A3583" w:rsidRDefault="009A3583" w:rsidP="006F490F">
            <w:pPr>
              <w:pStyle w:val="TableParagraph"/>
              <w:ind w:left="119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Control</w:t>
            </w:r>
          </w:p>
        </w:tc>
        <w:tc>
          <w:tcPr>
            <w:tcW w:w="1409" w:type="dxa"/>
          </w:tcPr>
          <w:p w14:paraId="1982D652" w14:textId="77777777" w:rsidR="009A3583" w:rsidRDefault="009A3583" w:rsidP="006F490F">
            <w:pPr>
              <w:pStyle w:val="TableParagraph"/>
              <w:ind w:left="114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Loading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Cosine</w:t>
            </w:r>
          </w:p>
        </w:tc>
        <w:tc>
          <w:tcPr>
            <w:tcW w:w="900" w:type="dxa"/>
          </w:tcPr>
          <w:p w14:paraId="4B64B738" w14:textId="77777777" w:rsidR="009A3583" w:rsidRDefault="009A3583" w:rsidP="006F490F">
            <w:pPr>
              <w:pStyle w:val="TableParagraph"/>
              <w:ind w:left="347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973.00</w:t>
            </w:r>
          </w:p>
        </w:tc>
        <w:tc>
          <w:tcPr>
            <w:tcW w:w="1080" w:type="dxa"/>
          </w:tcPr>
          <w:p w14:paraId="71D5B85B" w14:textId="77777777" w:rsidR="009A3583" w:rsidRDefault="009A3583" w:rsidP="006F490F">
            <w:pPr>
              <w:pStyle w:val="TableParagraph"/>
              <w:ind w:left="50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283,270</w:t>
            </w:r>
          </w:p>
        </w:tc>
        <w:tc>
          <w:tcPr>
            <w:tcW w:w="720" w:type="dxa"/>
          </w:tcPr>
          <w:p w14:paraId="2F0E732C" w14:textId="77777777" w:rsidR="009A3583" w:rsidRDefault="009A3583" w:rsidP="006F490F">
            <w:pPr>
              <w:pStyle w:val="TableParagraph"/>
              <w:ind w:left="79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0.60</w:t>
            </w:r>
          </w:p>
        </w:tc>
        <w:tc>
          <w:tcPr>
            <w:tcW w:w="990" w:type="dxa"/>
          </w:tcPr>
          <w:p w14:paraId="5865190D" w14:textId="77777777" w:rsidR="009A3583" w:rsidRDefault="009A3583" w:rsidP="006F490F">
            <w:pPr>
              <w:pStyle w:val="TableParagraph"/>
              <w:ind w:right="22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582.26</w:t>
            </w:r>
          </w:p>
        </w:tc>
        <w:tc>
          <w:tcPr>
            <w:tcW w:w="756" w:type="dxa"/>
          </w:tcPr>
          <w:p w14:paraId="397EFF29" w14:textId="77777777" w:rsidR="009A3583" w:rsidRDefault="009A3583" w:rsidP="006F490F">
            <w:pPr>
              <w:pStyle w:val="TableParagraph"/>
              <w:ind w:left="128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0.79</w:t>
            </w:r>
          </w:p>
        </w:tc>
        <w:tc>
          <w:tcPr>
            <w:tcW w:w="1134" w:type="dxa"/>
          </w:tcPr>
          <w:p w14:paraId="580F8FE6" w14:textId="77777777" w:rsidR="009A3583" w:rsidRDefault="009A3583" w:rsidP="006F490F">
            <w:pPr>
              <w:pStyle w:val="TableParagraph"/>
              <w:ind w:right="42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0.57</w:t>
            </w:r>
          </w:p>
        </w:tc>
        <w:tc>
          <w:tcPr>
            <w:tcW w:w="900" w:type="dxa"/>
          </w:tcPr>
          <w:p w14:paraId="681059BF" w14:textId="77777777" w:rsidR="009A3583" w:rsidRDefault="009A3583" w:rsidP="006F490F">
            <w:pPr>
              <w:pStyle w:val="TableParagraph"/>
              <w:ind w:left="183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70,341</w:t>
            </w:r>
          </w:p>
        </w:tc>
        <w:tc>
          <w:tcPr>
            <w:tcW w:w="1170" w:type="dxa"/>
          </w:tcPr>
          <w:p w14:paraId="564FE381" w14:textId="77777777" w:rsidR="009A3583" w:rsidRDefault="009A3583" w:rsidP="006F490F">
            <w:pPr>
              <w:pStyle w:val="TableParagraph"/>
              <w:ind w:left="129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0.25</w:t>
            </w:r>
          </w:p>
        </w:tc>
      </w:tr>
      <w:tr w:rsidR="009A3583" w14:paraId="13112DD7" w14:textId="77777777" w:rsidTr="006F490F">
        <w:trPr>
          <w:trHeight w:val="219"/>
        </w:trPr>
        <w:tc>
          <w:tcPr>
            <w:tcW w:w="811" w:type="dxa"/>
          </w:tcPr>
          <w:p w14:paraId="5B21C35C" w14:textId="77777777" w:rsidR="009A3583" w:rsidRDefault="009A3583" w:rsidP="006F490F">
            <w:pPr>
              <w:pStyle w:val="TableParagraph"/>
              <w:ind w:left="119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Case</w:t>
            </w:r>
          </w:p>
        </w:tc>
        <w:tc>
          <w:tcPr>
            <w:tcW w:w="1409" w:type="dxa"/>
          </w:tcPr>
          <w:p w14:paraId="39508C52" w14:textId="77777777" w:rsidR="009A3583" w:rsidRDefault="009A3583" w:rsidP="006F490F">
            <w:pPr>
              <w:pStyle w:val="TableParagraph"/>
              <w:ind w:left="114"/>
              <w:jc w:val="both"/>
              <w:rPr>
                <w:sz w:val="18"/>
              </w:rPr>
            </w:pPr>
            <w:r>
              <w:rPr>
                <w:sz w:val="18"/>
              </w:rPr>
              <w:t>Shared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Signal</w:t>
            </w:r>
          </w:p>
        </w:tc>
        <w:tc>
          <w:tcPr>
            <w:tcW w:w="900" w:type="dxa"/>
          </w:tcPr>
          <w:p w14:paraId="6223EED8" w14:textId="77777777" w:rsidR="009A3583" w:rsidRDefault="009A3583" w:rsidP="006F490F">
            <w:pPr>
              <w:pStyle w:val="TableParagraph"/>
              <w:ind w:left="347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976.00</w:t>
            </w:r>
          </w:p>
        </w:tc>
        <w:tc>
          <w:tcPr>
            <w:tcW w:w="1080" w:type="dxa"/>
          </w:tcPr>
          <w:p w14:paraId="178EB222" w14:textId="77777777" w:rsidR="009A3583" w:rsidRDefault="009A3583" w:rsidP="006F490F">
            <w:pPr>
              <w:pStyle w:val="TableParagraph"/>
              <w:ind w:right="146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7,882</w:t>
            </w:r>
          </w:p>
        </w:tc>
        <w:tc>
          <w:tcPr>
            <w:tcW w:w="720" w:type="dxa"/>
          </w:tcPr>
          <w:p w14:paraId="585477C6" w14:textId="77777777" w:rsidR="009A3583" w:rsidRDefault="009A3583" w:rsidP="006F490F">
            <w:pPr>
              <w:pStyle w:val="TableParagraph"/>
              <w:ind w:left="79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990" w:type="dxa"/>
          </w:tcPr>
          <w:p w14:paraId="3B83D453" w14:textId="77777777" w:rsidR="009A3583" w:rsidRDefault="009A3583" w:rsidP="006F490F">
            <w:pPr>
              <w:pStyle w:val="TableParagraph"/>
              <w:ind w:right="122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16.15</w:t>
            </w:r>
          </w:p>
        </w:tc>
        <w:tc>
          <w:tcPr>
            <w:tcW w:w="756" w:type="dxa"/>
          </w:tcPr>
          <w:p w14:paraId="4B75557C" w14:textId="77777777" w:rsidR="009A3583" w:rsidRDefault="009A3583" w:rsidP="006F490F">
            <w:pPr>
              <w:pStyle w:val="TableParagraph"/>
              <w:ind w:left="129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0.20</w:t>
            </w:r>
          </w:p>
        </w:tc>
        <w:tc>
          <w:tcPr>
            <w:tcW w:w="1134" w:type="dxa"/>
          </w:tcPr>
          <w:p w14:paraId="6F5D4E03" w14:textId="77777777" w:rsidR="009A3583" w:rsidRDefault="009A3583" w:rsidP="006F490F">
            <w:pPr>
              <w:pStyle w:val="TableParagraph"/>
              <w:ind w:right="42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2.91</w:t>
            </w:r>
          </w:p>
        </w:tc>
        <w:tc>
          <w:tcPr>
            <w:tcW w:w="900" w:type="dxa"/>
          </w:tcPr>
          <w:p w14:paraId="6986AC5E" w14:textId="77777777" w:rsidR="009A3583" w:rsidRDefault="009A3583" w:rsidP="006F490F">
            <w:pPr>
              <w:pStyle w:val="TableParagraph"/>
              <w:ind w:left="183"/>
              <w:jc w:val="both"/>
              <w:rPr>
                <w:sz w:val="18"/>
              </w:rPr>
            </w:pPr>
            <w:r>
              <w:rPr>
                <w:spacing w:val="-5"/>
                <w:sz w:val="18"/>
              </w:rPr>
              <w:t>986</w:t>
            </w:r>
          </w:p>
        </w:tc>
        <w:tc>
          <w:tcPr>
            <w:tcW w:w="1170" w:type="dxa"/>
          </w:tcPr>
          <w:p w14:paraId="6E8F85E9" w14:textId="77777777" w:rsidR="009A3583" w:rsidRDefault="009A3583" w:rsidP="006F490F">
            <w:pPr>
              <w:pStyle w:val="TableParagraph"/>
              <w:ind w:left="129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0.13</w:t>
            </w:r>
          </w:p>
        </w:tc>
      </w:tr>
      <w:tr w:rsidR="009A3583" w14:paraId="31B4DE63" w14:textId="77777777" w:rsidTr="006F490F">
        <w:trPr>
          <w:trHeight w:val="219"/>
        </w:trPr>
        <w:tc>
          <w:tcPr>
            <w:tcW w:w="811" w:type="dxa"/>
          </w:tcPr>
          <w:p w14:paraId="15183DB1" w14:textId="77777777" w:rsidR="009A3583" w:rsidRDefault="009A3583" w:rsidP="006F490F">
            <w:pPr>
              <w:pStyle w:val="TableParagraph"/>
              <w:ind w:left="119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Control</w:t>
            </w:r>
          </w:p>
        </w:tc>
        <w:tc>
          <w:tcPr>
            <w:tcW w:w="1409" w:type="dxa"/>
          </w:tcPr>
          <w:p w14:paraId="5E0365B2" w14:textId="77777777" w:rsidR="009A3583" w:rsidRDefault="009A3583" w:rsidP="006F490F">
            <w:pPr>
              <w:pStyle w:val="TableParagraph"/>
              <w:ind w:left="114"/>
              <w:jc w:val="both"/>
              <w:rPr>
                <w:sz w:val="18"/>
              </w:rPr>
            </w:pPr>
            <w:r>
              <w:rPr>
                <w:sz w:val="18"/>
              </w:rPr>
              <w:t>Shared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Signal</w:t>
            </w:r>
          </w:p>
        </w:tc>
        <w:tc>
          <w:tcPr>
            <w:tcW w:w="900" w:type="dxa"/>
          </w:tcPr>
          <w:p w14:paraId="436158EC" w14:textId="77777777" w:rsidR="009A3583" w:rsidRDefault="009A3583" w:rsidP="006F490F">
            <w:pPr>
              <w:pStyle w:val="TableParagraph"/>
              <w:ind w:left="347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973.00</w:t>
            </w:r>
          </w:p>
        </w:tc>
        <w:tc>
          <w:tcPr>
            <w:tcW w:w="1080" w:type="dxa"/>
          </w:tcPr>
          <w:p w14:paraId="089D27DC" w14:textId="77777777" w:rsidR="009A3583" w:rsidRDefault="009A3583" w:rsidP="006F490F">
            <w:pPr>
              <w:pStyle w:val="TableParagraph"/>
              <w:ind w:right="146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7,986</w:t>
            </w:r>
          </w:p>
        </w:tc>
        <w:tc>
          <w:tcPr>
            <w:tcW w:w="720" w:type="dxa"/>
          </w:tcPr>
          <w:p w14:paraId="100ED966" w14:textId="77777777" w:rsidR="009A3583" w:rsidRDefault="009A3583" w:rsidP="006F490F">
            <w:pPr>
              <w:pStyle w:val="TableParagraph"/>
              <w:ind w:left="79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990" w:type="dxa"/>
          </w:tcPr>
          <w:p w14:paraId="24B6D38E" w14:textId="77777777" w:rsidR="009A3583" w:rsidRDefault="009A3583" w:rsidP="006F490F">
            <w:pPr>
              <w:pStyle w:val="TableParagraph"/>
              <w:ind w:right="122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16.42</w:t>
            </w:r>
          </w:p>
        </w:tc>
        <w:tc>
          <w:tcPr>
            <w:tcW w:w="756" w:type="dxa"/>
          </w:tcPr>
          <w:p w14:paraId="14DEBC97" w14:textId="77777777" w:rsidR="009A3583" w:rsidRDefault="009A3583" w:rsidP="006F490F">
            <w:pPr>
              <w:pStyle w:val="TableParagraph"/>
              <w:ind w:left="129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0.17</w:t>
            </w:r>
          </w:p>
        </w:tc>
        <w:tc>
          <w:tcPr>
            <w:tcW w:w="1134" w:type="dxa"/>
          </w:tcPr>
          <w:p w14:paraId="3FF5A3B4" w14:textId="77777777" w:rsidR="009A3583" w:rsidRDefault="009A3583" w:rsidP="006F490F">
            <w:pPr>
              <w:pStyle w:val="TableParagraph"/>
              <w:ind w:right="42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3.20</w:t>
            </w:r>
          </w:p>
        </w:tc>
        <w:tc>
          <w:tcPr>
            <w:tcW w:w="900" w:type="dxa"/>
          </w:tcPr>
          <w:p w14:paraId="4D9608BB" w14:textId="77777777" w:rsidR="009A3583" w:rsidRDefault="009A3583" w:rsidP="006F490F">
            <w:pPr>
              <w:pStyle w:val="TableParagraph"/>
              <w:ind w:left="183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1,306</w:t>
            </w:r>
          </w:p>
        </w:tc>
        <w:tc>
          <w:tcPr>
            <w:tcW w:w="1170" w:type="dxa"/>
          </w:tcPr>
          <w:p w14:paraId="0FD9CDB2" w14:textId="77777777" w:rsidR="009A3583" w:rsidRDefault="009A3583" w:rsidP="006F490F">
            <w:pPr>
              <w:pStyle w:val="TableParagraph"/>
              <w:ind w:left="129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0.16</w:t>
            </w:r>
          </w:p>
        </w:tc>
      </w:tr>
      <w:tr w:rsidR="009A3583" w14:paraId="0893BD29" w14:textId="77777777" w:rsidTr="006F490F">
        <w:trPr>
          <w:trHeight w:val="219"/>
        </w:trPr>
        <w:tc>
          <w:tcPr>
            <w:tcW w:w="811" w:type="dxa"/>
          </w:tcPr>
          <w:p w14:paraId="02C442B4" w14:textId="77777777" w:rsidR="009A3583" w:rsidRDefault="009A3583" w:rsidP="006F490F">
            <w:pPr>
              <w:pStyle w:val="TableParagraph"/>
              <w:ind w:left="119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Case</w:t>
            </w:r>
          </w:p>
        </w:tc>
        <w:tc>
          <w:tcPr>
            <w:tcW w:w="1409" w:type="dxa"/>
          </w:tcPr>
          <w:p w14:paraId="3E3F927C" w14:textId="77777777" w:rsidR="009A3583" w:rsidRDefault="009A3583" w:rsidP="006F490F">
            <w:pPr>
              <w:pStyle w:val="TableParagraph"/>
              <w:ind w:left="114"/>
              <w:jc w:val="both"/>
              <w:rPr>
                <w:sz w:val="18"/>
              </w:rPr>
            </w:pPr>
            <w:r>
              <w:rPr>
                <w:sz w:val="18"/>
              </w:rPr>
              <w:t>KNN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+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Louvain</w:t>
            </w:r>
          </w:p>
        </w:tc>
        <w:tc>
          <w:tcPr>
            <w:tcW w:w="900" w:type="dxa"/>
          </w:tcPr>
          <w:p w14:paraId="27E38780" w14:textId="77777777" w:rsidR="009A3583" w:rsidRDefault="009A3583" w:rsidP="006F490F">
            <w:pPr>
              <w:pStyle w:val="TableParagraph"/>
              <w:ind w:left="347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976.00</w:t>
            </w:r>
          </w:p>
        </w:tc>
        <w:tc>
          <w:tcPr>
            <w:tcW w:w="1080" w:type="dxa"/>
          </w:tcPr>
          <w:p w14:paraId="5ED20BEB" w14:textId="77777777" w:rsidR="009A3583" w:rsidRDefault="009A3583" w:rsidP="006F490F">
            <w:pPr>
              <w:pStyle w:val="TableParagraph"/>
              <w:ind w:left="99" w:right="146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10,914</w:t>
            </w:r>
          </w:p>
        </w:tc>
        <w:tc>
          <w:tcPr>
            <w:tcW w:w="720" w:type="dxa"/>
          </w:tcPr>
          <w:p w14:paraId="3B202F15" w14:textId="77777777" w:rsidR="009A3583" w:rsidRDefault="009A3583" w:rsidP="006F490F">
            <w:pPr>
              <w:pStyle w:val="TableParagraph"/>
              <w:ind w:left="79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990" w:type="dxa"/>
          </w:tcPr>
          <w:p w14:paraId="5CBB0401" w14:textId="77777777" w:rsidR="009A3583" w:rsidRDefault="009A3583" w:rsidP="006F490F">
            <w:pPr>
              <w:pStyle w:val="TableParagraph"/>
              <w:ind w:right="122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22.36</w:t>
            </w:r>
          </w:p>
        </w:tc>
        <w:tc>
          <w:tcPr>
            <w:tcW w:w="756" w:type="dxa"/>
          </w:tcPr>
          <w:p w14:paraId="0D95903B" w14:textId="77777777" w:rsidR="009A3583" w:rsidRDefault="009A3583" w:rsidP="006F490F">
            <w:pPr>
              <w:pStyle w:val="TableParagraph"/>
              <w:ind w:left="129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0.20</w:t>
            </w:r>
          </w:p>
        </w:tc>
        <w:tc>
          <w:tcPr>
            <w:tcW w:w="1134" w:type="dxa"/>
          </w:tcPr>
          <w:p w14:paraId="3DCAD032" w14:textId="77777777" w:rsidR="009A3583" w:rsidRDefault="009A3583" w:rsidP="006F490F">
            <w:pPr>
              <w:pStyle w:val="TableParagraph"/>
              <w:ind w:right="42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2.22</w:t>
            </w:r>
          </w:p>
        </w:tc>
        <w:tc>
          <w:tcPr>
            <w:tcW w:w="900" w:type="dxa"/>
          </w:tcPr>
          <w:p w14:paraId="28A1E0D0" w14:textId="77777777" w:rsidR="009A3583" w:rsidRDefault="009A3583" w:rsidP="006F490F">
            <w:pPr>
              <w:pStyle w:val="TableParagraph"/>
              <w:ind w:left="183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1,644</w:t>
            </w:r>
          </w:p>
        </w:tc>
        <w:tc>
          <w:tcPr>
            <w:tcW w:w="1170" w:type="dxa"/>
          </w:tcPr>
          <w:p w14:paraId="653A4C73" w14:textId="77777777" w:rsidR="009A3583" w:rsidRDefault="009A3583" w:rsidP="006F490F">
            <w:pPr>
              <w:pStyle w:val="TableParagraph"/>
              <w:ind w:left="129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0.15</w:t>
            </w:r>
          </w:p>
        </w:tc>
      </w:tr>
      <w:tr w:rsidR="009A3583" w14:paraId="490DC40C" w14:textId="77777777" w:rsidTr="006F490F">
        <w:trPr>
          <w:trHeight w:val="281"/>
        </w:trPr>
        <w:tc>
          <w:tcPr>
            <w:tcW w:w="811" w:type="dxa"/>
            <w:tcBorders>
              <w:bottom w:val="single" w:sz="8" w:space="0" w:color="000000"/>
            </w:tcBorders>
          </w:tcPr>
          <w:p w14:paraId="26CC7828" w14:textId="77777777" w:rsidR="009A3583" w:rsidRDefault="009A3583" w:rsidP="006F490F">
            <w:pPr>
              <w:pStyle w:val="TableParagraph"/>
              <w:spacing w:line="240" w:lineRule="auto"/>
              <w:ind w:left="119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Control</w:t>
            </w:r>
          </w:p>
        </w:tc>
        <w:tc>
          <w:tcPr>
            <w:tcW w:w="1409" w:type="dxa"/>
            <w:tcBorders>
              <w:bottom w:val="single" w:sz="8" w:space="0" w:color="000000"/>
            </w:tcBorders>
          </w:tcPr>
          <w:p w14:paraId="0D2A5B18" w14:textId="77777777" w:rsidR="009A3583" w:rsidRDefault="009A3583" w:rsidP="006F490F">
            <w:pPr>
              <w:pStyle w:val="TableParagraph"/>
              <w:spacing w:line="240" w:lineRule="auto"/>
              <w:ind w:left="114"/>
              <w:jc w:val="both"/>
              <w:rPr>
                <w:sz w:val="18"/>
              </w:rPr>
            </w:pPr>
            <w:r>
              <w:rPr>
                <w:sz w:val="18"/>
              </w:rPr>
              <w:t>KNN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+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Louvain</w:t>
            </w:r>
          </w:p>
        </w:tc>
        <w:tc>
          <w:tcPr>
            <w:tcW w:w="900" w:type="dxa"/>
            <w:tcBorders>
              <w:bottom w:val="single" w:sz="8" w:space="0" w:color="000000"/>
            </w:tcBorders>
          </w:tcPr>
          <w:p w14:paraId="2CF562EA" w14:textId="77777777" w:rsidR="009A3583" w:rsidRDefault="009A3583" w:rsidP="006F490F">
            <w:pPr>
              <w:pStyle w:val="TableParagraph"/>
              <w:spacing w:line="240" w:lineRule="auto"/>
              <w:ind w:left="347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973.00</w:t>
            </w:r>
          </w:p>
        </w:tc>
        <w:tc>
          <w:tcPr>
            <w:tcW w:w="1080" w:type="dxa"/>
            <w:tcBorders>
              <w:bottom w:val="single" w:sz="8" w:space="0" w:color="000000"/>
            </w:tcBorders>
          </w:tcPr>
          <w:p w14:paraId="5CE07184" w14:textId="77777777" w:rsidR="009A3583" w:rsidRDefault="009A3583" w:rsidP="006F490F">
            <w:pPr>
              <w:pStyle w:val="TableParagraph"/>
              <w:spacing w:line="240" w:lineRule="auto"/>
              <w:ind w:left="86" w:right="146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11,185</w:t>
            </w:r>
          </w:p>
        </w:tc>
        <w:tc>
          <w:tcPr>
            <w:tcW w:w="720" w:type="dxa"/>
            <w:tcBorders>
              <w:bottom w:val="single" w:sz="8" w:space="0" w:color="000000"/>
            </w:tcBorders>
          </w:tcPr>
          <w:p w14:paraId="296FABDF" w14:textId="77777777" w:rsidR="009A3583" w:rsidRDefault="009A3583" w:rsidP="006F490F">
            <w:pPr>
              <w:pStyle w:val="TableParagraph"/>
              <w:spacing w:line="240" w:lineRule="auto"/>
              <w:ind w:left="79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990" w:type="dxa"/>
            <w:tcBorders>
              <w:bottom w:val="single" w:sz="8" w:space="0" w:color="000000"/>
            </w:tcBorders>
          </w:tcPr>
          <w:p w14:paraId="3C215876" w14:textId="77777777" w:rsidR="009A3583" w:rsidRDefault="009A3583" w:rsidP="006F490F">
            <w:pPr>
              <w:pStyle w:val="TableParagraph"/>
              <w:spacing w:line="240" w:lineRule="auto"/>
              <w:ind w:right="122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22.99</w:t>
            </w:r>
          </w:p>
        </w:tc>
        <w:tc>
          <w:tcPr>
            <w:tcW w:w="756" w:type="dxa"/>
            <w:tcBorders>
              <w:bottom w:val="single" w:sz="8" w:space="0" w:color="000000"/>
            </w:tcBorders>
          </w:tcPr>
          <w:p w14:paraId="664B8786" w14:textId="77777777" w:rsidR="009A3583" w:rsidRDefault="009A3583" w:rsidP="006F490F">
            <w:pPr>
              <w:pStyle w:val="TableParagraph"/>
              <w:spacing w:line="240" w:lineRule="auto"/>
              <w:ind w:left="129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0.15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14:paraId="7A9B05A7" w14:textId="77777777" w:rsidR="009A3583" w:rsidRDefault="009A3583" w:rsidP="006F490F">
            <w:pPr>
              <w:pStyle w:val="TableParagraph"/>
              <w:spacing w:line="240" w:lineRule="auto"/>
              <w:ind w:right="42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3.42</w:t>
            </w:r>
          </w:p>
        </w:tc>
        <w:tc>
          <w:tcPr>
            <w:tcW w:w="900" w:type="dxa"/>
            <w:tcBorders>
              <w:bottom w:val="single" w:sz="8" w:space="0" w:color="000000"/>
            </w:tcBorders>
          </w:tcPr>
          <w:p w14:paraId="2834E00A" w14:textId="77777777" w:rsidR="009A3583" w:rsidRDefault="009A3583" w:rsidP="006F490F">
            <w:pPr>
              <w:pStyle w:val="TableParagraph"/>
              <w:spacing w:line="240" w:lineRule="auto"/>
              <w:ind w:left="183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2,005</w:t>
            </w:r>
          </w:p>
        </w:tc>
        <w:tc>
          <w:tcPr>
            <w:tcW w:w="1170" w:type="dxa"/>
            <w:tcBorders>
              <w:bottom w:val="single" w:sz="8" w:space="0" w:color="000000"/>
            </w:tcBorders>
          </w:tcPr>
          <w:p w14:paraId="0F83A997" w14:textId="77777777" w:rsidR="009A3583" w:rsidRDefault="009A3583" w:rsidP="006F490F">
            <w:pPr>
              <w:pStyle w:val="TableParagraph"/>
              <w:spacing w:line="240" w:lineRule="auto"/>
              <w:ind w:left="129"/>
              <w:jc w:val="both"/>
              <w:rPr>
                <w:sz w:val="18"/>
              </w:rPr>
            </w:pPr>
            <w:r>
              <w:rPr>
                <w:spacing w:val="-4"/>
                <w:sz w:val="18"/>
              </w:rPr>
              <w:t>0.18</w:t>
            </w:r>
          </w:p>
        </w:tc>
      </w:tr>
    </w:tbl>
    <w:p w14:paraId="3026D10F" w14:textId="77777777" w:rsidR="009A3583" w:rsidRDefault="009A3583" w:rsidP="009A3583">
      <w:pPr>
        <w:pStyle w:val="Heading1"/>
        <w:jc w:val="both"/>
      </w:pPr>
      <w:r w:rsidRPr="00840797">
        <w:rPr>
          <w:rFonts w:ascii="-webkit-standard" w:hAnsi="-webkit-standard"/>
          <w:color w:val="000000"/>
          <w:sz w:val="20"/>
          <w:szCs w:val="20"/>
        </w:rPr>
        <w:lastRenderedPageBreak/>
        <w:t>Density computed as edges / [nodes×(nodes−1)/2] for undirected graphs. Cross-modal edges are edges linking nodes assigned to different modalities.</w:t>
      </w:r>
    </w:p>
    <w:p w14:paraId="5C2EF7FA" w14:textId="77777777" w:rsidR="009A3583" w:rsidRDefault="009A3583" w:rsidP="009A3583">
      <w:pPr>
        <w:pStyle w:val="Heading1"/>
        <w:jc w:val="both"/>
      </w:pPr>
    </w:p>
    <w:p w14:paraId="10EC0F42" w14:textId="77777777" w:rsidR="009A3583" w:rsidRDefault="009A3583" w:rsidP="009A3583">
      <w:pPr>
        <w:pStyle w:val="Heading1"/>
        <w:jc w:val="both"/>
      </w:pPr>
    </w:p>
    <w:p w14:paraId="4B121DDC" w14:textId="77777777" w:rsidR="009A3583" w:rsidRDefault="009A3583" w:rsidP="009A3583">
      <w:pPr>
        <w:pStyle w:val="Heading1"/>
        <w:jc w:val="both"/>
      </w:pPr>
    </w:p>
    <w:p w14:paraId="11105452" w14:textId="77777777" w:rsidR="009A3583" w:rsidRDefault="009A3583" w:rsidP="009A3583">
      <w:pPr>
        <w:pStyle w:val="Heading1"/>
        <w:jc w:val="both"/>
      </w:pPr>
    </w:p>
    <w:p w14:paraId="3A7F87A2" w14:textId="77777777" w:rsidR="009A3583" w:rsidRDefault="009A3583" w:rsidP="009A3583">
      <w:pPr>
        <w:pStyle w:val="Heading1"/>
        <w:jc w:val="both"/>
      </w:pPr>
    </w:p>
    <w:p w14:paraId="49833462" w14:textId="77777777" w:rsidR="009A3583" w:rsidRDefault="009A3583" w:rsidP="009A3583">
      <w:pPr>
        <w:pStyle w:val="Heading1"/>
        <w:jc w:val="both"/>
      </w:pPr>
    </w:p>
    <w:p w14:paraId="497D67F8" w14:textId="77777777" w:rsidR="009A3583" w:rsidRDefault="009A3583" w:rsidP="009A3583">
      <w:pPr>
        <w:pStyle w:val="Heading1"/>
        <w:jc w:val="both"/>
      </w:pPr>
    </w:p>
    <w:p w14:paraId="6B0A8329" w14:textId="77777777" w:rsidR="009A3583" w:rsidRDefault="009A3583" w:rsidP="009A3583">
      <w:pPr>
        <w:pStyle w:val="Heading1"/>
        <w:jc w:val="both"/>
      </w:pPr>
    </w:p>
    <w:p w14:paraId="0D56B595" w14:textId="77777777" w:rsidR="009A3583" w:rsidRDefault="009A3583" w:rsidP="009A3583">
      <w:pPr>
        <w:pStyle w:val="Heading1"/>
        <w:jc w:val="both"/>
      </w:pPr>
    </w:p>
    <w:p w14:paraId="5280C801" w14:textId="77777777" w:rsidR="009A3583" w:rsidRDefault="009A3583" w:rsidP="009A3583">
      <w:pPr>
        <w:pStyle w:val="Heading1"/>
        <w:jc w:val="both"/>
      </w:pPr>
    </w:p>
    <w:p w14:paraId="3185B504" w14:textId="77777777" w:rsidR="009A3583" w:rsidRDefault="009A3583" w:rsidP="009A3583">
      <w:pPr>
        <w:pStyle w:val="Heading1"/>
        <w:jc w:val="both"/>
      </w:pPr>
    </w:p>
    <w:p w14:paraId="717E2E72" w14:textId="77777777" w:rsidR="009A3583" w:rsidRDefault="009A3583" w:rsidP="009A3583">
      <w:pPr>
        <w:pStyle w:val="Heading1"/>
        <w:jc w:val="both"/>
      </w:pPr>
    </w:p>
    <w:p w14:paraId="10C8BD02" w14:textId="77777777" w:rsidR="009A3583" w:rsidRDefault="009A3583" w:rsidP="009A3583">
      <w:pPr>
        <w:pStyle w:val="Heading1"/>
        <w:jc w:val="both"/>
      </w:pPr>
    </w:p>
    <w:p w14:paraId="0007B74B" w14:textId="77777777" w:rsidR="009A3583" w:rsidRDefault="009A3583" w:rsidP="009A3583">
      <w:pPr>
        <w:pStyle w:val="Heading1"/>
        <w:jc w:val="both"/>
      </w:pPr>
    </w:p>
    <w:p w14:paraId="430F6940" w14:textId="77777777" w:rsidR="009A3583" w:rsidRDefault="009A3583" w:rsidP="009A3583">
      <w:pPr>
        <w:pStyle w:val="Heading1"/>
        <w:jc w:val="both"/>
      </w:pPr>
    </w:p>
    <w:p w14:paraId="41458E26" w14:textId="77777777" w:rsidR="009A3583" w:rsidRDefault="009A3583" w:rsidP="009A3583">
      <w:pPr>
        <w:pStyle w:val="Heading1"/>
        <w:jc w:val="both"/>
      </w:pPr>
    </w:p>
    <w:p w14:paraId="246B1D60" w14:textId="77777777" w:rsidR="009A3583" w:rsidRDefault="009A3583" w:rsidP="009A3583">
      <w:pPr>
        <w:pStyle w:val="Heading1"/>
        <w:jc w:val="both"/>
      </w:pPr>
    </w:p>
    <w:p w14:paraId="3C52AFFC" w14:textId="77777777" w:rsidR="009A3583" w:rsidRDefault="009A3583" w:rsidP="009A3583">
      <w:pPr>
        <w:pStyle w:val="Heading1"/>
        <w:jc w:val="both"/>
      </w:pPr>
    </w:p>
    <w:p w14:paraId="4B3634A8" w14:textId="77777777" w:rsidR="009A3583" w:rsidRDefault="009A3583" w:rsidP="009A3583">
      <w:pPr>
        <w:pStyle w:val="Heading1"/>
        <w:jc w:val="both"/>
      </w:pPr>
    </w:p>
    <w:p w14:paraId="798EF043" w14:textId="77777777" w:rsidR="009A3583" w:rsidRDefault="009A3583" w:rsidP="009A3583">
      <w:pPr>
        <w:pStyle w:val="Heading1"/>
        <w:jc w:val="both"/>
      </w:pPr>
    </w:p>
    <w:p w14:paraId="7BA4355E" w14:textId="77777777" w:rsidR="009A3583" w:rsidRDefault="009A3583" w:rsidP="009A3583">
      <w:pPr>
        <w:pStyle w:val="Heading1"/>
        <w:jc w:val="both"/>
      </w:pPr>
    </w:p>
    <w:p w14:paraId="65A0613D" w14:textId="77777777" w:rsidR="009A3583" w:rsidRDefault="009A3583" w:rsidP="009A3583">
      <w:pPr>
        <w:pStyle w:val="Heading1"/>
        <w:jc w:val="both"/>
      </w:pPr>
    </w:p>
    <w:p w14:paraId="54BF585F" w14:textId="77777777" w:rsidR="009A3583" w:rsidRDefault="009A3583" w:rsidP="009A3583">
      <w:pPr>
        <w:pStyle w:val="Heading1"/>
        <w:jc w:val="both"/>
      </w:pPr>
    </w:p>
    <w:p w14:paraId="4BAE0DFA" w14:textId="77777777" w:rsidR="009A3583" w:rsidRDefault="009A3583" w:rsidP="009A3583">
      <w:pPr>
        <w:pStyle w:val="Heading1"/>
        <w:jc w:val="both"/>
      </w:pPr>
    </w:p>
    <w:p w14:paraId="6F5B0503" w14:textId="77777777" w:rsidR="009A3583" w:rsidRDefault="009A3583" w:rsidP="009A3583">
      <w:pPr>
        <w:pStyle w:val="Heading1"/>
        <w:jc w:val="both"/>
      </w:pPr>
    </w:p>
    <w:p w14:paraId="11DC3216" w14:textId="77777777" w:rsidR="009A3583" w:rsidRDefault="009A3583" w:rsidP="009A3583">
      <w:pPr>
        <w:pStyle w:val="Heading1"/>
        <w:jc w:val="both"/>
      </w:pPr>
    </w:p>
    <w:p w14:paraId="477A4258" w14:textId="77777777" w:rsidR="009A3583" w:rsidRDefault="009A3583" w:rsidP="009A3583">
      <w:pPr>
        <w:pStyle w:val="Heading1"/>
        <w:jc w:val="both"/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9"/>
        <w:gridCol w:w="1468"/>
        <w:gridCol w:w="1858"/>
        <w:gridCol w:w="1194"/>
        <w:gridCol w:w="2794"/>
        <w:gridCol w:w="1795"/>
      </w:tblGrid>
      <w:tr w:rsidR="009A3583" w14:paraId="713607CA" w14:textId="77777777" w:rsidTr="006F490F">
        <w:trPr>
          <w:tblHeader/>
          <w:tblCellSpacing w:w="15" w:type="dxa"/>
        </w:trPr>
        <w:tc>
          <w:tcPr>
            <w:tcW w:w="0" w:type="auto"/>
            <w:gridSpan w:val="6"/>
            <w:vAlign w:val="center"/>
          </w:tcPr>
          <w:p w14:paraId="38500755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Supplementary Table 2: Taxonomic Partners </w:t>
            </w:r>
            <w:r w:rsidRPr="00840797">
              <w:rPr>
                <w:color w:val="000000"/>
              </w:rPr>
              <w:t>of consensus serologic bridge candidates</w:t>
            </w:r>
          </w:p>
        </w:tc>
      </w:tr>
      <w:tr w:rsidR="009A3583" w14:paraId="3899021B" w14:textId="77777777" w:rsidTr="006F490F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0D5CE43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 w:rsidRPr="00265AB6">
              <w:rPr>
                <w:color w:val="000000"/>
              </w:rPr>
              <w:t>Group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556C02C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 w:rsidRPr="00265AB6">
              <w:rPr>
                <w:color w:val="000000"/>
              </w:rPr>
              <w:t>Bridge Candidate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C173E09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 w:rsidRPr="00265AB6">
              <w:rPr>
                <w:color w:val="000000"/>
              </w:rPr>
              <w:t>Median Modalities Touched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2B3C83F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 w:rsidRPr="00265AB6">
              <w:rPr>
                <w:color w:val="000000"/>
              </w:rPr>
              <w:t>Median Degree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615DEB9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Top Partner Genus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00E1DC7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 w:rsidRPr="00265AB6">
              <w:rPr>
                <w:color w:val="000000"/>
              </w:rPr>
              <w:t>Partner Support*</w:t>
            </w:r>
          </w:p>
        </w:tc>
      </w:tr>
      <w:tr w:rsidR="009A3583" w14:paraId="14E79789" w14:textId="77777777" w:rsidTr="006F49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F2A318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Case</w:t>
            </w:r>
          </w:p>
        </w:tc>
        <w:tc>
          <w:tcPr>
            <w:tcW w:w="0" w:type="auto"/>
            <w:vAlign w:val="center"/>
            <w:hideMark/>
          </w:tcPr>
          <w:p w14:paraId="5767BCAA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CBir1 Fla. Pos.</w:t>
            </w:r>
          </w:p>
        </w:tc>
        <w:tc>
          <w:tcPr>
            <w:tcW w:w="0" w:type="auto"/>
            <w:vAlign w:val="center"/>
            <w:hideMark/>
          </w:tcPr>
          <w:p w14:paraId="41BDA3A5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33BBB46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14:paraId="458C2719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Intestinibacter; Acidaminococcus</w:t>
            </w:r>
          </w:p>
        </w:tc>
        <w:tc>
          <w:tcPr>
            <w:tcW w:w="0" w:type="auto"/>
            <w:vAlign w:val="center"/>
            <w:hideMark/>
          </w:tcPr>
          <w:p w14:paraId="2CC4CC8A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3m | w=0.888; 2m | w=0.780</w:t>
            </w:r>
          </w:p>
        </w:tc>
      </w:tr>
      <w:tr w:rsidR="009A3583" w14:paraId="447EB6BE" w14:textId="77777777" w:rsidTr="006F49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AD2E9A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Case</w:t>
            </w:r>
          </w:p>
        </w:tc>
        <w:tc>
          <w:tcPr>
            <w:tcW w:w="0" w:type="auto"/>
            <w:vAlign w:val="center"/>
            <w:hideMark/>
          </w:tcPr>
          <w:p w14:paraId="75E17686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OmpC EU</w:t>
            </w:r>
          </w:p>
        </w:tc>
        <w:tc>
          <w:tcPr>
            <w:tcW w:w="0" w:type="auto"/>
            <w:vAlign w:val="center"/>
            <w:hideMark/>
          </w:tcPr>
          <w:p w14:paraId="658CF5CD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6BBEB4E1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14:paraId="0E2DFBCD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Lachnospira; Aggregatibacter</w:t>
            </w:r>
          </w:p>
        </w:tc>
        <w:tc>
          <w:tcPr>
            <w:tcW w:w="0" w:type="auto"/>
            <w:vAlign w:val="center"/>
            <w:hideMark/>
          </w:tcPr>
          <w:p w14:paraId="152195DB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3m | w=0.867; 3m | w=0.658</w:t>
            </w:r>
          </w:p>
        </w:tc>
      </w:tr>
      <w:tr w:rsidR="009A3583" w14:paraId="65B834FF" w14:textId="77777777" w:rsidTr="006F49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357C1A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Case</w:t>
            </w:r>
          </w:p>
        </w:tc>
        <w:tc>
          <w:tcPr>
            <w:tcW w:w="0" w:type="auto"/>
            <w:vAlign w:val="center"/>
            <w:hideMark/>
          </w:tcPr>
          <w:p w14:paraId="3AE6CC8F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IgA ASCA Pos.</w:t>
            </w:r>
          </w:p>
        </w:tc>
        <w:tc>
          <w:tcPr>
            <w:tcW w:w="0" w:type="auto"/>
            <w:vAlign w:val="center"/>
            <w:hideMark/>
          </w:tcPr>
          <w:p w14:paraId="43425EFE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4431654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7CBC8F78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Peptoniphilus</w:t>
            </w:r>
          </w:p>
        </w:tc>
        <w:tc>
          <w:tcPr>
            <w:tcW w:w="0" w:type="auto"/>
            <w:vAlign w:val="center"/>
            <w:hideMark/>
          </w:tcPr>
          <w:p w14:paraId="68D8F191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3m | w=0.822</w:t>
            </w:r>
          </w:p>
        </w:tc>
      </w:tr>
      <w:tr w:rsidR="009A3583" w14:paraId="264E493E" w14:textId="77777777" w:rsidTr="006F49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D5F500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Case</w:t>
            </w:r>
          </w:p>
        </w:tc>
        <w:tc>
          <w:tcPr>
            <w:tcW w:w="0" w:type="auto"/>
            <w:vAlign w:val="center"/>
            <w:hideMark/>
          </w:tcPr>
          <w:p w14:paraId="3924DD16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ANCA Pos.</w:t>
            </w:r>
          </w:p>
        </w:tc>
        <w:tc>
          <w:tcPr>
            <w:tcW w:w="0" w:type="auto"/>
            <w:vAlign w:val="center"/>
            <w:hideMark/>
          </w:tcPr>
          <w:p w14:paraId="564277E6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EFE8367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1503DFE3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Megasphaera</w:t>
            </w:r>
          </w:p>
        </w:tc>
        <w:tc>
          <w:tcPr>
            <w:tcW w:w="0" w:type="auto"/>
            <w:vAlign w:val="center"/>
            <w:hideMark/>
          </w:tcPr>
          <w:p w14:paraId="50B0B64B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3m | w=0.888</w:t>
            </w:r>
          </w:p>
        </w:tc>
      </w:tr>
      <w:tr w:rsidR="009A3583" w14:paraId="11350688" w14:textId="77777777" w:rsidTr="006F49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5C9BE1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Control</w:t>
            </w:r>
          </w:p>
        </w:tc>
        <w:tc>
          <w:tcPr>
            <w:tcW w:w="0" w:type="auto"/>
            <w:vAlign w:val="center"/>
            <w:hideMark/>
          </w:tcPr>
          <w:p w14:paraId="0FD4BDBD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CBir1 Fla. Pos.</w:t>
            </w:r>
          </w:p>
        </w:tc>
        <w:tc>
          <w:tcPr>
            <w:tcW w:w="0" w:type="auto"/>
            <w:vAlign w:val="center"/>
            <w:hideMark/>
          </w:tcPr>
          <w:p w14:paraId="6F7FBB92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24BCDEC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14:paraId="01279035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Uncultured Ruminococcaceae</w:t>
            </w:r>
          </w:p>
        </w:tc>
        <w:tc>
          <w:tcPr>
            <w:tcW w:w="0" w:type="auto"/>
            <w:vAlign w:val="center"/>
            <w:hideMark/>
          </w:tcPr>
          <w:p w14:paraId="65D400F1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3m | w=0.895</w:t>
            </w:r>
          </w:p>
        </w:tc>
      </w:tr>
      <w:tr w:rsidR="009A3583" w14:paraId="1EB1EEEA" w14:textId="77777777" w:rsidTr="006F49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483A57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Control</w:t>
            </w:r>
          </w:p>
        </w:tc>
        <w:tc>
          <w:tcPr>
            <w:tcW w:w="0" w:type="auto"/>
            <w:vAlign w:val="center"/>
            <w:hideMark/>
          </w:tcPr>
          <w:p w14:paraId="7FF2F883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OmpC EU</w:t>
            </w:r>
          </w:p>
        </w:tc>
        <w:tc>
          <w:tcPr>
            <w:tcW w:w="0" w:type="auto"/>
            <w:vAlign w:val="center"/>
            <w:hideMark/>
          </w:tcPr>
          <w:p w14:paraId="2734C2C9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E2162FA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14:paraId="51DECF03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Ruminiclostridium 6; Flavonifractor</w:t>
            </w:r>
          </w:p>
        </w:tc>
        <w:tc>
          <w:tcPr>
            <w:tcW w:w="0" w:type="auto"/>
            <w:vAlign w:val="center"/>
            <w:hideMark/>
          </w:tcPr>
          <w:p w14:paraId="6BB876C9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3m | w=0.881; 3m | w=0.831</w:t>
            </w:r>
          </w:p>
        </w:tc>
      </w:tr>
      <w:tr w:rsidR="009A3583" w14:paraId="087F65A5" w14:textId="77777777" w:rsidTr="006F49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273E15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Control</w:t>
            </w:r>
          </w:p>
        </w:tc>
        <w:tc>
          <w:tcPr>
            <w:tcW w:w="0" w:type="auto"/>
            <w:vAlign w:val="center"/>
            <w:hideMark/>
          </w:tcPr>
          <w:p w14:paraId="1B857283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IgA ASCA EU</w:t>
            </w:r>
          </w:p>
        </w:tc>
        <w:tc>
          <w:tcPr>
            <w:tcW w:w="0" w:type="auto"/>
            <w:vAlign w:val="center"/>
            <w:hideMark/>
          </w:tcPr>
          <w:p w14:paraId="6986DEFC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62549C0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14:paraId="0F8B53A6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Flavonifractor</w:t>
            </w:r>
          </w:p>
        </w:tc>
        <w:tc>
          <w:tcPr>
            <w:tcW w:w="0" w:type="auto"/>
            <w:vAlign w:val="center"/>
            <w:hideMark/>
          </w:tcPr>
          <w:p w14:paraId="6F14B562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3m | w=0.905</w:t>
            </w:r>
          </w:p>
        </w:tc>
      </w:tr>
      <w:tr w:rsidR="009A3583" w14:paraId="0B3DDB13" w14:textId="77777777" w:rsidTr="006F490F">
        <w:trPr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1A6B13EE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Control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18E852A7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ANCA EU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23B78532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527D8F4D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35EF6965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protEC-only partners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3CAB1B29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3m | w=0.986; 3m | w=0.949</w:t>
            </w:r>
          </w:p>
        </w:tc>
      </w:tr>
      <w:tr w:rsidR="009A3583" w14:paraId="22788206" w14:textId="77777777" w:rsidTr="006F490F">
        <w:trPr>
          <w:tblCellSpacing w:w="15" w:type="dxa"/>
        </w:trPr>
        <w:tc>
          <w:tcPr>
            <w:tcW w:w="0" w:type="auto"/>
            <w:gridSpan w:val="6"/>
            <w:vAlign w:val="center"/>
          </w:tcPr>
          <w:p w14:paraId="5F0A1FF2" w14:textId="77777777" w:rsidR="009A3583" w:rsidRPr="00B44DCB" w:rsidRDefault="009A3583" w:rsidP="006F490F">
            <w:pPr>
              <w:jc w:val="both"/>
              <w:rPr>
                <w:color w:val="000000"/>
                <w:sz w:val="20"/>
                <w:szCs w:val="20"/>
              </w:rPr>
            </w:pPr>
            <w:r w:rsidRPr="00B44DCB">
              <w:rPr>
                <w:rFonts w:ascii="-webkit-standard" w:hAnsi="-webkit-standard"/>
                <w:color w:val="000000"/>
                <w:sz w:val="20"/>
                <w:szCs w:val="20"/>
              </w:rPr>
              <w:t>* All candidates were identified as bridge features common across three modeling approaches (kNN–Louvain clustering, loading-cosine similarity, and shared-signal integration). “m” denotes the number of models supporting the specific partner association; “w” indicates median edge weight across supporting models. Median degree reflects network connectivity within the integrated graph. “—” indicates degree not estimable under sparsity constraints. protEC-only partners denote associations confined to the proteomic EC layer.</w:t>
            </w:r>
          </w:p>
        </w:tc>
      </w:tr>
    </w:tbl>
    <w:p w14:paraId="0420E45E" w14:textId="77777777" w:rsidR="009A3583" w:rsidRDefault="009A3583" w:rsidP="009A3583">
      <w:pPr>
        <w:pStyle w:val="Heading1"/>
        <w:jc w:val="both"/>
      </w:pPr>
    </w:p>
    <w:p w14:paraId="7CE5A8DC" w14:textId="77777777" w:rsidR="009A3583" w:rsidRDefault="009A3583" w:rsidP="009A3583">
      <w:pPr>
        <w:pStyle w:val="Heading1"/>
        <w:jc w:val="both"/>
      </w:pPr>
    </w:p>
    <w:p w14:paraId="118C0167" w14:textId="77777777" w:rsidR="009A3583" w:rsidRDefault="009A3583" w:rsidP="009A3583">
      <w:pPr>
        <w:pStyle w:val="Heading1"/>
        <w:jc w:val="both"/>
      </w:pPr>
    </w:p>
    <w:p w14:paraId="431E7B19" w14:textId="77777777" w:rsidR="009A3583" w:rsidRDefault="009A3583" w:rsidP="009A3583">
      <w:pPr>
        <w:pStyle w:val="Heading1"/>
        <w:jc w:val="both"/>
      </w:pPr>
    </w:p>
    <w:p w14:paraId="03654E25" w14:textId="77777777" w:rsidR="009A3583" w:rsidRDefault="009A3583" w:rsidP="009A3583">
      <w:pPr>
        <w:pStyle w:val="Heading1"/>
        <w:jc w:val="both"/>
      </w:pPr>
    </w:p>
    <w:p w14:paraId="60738FAC" w14:textId="77777777" w:rsidR="009A3583" w:rsidRDefault="009A3583" w:rsidP="009A3583">
      <w:pPr>
        <w:pStyle w:val="Heading1"/>
        <w:jc w:val="both"/>
      </w:pPr>
    </w:p>
    <w:p w14:paraId="4C5B9618" w14:textId="77777777" w:rsidR="009A3583" w:rsidRDefault="009A3583" w:rsidP="009A3583">
      <w:pPr>
        <w:pStyle w:val="Heading1"/>
        <w:jc w:val="both"/>
      </w:pPr>
    </w:p>
    <w:p w14:paraId="709A0409" w14:textId="77777777" w:rsidR="009A3583" w:rsidRDefault="009A3583" w:rsidP="009A3583">
      <w:pPr>
        <w:pStyle w:val="Heading1"/>
        <w:jc w:val="both"/>
      </w:pPr>
    </w:p>
    <w:p w14:paraId="5F99CDFF" w14:textId="77777777" w:rsidR="009A3583" w:rsidRDefault="009A3583" w:rsidP="009A3583">
      <w:pPr>
        <w:pStyle w:val="Heading1"/>
        <w:jc w:val="both"/>
      </w:pPr>
    </w:p>
    <w:p w14:paraId="2A808BE0" w14:textId="77777777" w:rsidR="009A3583" w:rsidRDefault="009A3583" w:rsidP="009A3583">
      <w:pPr>
        <w:pStyle w:val="Heading1"/>
        <w:jc w:val="both"/>
      </w:pPr>
    </w:p>
    <w:p w14:paraId="2082DADB" w14:textId="77777777" w:rsidR="009A3583" w:rsidRDefault="009A3583" w:rsidP="009A3583">
      <w:pPr>
        <w:pStyle w:val="Heading1"/>
        <w:jc w:val="both"/>
      </w:pPr>
    </w:p>
    <w:p w14:paraId="5712CC2A" w14:textId="77777777" w:rsidR="009A3583" w:rsidRDefault="009A3583" w:rsidP="009A3583">
      <w:pPr>
        <w:pStyle w:val="Heading1"/>
        <w:jc w:val="both"/>
      </w:pPr>
    </w:p>
    <w:p w14:paraId="072F417A" w14:textId="77777777" w:rsidR="009A3583" w:rsidRDefault="009A3583" w:rsidP="009A3583">
      <w:pPr>
        <w:pStyle w:val="Heading1"/>
        <w:jc w:val="both"/>
      </w:pPr>
    </w:p>
    <w:p w14:paraId="3AEF8D1C" w14:textId="77777777" w:rsidR="009A3583" w:rsidRDefault="009A3583" w:rsidP="009A3583">
      <w:pPr>
        <w:pStyle w:val="Heading1"/>
        <w:jc w:val="both"/>
      </w:pPr>
    </w:p>
    <w:p w14:paraId="13052FF6" w14:textId="77777777" w:rsidR="009A3583" w:rsidRDefault="009A3583" w:rsidP="009A3583">
      <w:pPr>
        <w:pStyle w:val="Heading1"/>
        <w:jc w:val="both"/>
      </w:pPr>
    </w:p>
    <w:p w14:paraId="490D9A1A" w14:textId="77777777" w:rsidR="009A3583" w:rsidRDefault="009A3583" w:rsidP="009A3583">
      <w:pPr>
        <w:pStyle w:val="Heading1"/>
        <w:jc w:val="both"/>
      </w:pPr>
    </w:p>
    <w:p w14:paraId="29DDB7F4" w14:textId="77777777" w:rsidR="009A3583" w:rsidRDefault="009A3583" w:rsidP="009A3583">
      <w:pPr>
        <w:pStyle w:val="Heading1"/>
        <w:jc w:val="both"/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9"/>
        <w:gridCol w:w="1295"/>
        <w:gridCol w:w="1569"/>
        <w:gridCol w:w="1039"/>
        <w:gridCol w:w="3778"/>
        <w:gridCol w:w="1498"/>
      </w:tblGrid>
      <w:tr w:rsidR="009A3583" w:rsidRPr="00265AB6" w14:paraId="0AB59C13" w14:textId="77777777" w:rsidTr="006F490F">
        <w:trPr>
          <w:tblHeader/>
          <w:tblCellSpacing w:w="15" w:type="dxa"/>
        </w:trPr>
        <w:tc>
          <w:tcPr>
            <w:tcW w:w="0" w:type="auto"/>
            <w:gridSpan w:val="6"/>
            <w:vAlign w:val="center"/>
          </w:tcPr>
          <w:p w14:paraId="39E6E3AF" w14:textId="77777777" w:rsidR="009A3583" w:rsidRDefault="009A3583" w:rsidP="006F490F">
            <w:pPr>
              <w:jc w:val="both"/>
              <w:rPr>
                <w:color w:val="000000"/>
              </w:rPr>
            </w:pPr>
          </w:p>
          <w:p w14:paraId="69B97475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Supplementary Table 3:</w:t>
            </w:r>
            <w:r w:rsidRPr="00840797">
              <w:t xml:space="preserve"> </w:t>
            </w:r>
            <w:r w:rsidRPr="00840797">
              <w:rPr>
                <w:color w:val="000000"/>
              </w:rPr>
              <w:t>Functional protEC partners of consensus serologic bridge candidates</w:t>
            </w:r>
          </w:p>
        </w:tc>
      </w:tr>
      <w:tr w:rsidR="009A3583" w:rsidRPr="00265AB6" w14:paraId="6E38E979" w14:textId="77777777" w:rsidTr="006F490F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4314A22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 w:rsidRPr="00265AB6">
              <w:rPr>
                <w:color w:val="000000"/>
              </w:rPr>
              <w:t>Group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1F5F443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 w:rsidRPr="00265AB6">
              <w:rPr>
                <w:color w:val="000000"/>
              </w:rPr>
              <w:t>Bridge Candidate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3A87631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 w:rsidRPr="00265AB6">
              <w:rPr>
                <w:color w:val="000000"/>
              </w:rPr>
              <w:t>Median Modalities Touched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0CB3D6C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 w:rsidRPr="00265AB6">
              <w:rPr>
                <w:color w:val="000000"/>
              </w:rPr>
              <w:t>Median Degree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0002962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 w:rsidRPr="00265AB6">
              <w:rPr>
                <w:color w:val="000000"/>
              </w:rPr>
              <w:t>Top protEC Partner (EC: Enzyme)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1406394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 w:rsidRPr="00265AB6">
              <w:rPr>
                <w:color w:val="000000"/>
              </w:rPr>
              <w:t>protEC Partner Support*</w:t>
            </w:r>
          </w:p>
        </w:tc>
      </w:tr>
      <w:tr w:rsidR="009A3583" w14:paraId="61497340" w14:textId="77777777" w:rsidTr="006F49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61B674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Case</w:t>
            </w:r>
          </w:p>
        </w:tc>
        <w:tc>
          <w:tcPr>
            <w:tcW w:w="0" w:type="auto"/>
            <w:vAlign w:val="center"/>
            <w:hideMark/>
          </w:tcPr>
          <w:p w14:paraId="77A13E67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CBir1 Fla. Pos.</w:t>
            </w:r>
          </w:p>
        </w:tc>
        <w:tc>
          <w:tcPr>
            <w:tcW w:w="0" w:type="auto"/>
            <w:vAlign w:val="center"/>
            <w:hideMark/>
          </w:tcPr>
          <w:p w14:paraId="7FE3F372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6FF4A55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14:paraId="6AD38AB3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3.6.1.3: Adenosinetriphosphatase; Transaldolase</w:t>
            </w:r>
          </w:p>
        </w:tc>
        <w:tc>
          <w:tcPr>
            <w:tcW w:w="0" w:type="auto"/>
            <w:vAlign w:val="center"/>
            <w:hideMark/>
          </w:tcPr>
          <w:p w14:paraId="507CDD7A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3m | w=0.907</w:t>
            </w:r>
          </w:p>
        </w:tc>
      </w:tr>
      <w:tr w:rsidR="009A3583" w14:paraId="4D249277" w14:textId="77777777" w:rsidTr="006F49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D74799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Case</w:t>
            </w:r>
          </w:p>
        </w:tc>
        <w:tc>
          <w:tcPr>
            <w:tcW w:w="0" w:type="auto"/>
            <w:vAlign w:val="center"/>
            <w:hideMark/>
          </w:tcPr>
          <w:p w14:paraId="32E2A142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OmpC EU</w:t>
            </w:r>
          </w:p>
        </w:tc>
        <w:tc>
          <w:tcPr>
            <w:tcW w:w="0" w:type="auto"/>
            <w:vAlign w:val="center"/>
            <w:hideMark/>
          </w:tcPr>
          <w:p w14:paraId="3B51314D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34DD2606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14:paraId="23087FDC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3.5.1.87: N-carbamoyl-L-amino-acid hydrolase</w:t>
            </w:r>
          </w:p>
        </w:tc>
        <w:tc>
          <w:tcPr>
            <w:tcW w:w="0" w:type="auto"/>
            <w:vAlign w:val="center"/>
            <w:hideMark/>
          </w:tcPr>
          <w:p w14:paraId="181DDFEF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3m | w=0.862</w:t>
            </w:r>
          </w:p>
        </w:tc>
      </w:tr>
      <w:tr w:rsidR="009A3583" w14:paraId="4C09F576" w14:textId="77777777" w:rsidTr="006F49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13B361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Case</w:t>
            </w:r>
          </w:p>
        </w:tc>
        <w:tc>
          <w:tcPr>
            <w:tcW w:w="0" w:type="auto"/>
            <w:vAlign w:val="center"/>
            <w:hideMark/>
          </w:tcPr>
          <w:p w14:paraId="01D5430B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IgA ASCA Pos.</w:t>
            </w:r>
          </w:p>
        </w:tc>
        <w:tc>
          <w:tcPr>
            <w:tcW w:w="0" w:type="auto"/>
            <w:vAlign w:val="center"/>
            <w:hideMark/>
          </w:tcPr>
          <w:p w14:paraId="6D79B650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154198B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4264CB6D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1.3.1.98: UDP-N-acetylmuramate dehydrogenase</w:t>
            </w:r>
          </w:p>
        </w:tc>
        <w:tc>
          <w:tcPr>
            <w:tcW w:w="0" w:type="auto"/>
            <w:vAlign w:val="center"/>
            <w:hideMark/>
          </w:tcPr>
          <w:p w14:paraId="2FDCFE06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3m | w=1.000</w:t>
            </w:r>
          </w:p>
        </w:tc>
      </w:tr>
      <w:tr w:rsidR="009A3583" w14:paraId="33BDD5FB" w14:textId="77777777" w:rsidTr="006F49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1A7C12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Case</w:t>
            </w:r>
          </w:p>
        </w:tc>
        <w:tc>
          <w:tcPr>
            <w:tcW w:w="0" w:type="auto"/>
            <w:vAlign w:val="center"/>
            <w:hideMark/>
          </w:tcPr>
          <w:p w14:paraId="54168DF6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ANCA Pos.</w:t>
            </w:r>
          </w:p>
        </w:tc>
        <w:tc>
          <w:tcPr>
            <w:tcW w:w="0" w:type="auto"/>
            <w:vAlign w:val="center"/>
            <w:hideMark/>
          </w:tcPr>
          <w:p w14:paraId="005104E4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F354F3B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7B2D714F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2.3.1.29: Glycine C-acetyltransferase</w:t>
            </w:r>
          </w:p>
        </w:tc>
        <w:tc>
          <w:tcPr>
            <w:tcW w:w="0" w:type="auto"/>
            <w:vAlign w:val="center"/>
            <w:hideMark/>
          </w:tcPr>
          <w:p w14:paraId="1960DAFD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3m | w=0.867</w:t>
            </w:r>
          </w:p>
        </w:tc>
      </w:tr>
      <w:tr w:rsidR="009A3583" w14:paraId="05652EC4" w14:textId="77777777" w:rsidTr="006F49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C6CF42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Control</w:t>
            </w:r>
          </w:p>
        </w:tc>
        <w:tc>
          <w:tcPr>
            <w:tcW w:w="0" w:type="auto"/>
            <w:vAlign w:val="center"/>
            <w:hideMark/>
          </w:tcPr>
          <w:p w14:paraId="2A09DEFC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CBir1 Fla. Pos.</w:t>
            </w:r>
          </w:p>
        </w:tc>
        <w:tc>
          <w:tcPr>
            <w:tcW w:w="0" w:type="auto"/>
            <w:vAlign w:val="center"/>
            <w:hideMark/>
          </w:tcPr>
          <w:p w14:paraId="57BC3260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9E57BFE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14:paraId="23D2A76D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4.1.1.18: Lysine decarboxylase</w:t>
            </w:r>
          </w:p>
        </w:tc>
        <w:tc>
          <w:tcPr>
            <w:tcW w:w="0" w:type="auto"/>
            <w:vAlign w:val="center"/>
            <w:hideMark/>
          </w:tcPr>
          <w:p w14:paraId="636DC681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3m | w=1.000</w:t>
            </w:r>
          </w:p>
        </w:tc>
      </w:tr>
      <w:tr w:rsidR="009A3583" w14:paraId="5A252EEA" w14:textId="77777777" w:rsidTr="006F49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BFB7E6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Control</w:t>
            </w:r>
          </w:p>
        </w:tc>
        <w:tc>
          <w:tcPr>
            <w:tcW w:w="0" w:type="auto"/>
            <w:vAlign w:val="center"/>
            <w:hideMark/>
          </w:tcPr>
          <w:p w14:paraId="76FEA9D9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OmpC EU</w:t>
            </w:r>
          </w:p>
        </w:tc>
        <w:tc>
          <w:tcPr>
            <w:tcW w:w="0" w:type="auto"/>
            <w:vAlign w:val="center"/>
            <w:hideMark/>
          </w:tcPr>
          <w:p w14:paraId="22C6EBFC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457E9A7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14:paraId="7BAB93F7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3.6.3.4: Cu(2+)-exporting ATPase</w:t>
            </w:r>
          </w:p>
        </w:tc>
        <w:tc>
          <w:tcPr>
            <w:tcW w:w="0" w:type="auto"/>
            <w:vAlign w:val="center"/>
            <w:hideMark/>
          </w:tcPr>
          <w:p w14:paraId="005864F1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3m | w=0.970</w:t>
            </w:r>
          </w:p>
        </w:tc>
      </w:tr>
      <w:tr w:rsidR="009A3583" w14:paraId="58B0B7DD" w14:textId="77777777" w:rsidTr="006F49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85BE25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Control</w:t>
            </w:r>
          </w:p>
        </w:tc>
        <w:tc>
          <w:tcPr>
            <w:tcW w:w="0" w:type="auto"/>
            <w:vAlign w:val="center"/>
            <w:hideMark/>
          </w:tcPr>
          <w:p w14:paraId="28DC7253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IgA ASCA EU</w:t>
            </w:r>
          </w:p>
        </w:tc>
        <w:tc>
          <w:tcPr>
            <w:tcW w:w="0" w:type="auto"/>
            <w:vAlign w:val="center"/>
            <w:hideMark/>
          </w:tcPr>
          <w:p w14:paraId="2C1AAEAC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6ABD221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14:paraId="58A90711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1.6.5.3: NADH:ubiquinone reductase (H(+)-translocating)</w:t>
            </w:r>
          </w:p>
        </w:tc>
        <w:tc>
          <w:tcPr>
            <w:tcW w:w="0" w:type="auto"/>
            <w:vAlign w:val="center"/>
            <w:hideMark/>
          </w:tcPr>
          <w:p w14:paraId="6780F12A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3m | w=0.962</w:t>
            </w:r>
          </w:p>
        </w:tc>
      </w:tr>
      <w:tr w:rsidR="009A3583" w14:paraId="4BE7D3BD" w14:textId="77777777" w:rsidTr="006F490F">
        <w:trPr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0E8A90CD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Control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74E1B115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ANCA EU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11535DB4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463E8B98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687E31D0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2.3.1.222: Phosphate propanoyltransferase; 6.2.1.1: Acetate–CoA ligase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4C49F278" w14:textId="77777777" w:rsidR="009A3583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3m | w=0.986; 3m | w=0.949</w:t>
            </w:r>
          </w:p>
        </w:tc>
      </w:tr>
      <w:tr w:rsidR="009A3583" w14:paraId="4279E665" w14:textId="77777777" w:rsidTr="006F490F">
        <w:trPr>
          <w:tblCellSpacing w:w="15" w:type="dxa"/>
        </w:trPr>
        <w:tc>
          <w:tcPr>
            <w:tcW w:w="0" w:type="auto"/>
            <w:gridSpan w:val="6"/>
            <w:vAlign w:val="center"/>
          </w:tcPr>
          <w:p w14:paraId="17B2D3F4" w14:textId="77777777" w:rsidR="009A3583" w:rsidRPr="00332C6D" w:rsidRDefault="009A3583" w:rsidP="006F490F">
            <w:pPr>
              <w:jc w:val="both"/>
              <w:rPr>
                <w:color w:val="000000"/>
                <w:sz w:val="20"/>
                <w:szCs w:val="20"/>
              </w:rPr>
            </w:pPr>
            <w:r w:rsidRPr="00332C6D">
              <w:rPr>
                <w:rFonts w:ascii="-webkit-standard" w:hAnsi="-webkit-standard"/>
                <w:color w:val="000000"/>
                <w:sz w:val="20"/>
                <w:szCs w:val="20"/>
              </w:rPr>
              <w:t>* All candidates were identified as bridge features common across three modeling approaches (kNN–Louvain clustering, loading-cosine similarity, and shared-signal integration). “m” denotes the number of models supporting the specific partner association; “w” indicates median edge weight across supporting models. Median degree reflects network connectivity within the integrated graph. “—” indicates degree not estimable under sparsity constraints.</w:t>
            </w:r>
          </w:p>
        </w:tc>
      </w:tr>
    </w:tbl>
    <w:p w14:paraId="598897B7" w14:textId="77777777" w:rsidR="009A3583" w:rsidRDefault="009A3583" w:rsidP="009A3583">
      <w:pPr>
        <w:pStyle w:val="Heading1"/>
        <w:jc w:val="both"/>
      </w:pPr>
    </w:p>
    <w:p w14:paraId="68313E51" w14:textId="77777777" w:rsidR="009A3583" w:rsidRDefault="009A3583" w:rsidP="009A3583">
      <w:pPr>
        <w:pStyle w:val="Heading1"/>
        <w:jc w:val="both"/>
      </w:pPr>
    </w:p>
    <w:p w14:paraId="44308669" w14:textId="77777777" w:rsidR="009A3583" w:rsidRDefault="009A3583" w:rsidP="009A3583">
      <w:pPr>
        <w:pStyle w:val="Heading1"/>
        <w:jc w:val="both"/>
      </w:pPr>
    </w:p>
    <w:p w14:paraId="14A153F2" w14:textId="77777777" w:rsidR="009A3583" w:rsidRDefault="009A3583" w:rsidP="009A3583">
      <w:pPr>
        <w:pStyle w:val="Heading1"/>
        <w:jc w:val="both"/>
      </w:pPr>
    </w:p>
    <w:p w14:paraId="0C1E30AD" w14:textId="77777777" w:rsidR="009A3583" w:rsidRDefault="009A3583" w:rsidP="009A3583">
      <w:pPr>
        <w:pStyle w:val="Heading1"/>
        <w:jc w:val="both"/>
      </w:pPr>
    </w:p>
    <w:p w14:paraId="7D3E1471" w14:textId="77777777" w:rsidR="009A3583" w:rsidRDefault="009A3583" w:rsidP="009A3583">
      <w:pPr>
        <w:pStyle w:val="Heading1"/>
        <w:jc w:val="both"/>
      </w:pPr>
    </w:p>
    <w:p w14:paraId="51A32AB6" w14:textId="77777777" w:rsidR="009A3583" w:rsidRDefault="009A3583" w:rsidP="009A3583">
      <w:pPr>
        <w:pStyle w:val="Heading1"/>
        <w:jc w:val="both"/>
      </w:pPr>
    </w:p>
    <w:p w14:paraId="7BAA651A" w14:textId="77777777" w:rsidR="009A3583" w:rsidRDefault="009A3583" w:rsidP="009A3583">
      <w:pPr>
        <w:pStyle w:val="Heading1"/>
        <w:tabs>
          <w:tab w:val="left" w:pos="3243"/>
        </w:tabs>
        <w:jc w:val="both"/>
      </w:pPr>
      <w:r>
        <w:tab/>
      </w:r>
    </w:p>
    <w:p w14:paraId="52F5803E" w14:textId="77777777" w:rsidR="009A3583" w:rsidRDefault="009A3583" w:rsidP="009A3583">
      <w:pPr>
        <w:pStyle w:val="Heading1"/>
        <w:jc w:val="both"/>
      </w:pPr>
    </w:p>
    <w:p w14:paraId="2F45B6A5" w14:textId="77777777" w:rsidR="009A3583" w:rsidRDefault="009A3583" w:rsidP="009A3583">
      <w:pPr>
        <w:pStyle w:val="Heading1"/>
        <w:jc w:val="both"/>
      </w:pPr>
    </w:p>
    <w:p w14:paraId="207CB5E7" w14:textId="77777777" w:rsidR="009A3583" w:rsidRDefault="009A3583" w:rsidP="009A3583">
      <w:pPr>
        <w:pStyle w:val="Heading1"/>
        <w:jc w:val="both"/>
      </w:pPr>
    </w:p>
    <w:p w14:paraId="6B5B3036" w14:textId="77777777" w:rsidR="009A3583" w:rsidRDefault="009A3583" w:rsidP="009A3583">
      <w:pPr>
        <w:pStyle w:val="Heading1"/>
        <w:jc w:val="both"/>
      </w:pPr>
    </w:p>
    <w:p w14:paraId="24558AE5" w14:textId="77777777" w:rsidR="009A3583" w:rsidRDefault="009A3583" w:rsidP="009A3583">
      <w:pPr>
        <w:pStyle w:val="Heading1"/>
        <w:jc w:val="both"/>
      </w:pPr>
    </w:p>
    <w:p w14:paraId="00BE2FAA" w14:textId="77777777" w:rsidR="009A3583" w:rsidRDefault="009A3583" w:rsidP="009A3583">
      <w:pPr>
        <w:pStyle w:val="Heading1"/>
        <w:jc w:val="both"/>
      </w:pPr>
    </w:p>
    <w:p w14:paraId="1B373047" w14:textId="77777777" w:rsidR="009A3583" w:rsidRDefault="009A3583" w:rsidP="009A3583">
      <w:pPr>
        <w:pStyle w:val="Heading1"/>
        <w:jc w:val="both"/>
      </w:pPr>
    </w:p>
    <w:p w14:paraId="2F43CB05" w14:textId="77777777" w:rsidR="009A3583" w:rsidRDefault="009A3583" w:rsidP="009A3583">
      <w:pPr>
        <w:pStyle w:val="Heading1"/>
        <w:jc w:val="both"/>
      </w:pPr>
    </w:p>
    <w:p w14:paraId="56D038C6" w14:textId="77777777" w:rsidR="009A3583" w:rsidRDefault="009A3583" w:rsidP="009A3583">
      <w:pPr>
        <w:pStyle w:val="Heading1"/>
        <w:jc w:val="both"/>
      </w:pPr>
    </w:p>
    <w:p w14:paraId="0D1EDDBC" w14:textId="77777777" w:rsidR="009A3583" w:rsidRDefault="009A3583" w:rsidP="009A3583">
      <w:pPr>
        <w:pStyle w:val="Heading1"/>
        <w:jc w:val="both"/>
      </w:pPr>
    </w:p>
    <w:p w14:paraId="742D3056" w14:textId="77777777" w:rsidR="009A3583" w:rsidRDefault="009A3583" w:rsidP="009A3583">
      <w:pPr>
        <w:pStyle w:val="Heading1"/>
        <w:jc w:val="both"/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87"/>
        <w:gridCol w:w="1492"/>
        <w:gridCol w:w="1016"/>
        <w:gridCol w:w="1029"/>
        <w:gridCol w:w="4099"/>
        <w:gridCol w:w="45"/>
      </w:tblGrid>
      <w:tr w:rsidR="009A3583" w:rsidRPr="00265AB6" w14:paraId="133A3BD2" w14:textId="77777777" w:rsidTr="006F490F">
        <w:trPr>
          <w:tblHeader/>
          <w:tblCellSpacing w:w="15" w:type="dxa"/>
        </w:trPr>
        <w:tc>
          <w:tcPr>
            <w:tcW w:w="0" w:type="auto"/>
            <w:gridSpan w:val="6"/>
            <w:vAlign w:val="center"/>
          </w:tcPr>
          <w:p w14:paraId="04A4588B" w14:textId="77777777" w:rsidR="009A3583" w:rsidRDefault="009A3583" w:rsidP="006F490F">
            <w:pPr>
              <w:jc w:val="both"/>
              <w:rPr>
                <w:color w:val="000000"/>
              </w:rPr>
            </w:pPr>
          </w:p>
          <w:p w14:paraId="2FE5855E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Supplementary Table 4:</w:t>
            </w:r>
            <w:r w:rsidRPr="00840797">
              <w:t xml:space="preserve"> </w:t>
            </w:r>
            <w:r w:rsidRPr="00840797">
              <w:rPr>
                <w:color w:val="000000"/>
              </w:rPr>
              <w:t>Convergence summary across network inference strategies (edge/hub/module/adjacency)</w:t>
            </w:r>
          </w:p>
        </w:tc>
      </w:tr>
      <w:tr w:rsidR="009A3583" w:rsidRPr="00265AB6" w14:paraId="4C364900" w14:textId="77777777" w:rsidTr="006F490F">
        <w:trPr>
          <w:gridAfter w:val="1"/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C15A482" w14:textId="77777777" w:rsidR="009A3583" w:rsidRDefault="009A3583" w:rsidP="006F490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Convergence target</w:t>
            </w:r>
          </w:p>
          <w:p w14:paraId="2554D211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9A3583" w:rsidRPr="00840797" w14:paraId="4FCF1BCA" w14:textId="77777777" w:rsidTr="006F49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0B8A8D" w14:textId="77777777" w:rsidR="009A3583" w:rsidRPr="00840797" w:rsidRDefault="009A3583" w:rsidP="006F490F">
                  <w:pPr>
                    <w:jc w:val="both"/>
                    <w:rPr>
                      <w:color w:val="000000"/>
                    </w:rPr>
                  </w:pPr>
                </w:p>
              </w:tc>
            </w:tr>
          </w:tbl>
          <w:p w14:paraId="5769E2AF" w14:textId="77777777" w:rsidR="009A3583" w:rsidRPr="00840797" w:rsidRDefault="009A3583" w:rsidP="006F490F">
            <w:pPr>
              <w:jc w:val="both"/>
              <w:rPr>
                <w:vanish/>
                <w:color w:val="000000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83"/>
            </w:tblGrid>
            <w:tr w:rsidR="009A3583" w:rsidRPr="00840797" w14:paraId="300BF978" w14:textId="77777777" w:rsidTr="006F49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2A264C" w14:textId="77777777" w:rsidR="009A3583" w:rsidRPr="00840797" w:rsidRDefault="009A3583" w:rsidP="006F490F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840797">
                    <w:rPr>
                      <w:b/>
                      <w:bCs/>
                      <w:color w:val="000000"/>
                    </w:rPr>
                    <w:t>Metric</w:t>
                  </w:r>
                </w:p>
              </w:tc>
            </w:tr>
          </w:tbl>
          <w:p w14:paraId="566E2B7D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B872B68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 w:rsidRPr="00840797">
              <w:rPr>
                <w:color w:val="000000"/>
              </w:rPr>
              <w:t>Cases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B991C2E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 w:rsidRPr="00840797">
              <w:rPr>
                <w:color w:val="000000"/>
              </w:rPr>
              <w:t>Controls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BDB0406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</w:t>
            </w:r>
            <w:r w:rsidRPr="00840797">
              <w:rPr>
                <w:color w:val="000000"/>
              </w:rPr>
              <w:t>nterpretation</w:t>
            </w:r>
          </w:p>
        </w:tc>
      </w:tr>
      <w:tr w:rsidR="009A3583" w14:paraId="11139AE4" w14:textId="77777777" w:rsidTr="006F490F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599B515A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840797">
              <w:rPr>
                <w:color w:val="000000"/>
              </w:rPr>
              <w:t>Edge-set agreement (all edges)</w:t>
            </w:r>
          </w:p>
        </w:tc>
        <w:tc>
          <w:tcPr>
            <w:tcW w:w="0" w:type="auto"/>
            <w:vAlign w:val="center"/>
            <w:hideMark/>
          </w:tcPr>
          <w:p w14:paraId="368CC70F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840797">
              <w:rPr>
                <w:color w:val="000000"/>
              </w:rPr>
              <w:t>Pairwise Jaccard range</w:t>
            </w:r>
          </w:p>
        </w:tc>
        <w:tc>
          <w:tcPr>
            <w:tcW w:w="0" w:type="auto"/>
            <w:vAlign w:val="center"/>
            <w:hideMark/>
          </w:tcPr>
          <w:p w14:paraId="51BD4A5D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840797">
              <w:rPr>
                <w:color w:val="000000"/>
              </w:rPr>
              <w:t>0.132–0.411</w:t>
            </w:r>
          </w:p>
        </w:tc>
        <w:tc>
          <w:tcPr>
            <w:tcW w:w="0" w:type="auto"/>
            <w:vAlign w:val="center"/>
            <w:hideMark/>
          </w:tcPr>
          <w:p w14:paraId="65DAA94D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0.127–0.296</w:t>
            </w:r>
          </w:p>
        </w:tc>
        <w:tc>
          <w:tcPr>
            <w:tcW w:w="0" w:type="auto"/>
            <w:vAlign w:val="center"/>
            <w:hideMark/>
          </w:tcPr>
          <w:p w14:paraId="109DCECF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840797">
              <w:rPr>
                <w:color w:val="000000"/>
              </w:rPr>
              <w:t>Exact edge identity differs by method (expected due to different sparsification rules).</w:t>
            </w:r>
          </w:p>
        </w:tc>
      </w:tr>
      <w:tr w:rsidR="009A3583" w14:paraId="14BFE052" w14:textId="77777777" w:rsidTr="006F490F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3829DF71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840797">
              <w:rPr>
                <w:color w:val="000000"/>
              </w:rPr>
              <w:t>Edge-set agreement (cross-modal edges)</w:t>
            </w:r>
          </w:p>
        </w:tc>
        <w:tc>
          <w:tcPr>
            <w:tcW w:w="0" w:type="auto"/>
            <w:vAlign w:val="center"/>
            <w:hideMark/>
          </w:tcPr>
          <w:p w14:paraId="396DB7E2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840797">
              <w:rPr>
                <w:color w:val="000000"/>
              </w:rPr>
              <w:t>Pairwise Jaccard range</w:t>
            </w:r>
          </w:p>
        </w:tc>
        <w:tc>
          <w:tcPr>
            <w:tcW w:w="0" w:type="auto"/>
            <w:vAlign w:val="center"/>
            <w:hideMark/>
          </w:tcPr>
          <w:p w14:paraId="41343E08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0.150–0.535</w:t>
            </w:r>
          </w:p>
        </w:tc>
        <w:tc>
          <w:tcPr>
            <w:tcW w:w="0" w:type="auto"/>
            <w:vAlign w:val="center"/>
            <w:hideMark/>
          </w:tcPr>
          <w:p w14:paraId="0C3C8616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0.155–0.495</w:t>
            </w:r>
          </w:p>
        </w:tc>
        <w:tc>
          <w:tcPr>
            <w:tcW w:w="0" w:type="auto"/>
            <w:vAlign w:val="center"/>
            <w:hideMark/>
          </w:tcPr>
          <w:p w14:paraId="08F0B0EB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Cross-modal edges show comparable or slightly higher agreement than the full edge set.</w:t>
            </w:r>
          </w:p>
        </w:tc>
      </w:tr>
      <w:tr w:rsidR="009A3583" w14:paraId="4C0782B6" w14:textId="77777777" w:rsidTr="006F490F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200D5F11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Hub agreement (degree hubs)</w:t>
            </w:r>
          </w:p>
        </w:tc>
        <w:tc>
          <w:tcPr>
            <w:tcW w:w="0" w:type="auto"/>
            <w:vAlign w:val="center"/>
            <w:hideMark/>
          </w:tcPr>
          <w:p w14:paraId="3C04C846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Top 25 Jaccard range</w:t>
            </w:r>
          </w:p>
        </w:tc>
        <w:tc>
          <w:tcPr>
            <w:tcW w:w="0" w:type="auto"/>
            <w:vAlign w:val="center"/>
            <w:hideMark/>
          </w:tcPr>
          <w:p w14:paraId="1E83E8A5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0.064–0.724</w:t>
            </w:r>
          </w:p>
        </w:tc>
        <w:tc>
          <w:tcPr>
            <w:tcW w:w="0" w:type="auto"/>
            <w:vAlign w:val="center"/>
            <w:hideMark/>
          </w:tcPr>
          <w:p w14:paraId="4580B2CB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0.190–0.471</w:t>
            </w:r>
          </w:p>
        </w:tc>
        <w:tc>
          <w:tcPr>
            <w:tcW w:w="0" w:type="auto"/>
            <w:vAlign w:val="center"/>
            <w:hideMark/>
          </w:tcPr>
          <w:p w14:paraId="75580011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High-degree hubs show moderate agreement across methods.</w:t>
            </w:r>
          </w:p>
        </w:tc>
      </w:tr>
      <w:tr w:rsidR="009A3583" w14:paraId="005B3F9C" w14:textId="77777777" w:rsidTr="006F490F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572E67BE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Hub agreement (betweenness hubs)</w:t>
            </w:r>
          </w:p>
        </w:tc>
        <w:tc>
          <w:tcPr>
            <w:tcW w:w="0" w:type="auto"/>
            <w:vAlign w:val="center"/>
            <w:hideMark/>
          </w:tcPr>
          <w:p w14:paraId="2A4EC5E2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Top 25 Jaccard range</w:t>
            </w:r>
          </w:p>
        </w:tc>
        <w:tc>
          <w:tcPr>
            <w:tcW w:w="0" w:type="auto"/>
            <w:vAlign w:val="center"/>
            <w:hideMark/>
          </w:tcPr>
          <w:p w14:paraId="2B0A2B1F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0.042–0.136</w:t>
            </w:r>
          </w:p>
        </w:tc>
        <w:tc>
          <w:tcPr>
            <w:tcW w:w="0" w:type="auto"/>
            <w:vAlign w:val="center"/>
            <w:hideMark/>
          </w:tcPr>
          <w:p w14:paraId="40250AB2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0.111–0.429</w:t>
            </w:r>
          </w:p>
        </w:tc>
        <w:tc>
          <w:tcPr>
            <w:tcW w:w="0" w:type="auto"/>
            <w:vAlign w:val="center"/>
            <w:hideMark/>
          </w:tcPr>
          <w:p w14:paraId="68181E9C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Betweenness hubs are more method-sensitive than degree hubs.</w:t>
            </w:r>
          </w:p>
        </w:tc>
      </w:tr>
      <w:tr w:rsidR="009A3583" w14:paraId="1E6DCE47" w14:textId="77777777" w:rsidTr="006F490F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47A3FD97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Community agreement</w:t>
            </w:r>
          </w:p>
        </w:tc>
        <w:tc>
          <w:tcPr>
            <w:tcW w:w="0" w:type="auto"/>
            <w:vAlign w:val="center"/>
            <w:hideMark/>
          </w:tcPr>
          <w:p w14:paraId="7944735A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ARI range</w:t>
            </w:r>
          </w:p>
        </w:tc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56"/>
            </w:tblGrid>
            <w:tr w:rsidR="009A3583" w:rsidRPr="007E4D01" w14:paraId="6F939806" w14:textId="77777777" w:rsidTr="006F49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0A48B1" w14:textId="77777777" w:rsidR="009A3583" w:rsidRPr="007E4D01" w:rsidRDefault="009A3583" w:rsidP="006F490F">
                  <w:pPr>
                    <w:jc w:val="both"/>
                    <w:rPr>
                      <w:color w:val="000000"/>
                    </w:rPr>
                  </w:pPr>
                  <w:r w:rsidRPr="007E4D01">
                    <w:rPr>
                      <w:color w:val="000000"/>
                    </w:rPr>
                    <w:t>0.272–0.507</w:t>
                  </w:r>
                </w:p>
              </w:tc>
            </w:tr>
          </w:tbl>
          <w:p w14:paraId="0C3C0356" w14:textId="77777777" w:rsidR="009A3583" w:rsidRPr="007E4D01" w:rsidRDefault="009A3583" w:rsidP="006F490F">
            <w:pPr>
              <w:jc w:val="both"/>
              <w:rPr>
                <w:vanish/>
                <w:color w:val="000000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9A3583" w:rsidRPr="007E4D01" w14:paraId="674F2F07" w14:textId="77777777" w:rsidTr="006F49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58B61B" w14:textId="77777777" w:rsidR="009A3583" w:rsidRPr="007E4D01" w:rsidRDefault="009A3583" w:rsidP="006F490F">
                  <w:pPr>
                    <w:jc w:val="both"/>
                    <w:rPr>
                      <w:color w:val="000000"/>
                    </w:rPr>
                  </w:pPr>
                </w:p>
              </w:tc>
            </w:tr>
          </w:tbl>
          <w:p w14:paraId="63CC1E3F" w14:textId="77777777" w:rsidR="009A3583" w:rsidRDefault="009A3583" w:rsidP="006F490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Align w:val="center"/>
            <w:hideMark/>
          </w:tcPr>
          <w:p w14:paraId="28B136A6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0.247–0.504</w:t>
            </w:r>
          </w:p>
        </w:tc>
        <w:tc>
          <w:tcPr>
            <w:tcW w:w="0" w:type="auto"/>
            <w:vAlign w:val="center"/>
            <w:hideMark/>
          </w:tcPr>
          <w:p w14:paraId="318A3707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Community structure shows moderate agreement across methods.</w:t>
            </w:r>
          </w:p>
        </w:tc>
      </w:tr>
      <w:tr w:rsidR="009A3583" w14:paraId="0884E3D7" w14:textId="77777777" w:rsidTr="006F490F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758F3F40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Community agreement</w:t>
            </w:r>
          </w:p>
        </w:tc>
        <w:tc>
          <w:tcPr>
            <w:tcW w:w="0" w:type="auto"/>
            <w:vAlign w:val="center"/>
            <w:hideMark/>
          </w:tcPr>
          <w:p w14:paraId="137A62B4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NMI range</w:t>
            </w:r>
          </w:p>
        </w:tc>
        <w:tc>
          <w:tcPr>
            <w:tcW w:w="0" w:type="auto"/>
            <w:vAlign w:val="center"/>
            <w:hideMark/>
          </w:tcPr>
          <w:p w14:paraId="59294EF5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0.485–0.667</w:t>
            </w:r>
          </w:p>
        </w:tc>
        <w:tc>
          <w:tcPr>
            <w:tcW w:w="0" w:type="auto"/>
            <w:vAlign w:val="center"/>
            <w:hideMark/>
          </w:tcPr>
          <w:p w14:paraId="20C6F65B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0.456–0.641</w:t>
            </w:r>
          </w:p>
        </w:tc>
        <w:tc>
          <w:tcPr>
            <w:tcW w:w="0" w:type="auto"/>
            <w:vAlign w:val="center"/>
            <w:hideMark/>
          </w:tcPr>
          <w:p w14:paraId="0BE5C360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Modular organization converges more strongly than individual edges.</w:t>
            </w:r>
          </w:p>
        </w:tc>
      </w:tr>
      <w:tr w:rsidR="009A3583" w14:paraId="00B6A2D4" w14:textId="77777777" w:rsidTr="006F490F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6D2557CA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Weighted adjacency similarity</w:t>
            </w:r>
          </w:p>
        </w:tc>
        <w:tc>
          <w:tcPr>
            <w:tcW w:w="0" w:type="auto"/>
            <w:vAlign w:val="center"/>
            <w:hideMark/>
          </w:tcPr>
          <w:p w14:paraId="4CA5D26C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Spearman range</w:t>
            </w:r>
          </w:p>
        </w:tc>
        <w:tc>
          <w:tcPr>
            <w:tcW w:w="0" w:type="auto"/>
            <w:vAlign w:val="center"/>
            <w:hideMark/>
          </w:tcPr>
          <w:p w14:paraId="108664C2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0.191–0.471</w:t>
            </w:r>
          </w:p>
        </w:tc>
        <w:tc>
          <w:tcPr>
            <w:tcW w:w="0" w:type="auto"/>
            <w:vAlign w:val="center"/>
            <w:hideMark/>
          </w:tcPr>
          <w:p w14:paraId="0ED4330E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0.147–0.490</w:t>
            </w:r>
          </w:p>
        </w:tc>
        <w:tc>
          <w:tcPr>
            <w:tcW w:w="0" w:type="auto"/>
            <w:vAlign w:val="center"/>
            <w:hideMark/>
          </w:tcPr>
          <w:p w14:paraId="7DB76BFC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7E4D01">
              <w:rPr>
                <w:color w:val="000000"/>
              </w:rPr>
              <w:t>Even with differing edge sets, global weighted structure is concordant.</w:t>
            </w:r>
          </w:p>
        </w:tc>
      </w:tr>
      <w:tr w:rsidR="009A3583" w14:paraId="56E87F84" w14:textId="77777777" w:rsidTr="006F490F">
        <w:trPr>
          <w:tblCellSpacing w:w="15" w:type="dxa"/>
        </w:trPr>
        <w:tc>
          <w:tcPr>
            <w:tcW w:w="0" w:type="auto"/>
            <w:gridSpan w:val="6"/>
            <w:vAlign w:val="center"/>
          </w:tcPr>
          <w:p w14:paraId="7991514A" w14:textId="77777777" w:rsidR="009A3583" w:rsidRPr="00332C6D" w:rsidRDefault="009A3583" w:rsidP="006F490F">
            <w:pPr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14:paraId="3070C518" w14:textId="77777777" w:rsidR="009A3583" w:rsidRDefault="009A3583" w:rsidP="009A3583">
      <w:pPr>
        <w:pStyle w:val="Heading1"/>
        <w:jc w:val="both"/>
      </w:pPr>
    </w:p>
    <w:p w14:paraId="7145F0E6" w14:textId="77777777" w:rsidR="009A3583" w:rsidRDefault="009A3583" w:rsidP="009A3583">
      <w:pPr>
        <w:pStyle w:val="Heading1"/>
        <w:jc w:val="both"/>
      </w:pPr>
    </w:p>
    <w:p w14:paraId="233796D3" w14:textId="77777777" w:rsidR="009A3583" w:rsidRDefault="009A3583" w:rsidP="009A3583">
      <w:pPr>
        <w:pStyle w:val="Heading1"/>
        <w:jc w:val="both"/>
      </w:pPr>
    </w:p>
    <w:p w14:paraId="26A1EC74" w14:textId="77777777" w:rsidR="009A3583" w:rsidRDefault="009A3583" w:rsidP="009A3583">
      <w:pPr>
        <w:pStyle w:val="Heading1"/>
        <w:jc w:val="both"/>
      </w:pPr>
    </w:p>
    <w:p w14:paraId="2CF8E2C7" w14:textId="77777777" w:rsidR="009A3583" w:rsidRDefault="009A3583" w:rsidP="009A3583">
      <w:pPr>
        <w:pStyle w:val="Heading1"/>
        <w:jc w:val="both"/>
      </w:pPr>
    </w:p>
    <w:p w14:paraId="6320AE74" w14:textId="77777777" w:rsidR="009A3583" w:rsidRDefault="009A3583" w:rsidP="009A3583">
      <w:pPr>
        <w:pStyle w:val="Heading1"/>
        <w:jc w:val="both"/>
      </w:pPr>
    </w:p>
    <w:p w14:paraId="77D180E3" w14:textId="77777777" w:rsidR="009A3583" w:rsidRDefault="009A3583" w:rsidP="009A3583">
      <w:pPr>
        <w:pStyle w:val="Heading1"/>
        <w:jc w:val="both"/>
      </w:pPr>
    </w:p>
    <w:p w14:paraId="3B4A821F" w14:textId="77777777" w:rsidR="009A3583" w:rsidRDefault="009A3583" w:rsidP="009A3583">
      <w:pPr>
        <w:pStyle w:val="Heading1"/>
        <w:jc w:val="both"/>
      </w:pPr>
    </w:p>
    <w:p w14:paraId="346EAA44" w14:textId="77777777" w:rsidR="009A3583" w:rsidRDefault="009A3583" w:rsidP="009A3583">
      <w:pPr>
        <w:pStyle w:val="Heading1"/>
        <w:jc w:val="both"/>
      </w:pPr>
    </w:p>
    <w:p w14:paraId="1486C5BA" w14:textId="77777777" w:rsidR="009A3583" w:rsidRDefault="009A3583" w:rsidP="009A3583">
      <w:pPr>
        <w:pStyle w:val="Heading1"/>
        <w:jc w:val="both"/>
      </w:pPr>
    </w:p>
    <w:p w14:paraId="115C2DF1" w14:textId="77777777" w:rsidR="009A3583" w:rsidRDefault="009A3583" w:rsidP="009A3583">
      <w:pPr>
        <w:pStyle w:val="Heading1"/>
        <w:jc w:val="both"/>
      </w:pPr>
    </w:p>
    <w:p w14:paraId="185B20F7" w14:textId="77777777" w:rsidR="009A3583" w:rsidRDefault="009A3583" w:rsidP="009A3583">
      <w:pPr>
        <w:pStyle w:val="Heading1"/>
        <w:jc w:val="both"/>
      </w:pPr>
    </w:p>
    <w:p w14:paraId="7B0C4FDC" w14:textId="77777777" w:rsidR="009A3583" w:rsidRDefault="009A3583" w:rsidP="009A3583">
      <w:pPr>
        <w:pStyle w:val="Heading1"/>
        <w:jc w:val="both"/>
      </w:pPr>
    </w:p>
    <w:p w14:paraId="2260AA9A" w14:textId="77777777" w:rsidR="009A3583" w:rsidRDefault="009A3583" w:rsidP="009A3583">
      <w:pPr>
        <w:pStyle w:val="Heading1"/>
        <w:jc w:val="both"/>
      </w:pPr>
    </w:p>
    <w:p w14:paraId="717D9D33" w14:textId="77777777" w:rsidR="009A3583" w:rsidRDefault="009A3583" w:rsidP="009A3583">
      <w:pPr>
        <w:pStyle w:val="Heading1"/>
        <w:jc w:val="both"/>
      </w:pPr>
    </w:p>
    <w:p w14:paraId="7B04A3C3" w14:textId="77777777" w:rsidR="009A3583" w:rsidRDefault="009A3583" w:rsidP="009A3583">
      <w:pPr>
        <w:pStyle w:val="Heading1"/>
        <w:jc w:val="both"/>
      </w:pPr>
    </w:p>
    <w:p w14:paraId="7C0B61F4" w14:textId="77777777" w:rsidR="009A3583" w:rsidRDefault="009A3583" w:rsidP="009A3583">
      <w:pPr>
        <w:pStyle w:val="Heading1"/>
        <w:jc w:val="both"/>
      </w:pPr>
    </w:p>
    <w:p w14:paraId="5BB9C00E" w14:textId="77777777" w:rsidR="009A3583" w:rsidRDefault="009A3583" w:rsidP="009A3583">
      <w:pPr>
        <w:pStyle w:val="Heading1"/>
        <w:jc w:val="both"/>
      </w:pPr>
    </w:p>
    <w:p w14:paraId="0009C104" w14:textId="77777777" w:rsidR="009A3583" w:rsidRDefault="009A3583" w:rsidP="009A3583">
      <w:pPr>
        <w:pStyle w:val="Heading1"/>
        <w:jc w:val="both"/>
      </w:pPr>
    </w:p>
    <w:p w14:paraId="113E6776" w14:textId="77777777" w:rsidR="009A3583" w:rsidRDefault="009A3583" w:rsidP="009A3583">
      <w:pPr>
        <w:pStyle w:val="Heading1"/>
        <w:jc w:val="both"/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84"/>
        <w:gridCol w:w="1799"/>
        <w:gridCol w:w="966"/>
        <w:gridCol w:w="1098"/>
        <w:gridCol w:w="3776"/>
        <w:gridCol w:w="45"/>
      </w:tblGrid>
      <w:tr w:rsidR="009A3583" w:rsidRPr="00265AB6" w14:paraId="7B86C6F7" w14:textId="77777777" w:rsidTr="006F490F">
        <w:trPr>
          <w:tblHeader/>
          <w:tblCellSpacing w:w="15" w:type="dxa"/>
        </w:trPr>
        <w:tc>
          <w:tcPr>
            <w:tcW w:w="0" w:type="auto"/>
            <w:gridSpan w:val="6"/>
            <w:vAlign w:val="center"/>
          </w:tcPr>
          <w:p w14:paraId="2213C567" w14:textId="77777777" w:rsidR="009A3583" w:rsidRDefault="009A3583" w:rsidP="006F490F">
            <w:pPr>
              <w:jc w:val="both"/>
              <w:rPr>
                <w:color w:val="000000"/>
              </w:rPr>
            </w:pPr>
          </w:p>
          <w:p w14:paraId="6B88D601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Supplementary Table 5:</w:t>
            </w:r>
            <w:r w:rsidRPr="00840797">
              <w:t xml:space="preserve"> </w:t>
            </w:r>
            <w:r w:rsidRPr="00D327B9">
              <w:rPr>
                <w:color w:val="000000"/>
              </w:rPr>
              <w:t>Convergence summary for consensus edges and bridge/boundary organization</w:t>
            </w:r>
          </w:p>
        </w:tc>
      </w:tr>
      <w:tr w:rsidR="009A3583" w:rsidRPr="00265AB6" w14:paraId="221717B9" w14:textId="77777777" w:rsidTr="006F490F">
        <w:trPr>
          <w:gridAfter w:val="1"/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C8BF36E" w14:textId="77777777" w:rsidR="009A3583" w:rsidRDefault="009A3583" w:rsidP="006F490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Convergence target</w:t>
            </w:r>
          </w:p>
          <w:p w14:paraId="2006ACFD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9A3583" w:rsidRPr="00840797" w14:paraId="66283B15" w14:textId="77777777" w:rsidTr="006F49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271A49" w14:textId="77777777" w:rsidR="009A3583" w:rsidRPr="00840797" w:rsidRDefault="009A3583" w:rsidP="006F490F">
                  <w:pPr>
                    <w:jc w:val="both"/>
                    <w:rPr>
                      <w:color w:val="000000"/>
                    </w:rPr>
                  </w:pPr>
                </w:p>
              </w:tc>
            </w:tr>
          </w:tbl>
          <w:p w14:paraId="306F894B" w14:textId="77777777" w:rsidR="009A3583" w:rsidRPr="00840797" w:rsidRDefault="009A3583" w:rsidP="006F490F">
            <w:pPr>
              <w:jc w:val="both"/>
              <w:rPr>
                <w:vanish/>
                <w:color w:val="000000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83"/>
            </w:tblGrid>
            <w:tr w:rsidR="009A3583" w:rsidRPr="00840797" w14:paraId="1BE0F5F4" w14:textId="77777777" w:rsidTr="006F49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F2D4F8" w14:textId="77777777" w:rsidR="009A3583" w:rsidRPr="00840797" w:rsidRDefault="009A3583" w:rsidP="006F490F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840797">
                    <w:rPr>
                      <w:b/>
                      <w:bCs/>
                      <w:color w:val="000000"/>
                    </w:rPr>
                    <w:t>Metric</w:t>
                  </w:r>
                </w:p>
              </w:tc>
            </w:tr>
          </w:tbl>
          <w:p w14:paraId="20484C89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0ACF4C5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 w:rsidRPr="00840797">
              <w:rPr>
                <w:color w:val="000000"/>
              </w:rPr>
              <w:t>Cases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636EA9A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 w:rsidRPr="00840797">
              <w:rPr>
                <w:color w:val="000000"/>
              </w:rPr>
              <w:t>Controls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3D30943" w14:textId="77777777" w:rsidR="009A3583" w:rsidRPr="00265AB6" w:rsidRDefault="009A3583" w:rsidP="006F490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</w:t>
            </w:r>
            <w:r w:rsidRPr="00840797">
              <w:rPr>
                <w:color w:val="000000"/>
              </w:rPr>
              <w:t>nterpretation</w:t>
            </w:r>
          </w:p>
        </w:tc>
      </w:tr>
      <w:tr w:rsidR="009A3583" w14:paraId="5BF824E3" w14:textId="77777777" w:rsidTr="006F490F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6AF5D983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D327B9">
              <w:rPr>
                <w:color w:val="000000"/>
              </w:rPr>
              <w:t>Consensus edge set (≥2 methods)</w:t>
            </w:r>
          </w:p>
        </w:tc>
        <w:tc>
          <w:tcPr>
            <w:tcW w:w="0" w:type="auto"/>
            <w:vAlign w:val="center"/>
            <w:hideMark/>
          </w:tcPr>
          <w:p w14:paraId="74A67777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D327B9">
              <w:rPr>
                <w:color w:val="000000"/>
              </w:rPr>
              <w:t># edges retained</w:t>
            </w:r>
          </w:p>
        </w:tc>
        <w:tc>
          <w:tcPr>
            <w:tcW w:w="0" w:type="auto"/>
            <w:vAlign w:val="center"/>
            <w:hideMark/>
          </w:tcPr>
          <w:p w14:paraId="3141FA41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D327B9">
              <w:rPr>
                <w:color w:val="000000"/>
              </w:rPr>
              <w:t>19,355</w:t>
            </w:r>
          </w:p>
        </w:tc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9A3583" w:rsidRPr="00D327B9" w14:paraId="353ED743" w14:textId="77777777" w:rsidTr="006F49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2A6A5A" w14:textId="77777777" w:rsidR="009A3583" w:rsidRPr="00D327B9" w:rsidRDefault="009A3583" w:rsidP="006F490F">
                  <w:pPr>
                    <w:jc w:val="both"/>
                    <w:rPr>
                      <w:color w:val="000000"/>
                    </w:rPr>
                  </w:pPr>
                </w:p>
              </w:tc>
            </w:tr>
          </w:tbl>
          <w:p w14:paraId="46D4F3A4" w14:textId="77777777" w:rsidR="009A3583" w:rsidRPr="00D327B9" w:rsidRDefault="009A3583" w:rsidP="006F490F">
            <w:pPr>
              <w:jc w:val="both"/>
              <w:rPr>
                <w:vanish/>
                <w:color w:val="000000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50"/>
            </w:tblGrid>
            <w:tr w:rsidR="009A3583" w:rsidRPr="00D327B9" w14:paraId="266C2AD5" w14:textId="77777777" w:rsidTr="006F49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93AD4C" w14:textId="77777777" w:rsidR="009A3583" w:rsidRPr="00D327B9" w:rsidRDefault="009A3583" w:rsidP="006F490F">
                  <w:pPr>
                    <w:jc w:val="both"/>
                    <w:rPr>
                      <w:color w:val="000000"/>
                    </w:rPr>
                  </w:pPr>
                  <w:r w:rsidRPr="00D327B9">
                    <w:rPr>
                      <w:color w:val="000000"/>
                    </w:rPr>
                    <w:t>20,163</w:t>
                  </w:r>
                </w:p>
              </w:tc>
            </w:tr>
          </w:tbl>
          <w:p w14:paraId="1EB3E85A" w14:textId="77777777" w:rsidR="009A3583" w:rsidRDefault="009A3583" w:rsidP="006F490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Align w:val="center"/>
            <w:hideMark/>
          </w:tcPr>
          <w:p w14:paraId="76E5764B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D327B9">
              <w:rPr>
                <w:color w:val="000000"/>
              </w:rPr>
              <w:t>Core reproducible associations across inference strategies.</w:t>
            </w:r>
          </w:p>
        </w:tc>
      </w:tr>
      <w:tr w:rsidR="009A3583" w14:paraId="00B6FCD9" w14:textId="77777777" w:rsidTr="006F490F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59AC0C3A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D327B9">
              <w:rPr>
                <w:color w:val="000000"/>
              </w:rPr>
              <w:t>Consensus edge set (all 3 methods)</w:t>
            </w:r>
          </w:p>
        </w:tc>
        <w:tc>
          <w:tcPr>
            <w:tcW w:w="0" w:type="auto"/>
            <w:vAlign w:val="center"/>
            <w:hideMark/>
          </w:tcPr>
          <w:p w14:paraId="385DFF43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D327B9">
              <w:rPr>
                <w:color w:val="000000"/>
              </w:rPr>
              <w:t># edges retained</w:t>
            </w:r>
          </w:p>
        </w:tc>
        <w:tc>
          <w:tcPr>
            <w:tcW w:w="0" w:type="auto"/>
            <w:vAlign w:val="center"/>
            <w:hideMark/>
          </w:tcPr>
          <w:p w14:paraId="0916804A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D327B9">
              <w:rPr>
                <w:color w:val="000000"/>
              </w:rPr>
              <w:t>7,287</w:t>
            </w:r>
          </w:p>
        </w:tc>
        <w:tc>
          <w:tcPr>
            <w:tcW w:w="0" w:type="auto"/>
            <w:vAlign w:val="center"/>
            <w:hideMark/>
          </w:tcPr>
          <w:p w14:paraId="3F444D48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D327B9">
              <w:rPr>
                <w:color w:val="000000"/>
              </w:rPr>
              <w:t>6,602</w:t>
            </w:r>
          </w:p>
        </w:tc>
        <w:tc>
          <w:tcPr>
            <w:tcW w:w="0" w:type="auto"/>
            <w:vAlign w:val="center"/>
            <w:hideMark/>
          </w:tcPr>
          <w:p w14:paraId="3A55980D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D327B9">
              <w:rPr>
                <w:color w:val="000000"/>
              </w:rPr>
              <w:t>High-confidence subset supported by all constructions.</w:t>
            </w:r>
          </w:p>
        </w:tc>
      </w:tr>
      <w:tr w:rsidR="009A3583" w14:paraId="7C437677" w14:textId="77777777" w:rsidTr="006F490F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070EC74F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D327B9">
              <w:rPr>
                <w:color w:val="000000"/>
              </w:rPr>
              <w:t>Bridge-set overlap (≥2 modalities)</w:t>
            </w:r>
          </w:p>
        </w:tc>
        <w:tc>
          <w:tcPr>
            <w:tcW w:w="0" w:type="auto"/>
            <w:vAlign w:val="center"/>
            <w:hideMark/>
          </w:tcPr>
          <w:p w14:paraId="5D00D733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D327B9">
              <w:rPr>
                <w:color w:val="000000"/>
              </w:rPr>
              <w:t>Jaccard range across methods</w:t>
            </w:r>
          </w:p>
        </w:tc>
        <w:tc>
          <w:tcPr>
            <w:tcW w:w="0" w:type="auto"/>
            <w:vAlign w:val="center"/>
            <w:hideMark/>
          </w:tcPr>
          <w:p w14:paraId="044C9908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D327B9">
              <w:rPr>
                <w:color w:val="000000"/>
              </w:rPr>
              <w:t>0.689–0.893</w:t>
            </w:r>
          </w:p>
        </w:tc>
        <w:tc>
          <w:tcPr>
            <w:tcW w:w="0" w:type="auto"/>
            <w:vAlign w:val="center"/>
            <w:hideMark/>
          </w:tcPr>
          <w:p w14:paraId="09978D71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D327B9">
              <w:rPr>
                <w:color w:val="000000"/>
              </w:rPr>
              <w:t>0.710–0.855</w:t>
            </w:r>
          </w:p>
        </w:tc>
        <w:tc>
          <w:tcPr>
            <w:tcW w:w="0" w:type="auto"/>
            <w:vAlign w:val="center"/>
            <w:hideMark/>
          </w:tcPr>
          <w:p w14:paraId="1619F11C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D327B9">
              <w:rPr>
                <w:color w:val="000000"/>
              </w:rPr>
              <w:t>Cross-modal boundary organization is highly stable across methods.</w:t>
            </w:r>
          </w:p>
        </w:tc>
      </w:tr>
      <w:tr w:rsidR="009A3583" w14:paraId="4AA30AC9" w14:textId="77777777" w:rsidTr="006F490F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14:paraId="4324B562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D327B9">
              <w:rPr>
                <w:color w:val="000000"/>
              </w:rPr>
              <w:t>Bridge-set overlap (all 3 modalities)</w:t>
            </w:r>
          </w:p>
        </w:tc>
        <w:tc>
          <w:tcPr>
            <w:tcW w:w="0" w:type="auto"/>
            <w:vAlign w:val="center"/>
            <w:hideMark/>
          </w:tcPr>
          <w:p w14:paraId="724F37B5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D327B9">
              <w:rPr>
                <w:color w:val="000000"/>
              </w:rPr>
              <w:t>Jaccard range across methods</w:t>
            </w:r>
          </w:p>
        </w:tc>
        <w:tc>
          <w:tcPr>
            <w:tcW w:w="0" w:type="auto"/>
            <w:vAlign w:val="center"/>
            <w:hideMark/>
          </w:tcPr>
          <w:p w14:paraId="6419030D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D327B9">
              <w:rPr>
                <w:color w:val="000000"/>
              </w:rPr>
              <w:t>0.248–0.578</w:t>
            </w:r>
          </w:p>
        </w:tc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9A3583" w:rsidRPr="00D327B9" w14:paraId="727EA51D" w14:textId="77777777" w:rsidTr="006F49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9703EF" w14:textId="77777777" w:rsidR="009A3583" w:rsidRPr="00D327B9" w:rsidRDefault="009A3583" w:rsidP="006F490F">
                  <w:pPr>
                    <w:jc w:val="both"/>
                    <w:rPr>
                      <w:color w:val="000000"/>
                    </w:rPr>
                  </w:pPr>
                </w:p>
              </w:tc>
            </w:tr>
          </w:tbl>
          <w:p w14:paraId="7F9139B3" w14:textId="77777777" w:rsidR="009A3583" w:rsidRPr="00D327B9" w:rsidRDefault="009A3583" w:rsidP="006F490F">
            <w:pPr>
              <w:jc w:val="both"/>
              <w:rPr>
                <w:vanish/>
                <w:color w:val="000000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38"/>
            </w:tblGrid>
            <w:tr w:rsidR="009A3583" w:rsidRPr="00D327B9" w14:paraId="4881569D" w14:textId="77777777" w:rsidTr="006F490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5F8516" w14:textId="77777777" w:rsidR="009A3583" w:rsidRPr="00D327B9" w:rsidRDefault="009A3583" w:rsidP="006F490F">
                  <w:pPr>
                    <w:jc w:val="both"/>
                    <w:rPr>
                      <w:color w:val="000000"/>
                    </w:rPr>
                  </w:pPr>
                  <w:r w:rsidRPr="00D327B9">
                    <w:rPr>
                      <w:color w:val="000000"/>
                    </w:rPr>
                    <w:t>0.246–0.508</w:t>
                  </w:r>
                </w:p>
              </w:tc>
            </w:tr>
          </w:tbl>
          <w:p w14:paraId="24E492AA" w14:textId="77777777" w:rsidR="009A3583" w:rsidRDefault="009A3583" w:rsidP="006F490F">
            <w:pPr>
              <w:jc w:val="both"/>
              <w:rPr>
                <w:color w:val="000000"/>
              </w:rPr>
            </w:pPr>
          </w:p>
        </w:tc>
        <w:tc>
          <w:tcPr>
            <w:tcW w:w="0" w:type="auto"/>
            <w:vAlign w:val="center"/>
            <w:hideMark/>
          </w:tcPr>
          <w:p w14:paraId="6FDB4997" w14:textId="77777777" w:rsidR="009A3583" w:rsidRDefault="009A3583" w:rsidP="006F490F">
            <w:pPr>
              <w:jc w:val="both"/>
              <w:rPr>
                <w:color w:val="000000"/>
              </w:rPr>
            </w:pPr>
            <w:r w:rsidRPr="00D327B9">
              <w:rPr>
                <w:color w:val="000000"/>
              </w:rPr>
              <w:t>Tri-modal bridges show moderate stability.</w:t>
            </w:r>
          </w:p>
        </w:tc>
      </w:tr>
    </w:tbl>
    <w:p w14:paraId="6BE18E45" w14:textId="77777777" w:rsidR="009A3583" w:rsidRDefault="009A3583" w:rsidP="009A3583">
      <w:pPr>
        <w:pStyle w:val="Heading1"/>
        <w:jc w:val="both"/>
      </w:pPr>
    </w:p>
    <w:p w14:paraId="471BD152" w14:textId="77777777" w:rsidR="009A3583" w:rsidRDefault="009A3583" w:rsidP="009A3583">
      <w:pPr>
        <w:pStyle w:val="Heading1"/>
        <w:jc w:val="both"/>
      </w:pPr>
    </w:p>
    <w:p w14:paraId="113A1221" w14:textId="77777777" w:rsidR="009A3583" w:rsidRDefault="009A3583" w:rsidP="009A3583">
      <w:pPr>
        <w:pStyle w:val="Heading1"/>
        <w:jc w:val="both"/>
      </w:pPr>
    </w:p>
    <w:p w14:paraId="7BD63F92" w14:textId="77777777" w:rsidR="009A3583" w:rsidRDefault="009A3583" w:rsidP="009A3583">
      <w:pPr>
        <w:pStyle w:val="Heading1"/>
        <w:jc w:val="both"/>
      </w:pPr>
    </w:p>
    <w:p w14:paraId="6551BE18" w14:textId="77777777" w:rsidR="009A3583" w:rsidRDefault="009A3583" w:rsidP="009A3583">
      <w:pPr>
        <w:pStyle w:val="Heading1"/>
        <w:jc w:val="both"/>
      </w:pPr>
    </w:p>
    <w:p w14:paraId="0BF69AE1" w14:textId="77777777" w:rsidR="009A3583" w:rsidRDefault="009A3583" w:rsidP="009A3583">
      <w:pPr>
        <w:pStyle w:val="Heading1"/>
        <w:jc w:val="both"/>
      </w:pPr>
    </w:p>
    <w:p w14:paraId="0EA05C65" w14:textId="77777777" w:rsidR="009A3583" w:rsidRDefault="009A3583" w:rsidP="009A3583">
      <w:pPr>
        <w:pStyle w:val="Heading1"/>
        <w:jc w:val="both"/>
      </w:pPr>
    </w:p>
    <w:p w14:paraId="39053A13" w14:textId="77777777" w:rsidR="009A3583" w:rsidRDefault="009A3583" w:rsidP="009A3583">
      <w:pPr>
        <w:pStyle w:val="Heading1"/>
        <w:jc w:val="both"/>
      </w:pPr>
    </w:p>
    <w:p w14:paraId="1891CB43" w14:textId="77777777" w:rsidR="009A3583" w:rsidRDefault="009A3583" w:rsidP="009A3583">
      <w:pPr>
        <w:pStyle w:val="Heading1"/>
        <w:jc w:val="both"/>
      </w:pPr>
    </w:p>
    <w:p w14:paraId="2C2F9372" w14:textId="77777777" w:rsidR="009A3583" w:rsidRDefault="009A3583" w:rsidP="009A3583">
      <w:pPr>
        <w:pStyle w:val="Heading1"/>
        <w:jc w:val="both"/>
      </w:pPr>
    </w:p>
    <w:p w14:paraId="3838488B" w14:textId="77777777" w:rsidR="009A3583" w:rsidRDefault="009A3583" w:rsidP="009A3583">
      <w:pPr>
        <w:pStyle w:val="Heading1"/>
        <w:jc w:val="both"/>
      </w:pPr>
    </w:p>
    <w:p w14:paraId="6243C4F3" w14:textId="77777777" w:rsidR="009A3583" w:rsidRDefault="009A3583" w:rsidP="009A3583">
      <w:pPr>
        <w:pStyle w:val="Heading1"/>
        <w:jc w:val="both"/>
      </w:pPr>
    </w:p>
    <w:p w14:paraId="5CE790EB" w14:textId="77777777" w:rsidR="009A3583" w:rsidRDefault="009A3583" w:rsidP="009A3583">
      <w:pPr>
        <w:pStyle w:val="Heading1"/>
        <w:jc w:val="both"/>
      </w:pPr>
    </w:p>
    <w:p w14:paraId="3AAF5DC4" w14:textId="77777777" w:rsidR="009A3583" w:rsidRDefault="009A3583" w:rsidP="009A3583">
      <w:pPr>
        <w:pStyle w:val="Heading1"/>
        <w:jc w:val="both"/>
      </w:pPr>
    </w:p>
    <w:p w14:paraId="74ACEC3C" w14:textId="77777777" w:rsidR="009A3583" w:rsidRDefault="009A3583" w:rsidP="009A3583">
      <w:pPr>
        <w:pStyle w:val="Heading1"/>
        <w:jc w:val="both"/>
      </w:pPr>
    </w:p>
    <w:p w14:paraId="28EFB74E" w14:textId="77777777" w:rsidR="009A3583" w:rsidRDefault="009A3583" w:rsidP="009A3583">
      <w:pPr>
        <w:pStyle w:val="Heading1"/>
        <w:jc w:val="both"/>
      </w:pPr>
    </w:p>
    <w:p w14:paraId="0F57E868" w14:textId="77777777" w:rsidR="009A3583" w:rsidRDefault="009A3583" w:rsidP="009A3583">
      <w:pPr>
        <w:pStyle w:val="Heading1"/>
        <w:jc w:val="both"/>
      </w:pPr>
    </w:p>
    <w:p w14:paraId="3A7B92AE" w14:textId="77777777" w:rsidR="009A3583" w:rsidRDefault="009A3583" w:rsidP="009A3583">
      <w:pPr>
        <w:pStyle w:val="Heading1"/>
        <w:jc w:val="both"/>
      </w:pPr>
    </w:p>
    <w:p w14:paraId="31B70031" w14:textId="77777777" w:rsidR="009A3583" w:rsidRDefault="009A3583" w:rsidP="009A3583">
      <w:pPr>
        <w:pStyle w:val="Heading1"/>
        <w:jc w:val="both"/>
      </w:pPr>
    </w:p>
    <w:p w14:paraId="548F2F9E" w14:textId="77777777" w:rsidR="009A3583" w:rsidRDefault="009A3583" w:rsidP="009A3583">
      <w:pPr>
        <w:pStyle w:val="Heading1"/>
        <w:jc w:val="both"/>
      </w:pPr>
    </w:p>
    <w:p w14:paraId="142295BF" w14:textId="77777777" w:rsidR="009A3583" w:rsidRDefault="009A3583" w:rsidP="009A3583">
      <w:pPr>
        <w:pStyle w:val="Heading1"/>
        <w:jc w:val="both"/>
      </w:pPr>
    </w:p>
    <w:p w14:paraId="0DD76F98" w14:textId="77777777" w:rsidR="009A3583" w:rsidRDefault="009A3583" w:rsidP="009A3583">
      <w:pPr>
        <w:pStyle w:val="Heading1"/>
        <w:jc w:val="both"/>
      </w:pPr>
    </w:p>
    <w:p w14:paraId="1CE0DE55" w14:textId="77777777" w:rsidR="009A3583" w:rsidRDefault="009A3583" w:rsidP="009A3583">
      <w:pPr>
        <w:pStyle w:val="Heading1"/>
        <w:jc w:val="both"/>
      </w:pPr>
    </w:p>
    <w:p w14:paraId="79BE1A9F" w14:textId="77777777" w:rsidR="009A3583" w:rsidRPr="00F50284" w:rsidRDefault="009A3583" w:rsidP="009A3583">
      <w:pPr>
        <w:pStyle w:val="Heading1"/>
        <w:rPr>
          <w:i/>
          <w:iCs/>
          <w:sz w:val="24"/>
          <w:szCs w:val="24"/>
        </w:rPr>
      </w:pPr>
      <w:r w:rsidRPr="00F50284">
        <w:rPr>
          <w:sz w:val="24"/>
          <w:szCs w:val="24"/>
        </w:rPr>
        <w:t>Figure S6. Baseline multimodal networks from block-scaled early-fusion PCA (cases vs controls) across three inference strategies.</w:t>
      </w:r>
      <w:r w:rsidRPr="00F50284">
        <w:rPr>
          <w:sz w:val="24"/>
          <w:szCs w:val="24"/>
        </w:rPr>
        <w:br/>
      </w:r>
      <w:r w:rsidRPr="00F50284">
        <w:rPr>
          <w:i/>
          <w:iCs/>
          <w:sz w:val="24"/>
          <w:szCs w:val="24"/>
        </w:rPr>
        <w:t>(loading-cosine, shared-signal correlation, and kNN–Louvain; pruned for readability; node modality inferred from fusion loadings when prefixes are absent).</w:t>
      </w:r>
    </w:p>
    <w:p w14:paraId="0D104B5D" w14:textId="77777777" w:rsidR="009A3583" w:rsidRPr="00F50284" w:rsidRDefault="009A3583" w:rsidP="009A3583">
      <w:pPr>
        <w:pStyle w:val="Heading1"/>
        <w:jc w:val="both"/>
        <w:rPr>
          <w:sz w:val="24"/>
          <w:szCs w:val="24"/>
        </w:rPr>
      </w:pPr>
      <w:r w:rsidRPr="00F50284">
        <w:rPr>
          <w:noProof/>
          <w:sz w:val="24"/>
          <w:szCs w:val="24"/>
        </w:rPr>
        <w:lastRenderedPageBreak/>
        <w:drawing>
          <wp:inline distT="0" distB="0" distL="0" distR="0" wp14:anchorId="2464BF50" wp14:editId="480C242C">
            <wp:extent cx="6135019" cy="7124617"/>
            <wp:effectExtent l="0" t="0" r="0" b="635"/>
            <wp:docPr id="11314572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457286" name="Picture 113145728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8293" cy="7128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7DD2A" w14:textId="77777777" w:rsidR="009A3583" w:rsidRPr="00F50284" w:rsidRDefault="009A3583" w:rsidP="009A3583">
      <w:pPr>
        <w:pStyle w:val="Heading1"/>
        <w:jc w:val="both"/>
        <w:rPr>
          <w:sz w:val="24"/>
          <w:szCs w:val="24"/>
        </w:rPr>
      </w:pPr>
    </w:p>
    <w:p w14:paraId="255C7ECF" w14:textId="77777777" w:rsidR="009A3583" w:rsidRPr="00F50284" w:rsidRDefault="009A3583" w:rsidP="009A3583">
      <w:pPr>
        <w:pStyle w:val="Heading1"/>
        <w:jc w:val="both"/>
        <w:rPr>
          <w:sz w:val="24"/>
          <w:szCs w:val="24"/>
        </w:rPr>
      </w:pPr>
    </w:p>
    <w:p w14:paraId="687989E9" w14:textId="77777777" w:rsidR="009A3583" w:rsidRPr="00F50284" w:rsidRDefault="009A3583" w:rsidP="009A3583">
      <w:pPr>
        <w:pStyle w:val="Heading1"/>
        <w:jc w:val="both"/>
        <w:rPr>
          <w:sz w:val="24"/>
          <w:szCs w:val="24"/>
        </w:rPr>
      </w:pPr>
    </w:p>
    <w:p w14:paraId="19ACB120" w14:textId="77777777" w:rsidR="009A3583" w:rsidRPr="00F50284" w:rsidRDefault="009A3583" w:rsidP="009A3583">
      <w:pPr>
        <w:pStyle w:val="Heading1"/>
        <w:jc w:val="both"/>
        <w:rPr>
          <w:sz w:val="24"/>
          <w:szCs w:val="24"/>
        </w:rPr>
      </w:pPr>
    </w:p>
    <w:p w14:paraId="1113C74F" w14:textId="77777777" w:rsidR="009A3583" w:rsidRPr="00F50284" w:rsidRDefault="009A3583" w:rsidP="009A3583">
      <w:pPr>
        <w:pStyle w:val="Heading1"/>
        <w:jc w:val="both"/>
        <w:rPr>
          <w:sz w:val="24"/>
          <w:szCs w:val="24"/>
        </w:rPr>
      </w:pPr>
    </w:p>
    <w:p w14:paraId="3ED1DB65" w14:textId="77777777" w:rsidR="009A3583" w:rsidRPr="00F50284" w:rsidRDefault="009A3583" w:rsidP="009A3583">
      <w:pPr>
        <w:pStyle w:val="Heading1"/>
        <w:jc w:val="both"/>
        <w:rPr>
          <w:sz w:val="24"/>
          <w:szCs w:val="24"/>
        </w:rPr>
      </w:pPr>
    </w:p>
    <w:p w14:paraId="13DA864A" w14:textId="77777777" w:rsidR="009A3583" w:rsidRPr="00F50284" w:rsidRDefault="009A3583" w:rsidP="009A3583">
      <w:pPr>
        <w:pStyle w:val="Heading1"/>
        <w:jc w:val="both"/>
        <w:rPr>
          <w:sz w:val="24"/>
          <w:szCs w:val="24"/>
        </w:rPr>
      </w:pPr>
    </w:p>
    <w:p w14:paraId="415E7B22" w14:textId="77777777" w:rsidR="009A3583" w:rsidRPr="00F50284" w:rsidRDefault="009A3583" w:rsidP="009A3583">
      <w:pPr>
        <w:pStyle w:val="Heading1"/>
        <w:jc w:val="both"/>
        <w:rPr>
          <w:sz w:val="24"/>
          <w:szCs w:val="24"/>
        </w:rPr>
      </w:pPr>
      <w:r w:rsidRPr="00F50284">
        <w:rPr>
          <w:sz w:val="24"/>
          <w:szCs w:val="24"/>
        </w:rPr>
        <w:t>Figure S7. Sensitivity analysis: multimodal networks after removing time/timepoint-derived serology features, showing preserved serology anchoring and stable nstwork structure.</w:t>
      </w:r>
      <w:r w:rsidRPr="00F50284">
        <w:rPr>
          <w:sz w:val="24"/>
          <w:szCs w:val="24"/>
        </w:rPr>
        <w:br/>
      </w:r>
      <w:r w:rsidRPr="00F50284">
        <w:rPr>
          <w:i/>
          <w:iCs/>
          <w:sz w:val="24"/>
          <w:szCs w:val="24"/>
        </w:rPr>
        <w:t>(same three inference strategies and visualization settings as baseline; cases vs controls; pruned for readability).</w:t>
      </w:r>
    </w:p>
    <w:p w14:paraId="60A68E4F" w14:textId="77777777" w:rsidR="009A3583" w:rsidRDefault="009A3583" w:rsidP="009A3583">
      <w:pPr>
        <w:pStyle w:val="Heading1"/>
        <w:jc w:val="both"/>
      </w:pPr>
    </w:p>
    <w:p w14:paraId="70AE470F" w14:textId="77777777" w:rsidR="009A3583" w:rsidRDefault="009A3583" w:rsidP="009A3583">
      <w:pPr>
        <w:pStyle w:val="Heading1"/>
        <w:jc w:val="both"/>
      </w:pPr>
      <w:r>
        <w:rPr>
          <w:noProof/>
        </w:rPr>
        <w:drawing>
          <wp:inline distT="0" distB="0" distL="0" distR="0" wp14:anchorId="14D48A19" wp14:editId="38C299F4">
            <wp:extent cx="6070479" cy="7049666"/>
            <wp:effectExtent l="0" t="0" r="635" b="0"/>
            <wp:docPr id="150368340" name="Picture 3" descr="A diagram of a network  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68340" name="Picture 3" descr="A diagram of a network  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7525" cy="7057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90CE6" w14:textId="77777777" w:rsidR="009A3583" w:rsidRDefault="009A3583" w:rsidP="009A3583">
      <w:pPr>
        <w:pStyle w:val="Heading1"/>
        <w:jc w:val="both"/>
      </w:pPr>
    </w:p>
    <w:p w14:paraId="4FA0B689" w14:textId="77777777" w:rsidR="009A3583" w:rsidRDefault="009A3583" w:rsidP="009A3583">
      <w:pPr>
        <w:pStyle w:val="Heading1"/>
        <w:jc w:val="both"/>
      </w:pPr>
    </w:p>
    <w:p w14:paraId="63877D95" w14:textId="77777777" w:rsidR="009A3583" w:rsidRDefault="009A3583" w:rsidP="009A3583">
      <w:pPr>
        <w:pStyle w:val="Heading1"/>
        <w:jc w:val="both"/>
      </w:pPr>
    </w:p>
    <w:p w14:paraId="5FE9B8D5" w14:textId="77777777" w:rsidR="009A3583" w:rsidRDefault="009A3583" w:rsidP="009A3583">
      <w:pPr>
        <w:pStyle w:val="Heading1"/>
        <w:jc w:val="both"/>
      </w:pPr>
    </w:p>
    <w:p w14:paraId="1E79442C" w14:textId="77777777" w:rsidR="00E023F9" w:rsidRDefault="00E023F9"/>
    <w:sectPr w:rsidR="00E023F9" w:rsidSect="009A3583">
      <w:headerReference w:type="default" r:id="rId6"/>
      <w:pgSz w:w="11910" w:h="16840"/>
      <w:pgMar w:top="1300" w:right="425" w:bottom="280" w:left="1417" w:header="695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-webkit-standard">
    <w:altName w:val="Cambria"/>
    <w:charset w:val="00"/>
    <w:family w:val="roman"/>
    <w:pitch w:val="default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5D68FF" w14:textId="77777777" w:rsidR="009A3583" w:rsidRDefault="009A3583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38D52A7" wp14:editId="0FA8C556">
              <wp:simplePos x="0" y="0"/>
              <wp:positionH relativeFrom="page">
                <wp:posOffset>5302516</wp:posOffset>
              </wp:positionH>
              <wp:positionV relativeFrom="page">
                <wp:posOffset>428590</wp:posOffset>
              </wp:positionV>
              <wp:extent cx="217804" cy="1803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804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C98FA50" w14:textId="77777777" w:rsidR="009A3583" w:rsidRDefault="009A3583"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8D52A7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17.5pt;margin-top:33.75pt;width:17.15pt;height:14.2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" filled="f" stroked="f">
              <v:textbox inset="0,0,0,0">
                <w:txbxContent>
                  <w:p w14:paraId="1C98FA50" w14:textId="77777777" w:rsidR="009A3583" w:rsidRDefault="009A3583">
                    <w:pPr>
                      <w:pStyle w:val="BodyText"/>
                      <w:spacing w:before="11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583"/>
    <w:rsid w:val="000C4033"/>
    <w:rsid w:val="004B42CB"/>
    <w:rsid w:val="005F2B46"/>
    <w:rsid w:val="006E1731"/>
    <w:rsid w:val="00705008"/>
    <w:rsid w:val="009A3583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B047C"/>
  <w15:chartTrackingRefBased/>
  <w15:docId w15:val="{F186C25B-8F3B-4C36-9B3F-E016DB194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3583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358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358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358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358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358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358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358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358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358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35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35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35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35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35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35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35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35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35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358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A35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358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A35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358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A35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358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A35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35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35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3583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9A3583"/>
  </w:style>
  <w:style w:type="character" w:customStyle="1" w:styleId="BodyTextChar">
    <w:name w:val="Body Text Char"/>
    <w:basedOn w:val="DefaultParagraphFont"/>
    <w:link w:val="BodyText"/>
    <w:uiPriority w:val="1"/>
    <w:rsid w:val="009A3583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9A3583"/>
    <w:pPr>
      <w:spacing w:before="3" w:line="19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1152</Words>
  <Characters>7792</Characters>
  <Application>Microsoft Office Word</Application>
  <DocSecurity>0</DocSecurity>
  <Lines>190</Lines>
  <Paragraphs>65</Paragraphs>
  <ScaleCrop>false</ScaleCrop>
  <Company/>
  <LinksUpToDate>false</LinksUpToDate>
  <CharactersWithSpaces>8879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2026-03-18T07:30:00Z</dcterms:created>
  <dcterms:modified xsi:type="dcterms:W3CDTF">2026-03-18T07:30:00Z</dcterms:modified>
</cp:coreProperties>
</file>