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762" w:tblpY="2818"/>
        <w:tblOverlap w:val="never"/>
        <w:tblW w:w="100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580"/>
        <w:gridCol w:w="2670"/>
        <w:gridCol w:w="2250"/>
        <w:gridCol w:w="2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0" w:type="dxa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Group</w:t>
            </w:r>
          </w:p>
        </w:tc>
        <w:tc>
          <w:tcPr>
            <w:tcW w:w="580" w:type="dxa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n</w:t>
            </w:r>
          </w:p>
        </w:tc>
        <w:tc>
          <w:tcPr>
            <w:tcW w:w="2670" w:type="dxa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jc w:val="center"/>
              <w:outlineLvl w:val="9"/>
              <w:rPr>
                <w:rFonts w:hint="eastAsia" w:ascii="Times New Roman" w:hAnsi="Times New Roman" w:cs="Times New Roman"/>
                <w:b w:val="0"/>
                <w:i w:val="0"/>
                <w:cap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olumes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1(V1)</w:t>
            </w:r>
          </w:p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  <w:t>x±s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250" w:type="dxa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olumes</w:t>
            </w:r>
            <w:r>
              <w:rPr>
                <w:rFonts w:hint="eastAsia" w:ascii="Times New Roman" w:hAnsi="Times New Roman" w:cs="Times New Roman"/>
                <w:b w:val="0"/>
                <w:i w:val="0"/>
                <w:caps w:val="0"/>
                <w:color w:val="000000" w:themeColor="text1"/>
                <w:spacing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2(V2)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  <w:t>x±s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500" w:type="dxa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V1-V2</w:t>
            </w:r>
          </w:p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</w:rPr>
              <w:t>x±s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40" w:type="dxa"/>
            <w:tcBorders>
              <w:top w:val="single" w:color="auto" w:sz="4" w:space="0"/>
            </w:tcBorders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Model</w:t>
            </w:r>
          </w:p>
        </w:tc>
        <w:tc>
          <w:tcPr>
            <w:tcW w:w="580" w:type="dxa"/>
            <w:tcBorders>
              <w:top w:val="single" w:color="auto" w:sz="4" w:space="0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670" w:type="dxa"/>
            <w:tcBorders>
              <w:top w:val="single" w:color="auto" w:sz="4" w:space="0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21.3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color="000000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11.0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250" w:type="dxa"/>
            <w:tcBorders>
              <w:top w:val="single" w:color="auto" w:sz="4" w:space="0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26.01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color="000000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20.90</w:t>
            </w:r>
          </w:p>
        </w:tc>
        <w:tc>
          <w:tcPr>
            <w:tcW w:w="2500" w:type="dxa"/>
            <w:tcBorders>
              <w:top w:val="single" w:color="auto" w:sz="4" w:space="0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-4.63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color="000000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15.15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2040" w:type="dxa"/>
            <w:tcBorders>
              <w:tl2br w:val="nil"/>
              <w:tr2bl w:val="nil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ELC high group</w:t>
            </w:r>
          </w:p>
        </w:tc>
        <w:tc>
          <w:tcPr>
            <w:tcW w:w="580" w:type="dxa"/>
            <w:tcBorders>
              <w:tl2br w:val="nil"/>
              <w:tr2bl w:val="nil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670" w:type="dxa"/>
            <w:tcBorders>
              <w:tl2br w:val="nil"/>
              <w:tr2bl w:val="nil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24.35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color="000000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20.66</w:t>
            </w:r>
          </w:p>
        </w:tc>
        <w:tc>
          <w:tcPr>
            <w:tcW w:w="2250" w:type="dxa"/>
            <w:tcBorders>
              <w:tl2br w:val="nil"/>
              <w:tr2bl w:val="nil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9.99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color="000000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10.2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500" w:type="dxa"/>
            <w:tcBorders>
              <w:tl2br w:val="nil"/>
              <w:tr2bl w:val="nil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14.3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color="000000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21.019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040" w:type="dxa"/>
            <w:tcBorders>
              <w:tl2br w:val="nil"/>
              <w:tr2bl w:val="nil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ELC middle group</w:t>
            </w:r>
          </w:p>
        </w:tc>
        <w:tc>
          <w:tcPr>
            <w:tcW w:w="580" w:type="dxa"/>
            <w:tcBorders>
              <w:tl2br w:val="nil"/>
              <w:tr2bl w:val="nil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670" w:type="dxa"/>
            <w:tcBorders>
              <w:tl2br w:val="nil"/>
              <w:tr2bl w:val="nil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36.95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color="000000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19.87</w:t>
            </w:r>
          </w:p>
        </w:tc>
        <w:tc>
          <w:tcPr>
            <w:tcW w:w="2250" w:type="dxa"/>
            <w:tcBorders>
              <w:tl2br w:val="nil"/>
              <w:tr2bl w:val="nil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bookmarkStart w:id="0" w:name="OLE_LINK186"/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15.56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color="000000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8.8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  <w:bookmarkEnd w:id="0"/>
          </w:p>
        </w:tc>
        <w:tc>
          <w:tcPr>
            <w:tcW w:w="2500" w:type="dxa"/>
            <w:tcBorders>
              <w:tl2br w:val="nil"/>
              <w:tr2bl w:val="nil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21.3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color="000000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20.1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2040" w:type="dxa"/>
            <w:tcBorders>
              <w:bottom w:val="single" w:color="auto" w:sz="8" w:space="0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ELC low group</w:t>
            </w:r>
          </w:p>
        </w:tc>
        <w:tc>
          <w:tcPr>
            <w:tcW w:w="580" w:type="dxa"/>
            <w:tcBorders>
              <w:bottom w:val="single" w:color="auto" w:sz="8" w:space="0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670" w:type="dxa"/>
            <w:tcBorders>
              <w:bottom w:val="single" w:color="auto" w:sz="8" w:space="0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24.0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color="000000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19.8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250" w:type="dxa"/>
            <w:tcBorders>
              <w:bottom w:val="single" w:color="auto" w:sz="8" w:space="0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22.6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color="000000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23.97</w:t>
            </w:r>
          </w:p>
        </w:tc>
        <w:tc>
          <w:tcPr>
            <w:tcW w:w="2500" w:type="dxa"/>
            <w:tcBorders>
              <w:bottom w:val="single" w:color="auto" w:sz="8" w:space="0"/>
            </w:tcBorders>
          </w:tcPr>
          <w:p>
            <w:pPr>
              <w:jc w:val="center"/>
              <w:outlineLvl w:val="9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1.3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u w:color="000000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</w:rPr>
              <w:t>6.38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</w:pPr>
      <w:bookmarkStart w:id="1" w:name="OLE_LINK2"/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1C1D1E"/>
          <w:spacing w:val="0"/>
          <w:sz w:val="24"/>
          <w:szCs w:val="24"/>
          <w:highlight w:val="none"/>
          <w:shd w:val="clear" w:fill="FFFFFF"/>
          <w:lang w:val="en-US" w:eastAsia="zh-CN"/>
        </w:rPr>
        <w:t>Supplementary material 3</w:t>
      </w:r>
      <w:bookmarkEnd w:id="1"/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1C1D1E"/>
          <w:spacing w:val="0"/>
          <w:sz w:val="24"/>
          <w:szCs w:val="24"/>
          <w:highlight w:val="none"/>
          <w:shd w:val="clear" w:fill="FFFFFF"/>
          <w:lang w:val="en-US" w:eastAsia="zh-CN"/>
        </w:rPr>
        <w:t>: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1C1D1E"/>
          <w:spacing w:val="0"/>
          <w:sz w:val="24"/>
          <w:szCs w:val="24"/>
          <w:highlight w:val="none"/>
          <w:shd w:val="clear" w:fill="FFFFFF"/>
          <w:lang w:val="en-US" w:eastAsia="zh-CN"/>
        </w:rPr>
        <w:t>The c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E3033"/>
          <w:spacing w:val="0"/>
          <w:sz w:val="24"/>
          <w:szCs w:val="24"/>
          <w:shd w:val="clear" w:fill="FFFFFF"/>
        </w:rPr>
        <w:t xml:space="preserve">omparison of lesion volume between 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>endometriosis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E3033"/>
          <w:spacing w:val="0"/>
          <w:sz w:val="24"/>
          <w:szCs w:val="24"/>
          <w:shd w:val="clear" w:fill="FFFFFF"/>
        </w:rPr>
        <w:t xml:space="preserve"> model rats before and after 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>treatment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i w:val="0"/>
          <w:caps w:val="0"/>
          <w:color w:val="000000" w:themeColor="text1"/>
          <w:spacing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cs="Times New Roman"/>
          <w:b w:val="0"/>
          <w:i w:val="0"/>
          <w:caps w:val="0"/>
          <w:color w:val="000000" w:themeColor="text1"/>
          <w:spacing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i w:val="0"/>
          <w:caps w:val="0"/>
          <w:color w:val="000000" w:themeColor="text1"/>
          <w:spacing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V</w:t>
      </w:r>
      <w:r>
        <w:rPr>
          <w:rFonts w:hint="default" w:ascii="Times New Roman" w:hAnsi="Times New Roman" w:cs="Times New Roman"/>
          <w:b w:val="0"/>
          <w:i w:val="0"/>
          <w:caps w:val="0"/>
          <w:color w:val="000000" w:themeColor="text1"/>
          <w:spacing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olumes</w:t>
      </w:r>
      <w:r>
        <w:rPr>
          <w:rFonts w:hint="eastAsia" w:ascii="Times New Roman" w:hAnsi="Times New Roman" w:cs="Times New Roman"/>
          <w:b w:val="0"/>
          <w:i w:val="0"/>
          <w:caps w:val="0"/>
          <w:color w:val="000000" w:themeColor="text1"/>
          <w:spacing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1(V1):before treatment,V</w:t>
      </w:r>
      <w:r>
        <w:rPr>
          <w:rFonts w:hint="default" w:ascii="Times New Roman" w:hAnsi="Times New Roman" w:cs="Times New Roman"/>
          <w:b w:val="0"/>
          <w:i w:val="0"/>
          <w:caps w:val="0"/>
          <w:color w:val="000000" w:themeColor="text1"/>
          <w:spacing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olumes</w:t>
      </w:r>
      <w:r>
        <w:rPr>
          <w:rFonts w:hint="eastAsia" w:ascii="Times New Roman" w:hAnsi="Times New Roman" w:cs="Times New Roman"/>
          <w:b w:val="0"/>
          <w:i w:val="0"/>
          <w:caps w:val="0"/>
          <w:color w:val="000000" w:themeColor="text1"/>
          <w:spacing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2(V2):after treatment.</w:t>
      </w:r>
      <w:bookmarkStart w:id="2" w:name="OLE_LINK83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cs="Times New Roman"/>
          <w:b w:val="0"/>
          <w:i w:val="0"/>
          <w:caps w:val="0"/>
          <w:color w:val="000000" w:themeColor="text1"/>
          <w:spacing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000000" w:themeColor="text1"/>
          <w:spacing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The volume co</w:t>
      </w:r>
      <w:bookmarkEnd w:id="2"/>
      <w:r>
        <w:rPr>
          <w:rFonts w:hint="default" w:ascii="Times New Roman" w:hAnsi="Times New Roman" w:cs="Times New Roman"/>
          <w:b w:val="0"/>
          <w:i w:val="0"/>
          <w:caps w:val="0"/>
          <w:color w:val="000000" w:themeColor="text1"/>
          <w:spacing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mparison after </w:t>
      </w:r>
      <w:r>
        <w:rPr>
          <w:rFonts w:hint="eastAsia" w:ascii="Times New Roman" w:hAnsi="Times New Roman" w:cs="Times New Roman"/>
          <w:b w:val="0"/>
          <w:i w:val="0"/>
          <w:caps w:val="0"/>
          <w:color w:val="000000" w:themeColor="text1"/>
          <w:spacing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ELC treatment showed that ELC</w:t>
      </w:r>
      <w:r>
        <w:rPr>
          <w:rFonts w:hint="default" w:ascii="Times New Roman" w:hAnsi="Times New Roman" w:cs="Times New Roman"/>
          <w:b w:val="0"/>
          <w:i w:val="0"/>
          <w:caps w:val="0"/>
          <w:color w:val="000000" w:themeColor="text1"/>
          <w:spacing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b w:val="0"/>
          <w:i w:val="0"/>
          <w:caps w:val="0"/>
          <w:color w:val="000000" w:themeColor="text1"/>
          <w:spacing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could</w:t>
      </w:r>
      <w:r>
        <w:rPr>
          <w:rFonts w:hint="default" w:ascii="Times New Roman" w:hAnsi="Times New Roman" w:cs="Times New Roman"/>
          <w:b w:val="0"/>
          <w:i w:val="0"/>
          <w:caps w:val="0"/>
          <w:color w:val="000000" w:themeColor="text1"/>
          <w:spacing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reduce the volume of lesions in endometriosis model rat</w:t>
      </w:r>
      <w:bookmarkStart w:id="3" w:name="OLE_LINK51"/>
      <w:r>
        <w:rPr>
          <w:rFonts w:hint="default" w:ascii="Times New Roman" w:hAnsi="Times New Roman" w:cs="Times New Roman"/>
          <w:b w:val="0"/>
          <w:i w:val="0"/>
          <w:caps w:val="0"/>
          <w:color w:val="000000" w:themeColor="text1"/>
          <w:spacing w:val="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s.</w:t>
      </w:r>
      <w:r>
        <w:rPr>
          <w:rFonts w:hint="default" w:ascii="Times New Roman" w:hAnsi="Times New Roman" w:eastAsia="Georgia" w:cs="Times New Roman"/>
          <w:i w:val="0"/>
          <w:caps w:val="0"/>
          <w:color w:val="333333"/>
          <w:spacing w:val="0"/>
          <w:sz w:val="24"/>
          <w:szCs w:val="24"/>
          <w:highlight w:val="none"/>
          <w:shd w:val="clear" w:fill="FFFFFF"/>
        </w:rPr>
        <w:t>Data are presented as mean ± </w:t>
      </w:r>
      <w:r>
        <w:rPr>
          <w:rFonts w:hint="eastAsia" w:ascii="Times New Roman" w:hAnsi="Times New Roman" w:eastAsia="宋体" w:cs="Times New Roman"/>
          <w:i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  <w:t>SD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(n=</w:t>
      </w:r>
      <w:r>
        <w:rPr>
          <w:rFonts w:hint="eastAsia" w:ascii="Times New Roman" w:hAnsi="Times New Roman" w:eastAsia="宋体" w:cs="Times New Roman"/>
          <w:sz w:val="24"/>
          <w:szCs w:val="24"/>
          <w:highlight w:val="none"/>
          <w:lang w:val="en-US" w:eastAsia="zh-CN"/>
        </w:rPr>
        <w:t>10</w:t>
      </w:r>
      <w:r>
        <w:rPr>
          <w:rFonts w:hint="default" w:ascii="Times New Roman" w:hAnsi="Times New Roman" w:eastAsia="宋体" w:cs="Times New Roman"/>
          <w:sz w:val="24"/>
          <w:szCs w:val="24"/>
          <w:highlight w:val="none"/>
        </w:rPr>
        <w:t>)</w:t>
      </w:r>
      <w:r>
        <w:rPr>
          <w:rFonts w:hint="eastAsia" w:ascii="Times New Roman" w:hAnsi="Times New Roman" w:eastAsia="宋体" w:cs="Times New Roman"/>
          <w:i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  <w:t xml:space="preserve">, </w:t>
      </w:r>
      <w:r>
        <w:rPr>
          <w:rFonts w:hint="eastAsia" w:ascii="Times New Roman" w:hAnsi="Times New Roman" w:eastAsia="宋体" w:cs="Times New Roman"/>
          <w:i/>
          <w:iCs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  <w:t>P</w:t>
      </w:r>
      <w:r>
        <w:rPr>
          <w:rFonts w:hint="default" w:ascii="Times New Roman" w:hAnsi="Times New Roman" w:cs="Times New Roman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&lt;0.05</w:t>
      </w:r>
      <w:r>
        <w:rPr>
          <w:rFonts w:hint="eastAsia" w:ascii="Times New Roman" w:hAnsi="Times New Roman" w:cs="Times New Roman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bookmarkEnd w:id="3"/>
      <w:r>
        <w:rPr>
          <w:rFonts w:hint="eastAsia" w:ascii="Times New Roman" w:hAnsi="Times New Roman" w:eastAsia="宋体" w:cs="Times New Roman"/>
          <w:b w:val="0"/>
          <w:bCs w:val="0"/>
          <w:i w:val="0"/>
          <w:caps w:val="0"/>
          <w:color w:val="2E3033"/>
          <w:spacing w:val="0"/>
          <w:sz w:val="24"/>
          <w:szCs w:val="24"/>
          <w:shd w:val="clear" w:fill="FFFFFF"/>
          <w:vertAlign w:val="baseline"/>
          <w:lang w:val="en-US" w:eastAsia="zh-CN"/>
        </w:rPr>
        <w:t>*</w:t>
      </w:r>
      <w:r>
        <w:rPr>
          <w:rFonts w:hint="eastAsia" w:ascii="Times New Roman" w:hAnsi="Times New Roman" w:eastAsia="宋体" w:cs="Times New Roman"/>
          <w:b w:val="0"/>
          <w:bCs w:val="0"/>
          <w:i/>
          <w:iCs/>
          <w:caps w:val="0"/>
          <w:color w:val="2E3033"/>
          <w:spacing w:val="0"/>
          <w:sz w:val="24"/>
          <w:szCs w:val="24"/>
          <w:shd w:val="clear" w:fill="FFFFFF"/>
          <w:vertAlign w:val="baseline"/>
          <w:lang w:val="en-US" w:eastAsia="zh-CN"/>
        </w:rPr>
        <w:t>P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aps w:val="0"/>
          <w:color w:val="2E3033"/>
          <w:spacing w:val="0"/>
          <w:sz w:val="24"/>
          <w:szCs w:val="24"/>
          <w:shd w:val="clear" w:fill="FFFFFF"/>
          <w:vertAlign w:val="baseline"/>
          <w:lang w:val="en-US" w:eastAsia="zh-CN"/>
        </w:rPr>
        <w:t>=0.028</w:t>
      </w:r>
      <w:r>
        <w:rPr>
          <w:rFonts w:hint="eastAsia" w:ascii="宋体" w:hAnsi="宋体" w:eastAsia="宋体" w:cs="宋体"/>
          <w:i w:val="0"/>
          <w:color w:val="auto"/>
          <w:sz w:val="24"/>
          <w:szCs w:val="24"/>
          <w:u w:val="none"/>
        </w:rPr>
        <w:t>＜</w:t>
      </w:r>
      <w:r>
        <w:rPr>
          <w:rFonts w:hint="eastAsia" w:ascii="Times New Roman" w:hAnsi="Times New Roman" w:eastAsia="宋体" w:cs="Times New Roman"/>
          <w:i w:val="0"/>
          <w:color w:val="auto"/>
          <w:sz w:val="24"/>
          <w:szCs w:val="24"/>
          <w:u w:val="none"/>
          <w:lang w:val="en-US" w:eastAsia="zh-CN"/>
        </w:rPr>
        <w:t>0.05.</w:t>
      </w:r>
      <w:bookmarkStart w:id="4" w:name="_GoBack"/>
      <w:bookmarkEnd w:id="4"/>
    </w:p>
    <w:p/>
    <w:sectPr>
      <w:pgSz w:w="11906" w:h="16838"/>
      <w:pgMar w:top="1803" w:right="1440" w:bottom="180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CB72E2"/>
    <w:rsid w:val="3FB51AD6"/>
    <w:rsid w:val="67CB72E2"/>
    <w:rsid w:val="6E00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Calibri" w:hAnsi="Calibri" w:eastAsia="微软雅黑" w:cs="Times New Roman"/>
      <w:sz w:val="22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2020-10-01T10:47:00Z</dcterms:created>
  <dc:creator>玮琳</dc:creator>
  <cp:lastModifiedBy>玮琳</cp:lastModifiedBy>
  <dcterms:modified xsi:type="dcterms:W3CDTF">2020-10-01T13:10:21Z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