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9668" w14:textId="04FCE8C4" w:rsidR="00C953C6" w:rsidRDefault="00C953C6" w:rsidP="00C953C6">
      <w:pPr>
        <w:rPr>
          <w:rFonts w:cs="Arial"/>
          <w:b/>
          <w:bCs/>
          <w:sz w:val="20"/>
          <w:szCs w:val="20"/>
        </w:rPr>
      </w:pPr>
      <w:r w:rsidRPr="00D25E18">
        <w:rPr>
          <w:rFonts w:cs="Arial"/>
          <w:b/>
          <w:bCs/>
          <w:sz w:val="20"/>
          <w:szCs w:val="20"/>
        </w:rPr>
        <w:t xml:space="preserve">Supplementary table 1. Distribution of osteopenia patients diagnosed at baseline (n=84). </w:t>
      </w:r>
    </w:p>
    <w:p w14:paraId="757A5475" w14:textId="77777777" w:rsidR="00C953C6" w:rsidRPr="00D25E18" w:rsidRDefault="00C953C6" w:rsidP="00C953C6">
      <w:pPr>
        <w:rPr>
          <w:rFonts w:cs="Arial"/>
          <w:b/>
          <w:bCs/>
          <w:sz w:val="20"/>
          <w:szCs w:val="2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081"/>
      </w:tblGrid>
      <w:tr w:rsidR="00C953C6" w:rsidRPr="003451D3" w14:paraId="7DE94EBE" w14:textId="77777777" w:rsidTr="00B07039">
        <w:trPr>
          <w:trHeight w:val="310"/>
        </w:trPr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75A03341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1DDB3768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Osteopenia number, n (%)</w:t>
            </w:r>
          </w:p>
        </w:tc>
      </w:tr>
      <w:tr w:rsidR="00C953C6" w:rsidRPr="003451D3" w14:paraId="3136BD18" w14:textId="77777777" w:rsidTr="00B07039">
        <w:trPr>
          <w:trHeight w:val="318"/>
        </w:trPr>
        <w:tc>
          <w:tcPr>
            <w:tcW w:w="4081" w:type="dxa"/>
            <w:tcBorders>
              <w:top w:val="single" w:sz="4" w:space="0" w:color="auto"/>
            </w:tcBorders>
          </w:tcPr>
          <w:p w14:paraId="7A7ED78A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All patients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14:paraId="6F1FC789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44 (52.38%)</w:t>
            </w:r>
          </w:p>
        </w:tc>
      </w:tr>
      <w:tr w:rsidR="00C953C6" w:rsidRPr="003451D3" w14:paraId="5B87D125" w14:textId="77777777" w:rsidTr="00B07039">
        <w:trPr>
          <w:trHeight w:val="310"/>
        </w:trPr>
        <w:tc>
          <w:tcPr>
            <w:tcW w:w="4081" w:type="dxa"/>
          </w:tcPr>
          <w:p w14:paraId="1C0111F8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Male ≥ 50-years</w:t>
            </w:r>
          </w:p>
        </w:tc>
        <w:tc>
          <w:tcPr>
            <w:tcW w:w="4081" w:type="dxa"/>
          </w:tcPr>
          <w:p w14:paraId="701B1F2C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16(19.05%)</w:t>
            </w:r>
          </w:p>
        </w:tc>
      </w:tr>
      <w:tr w:rsidR="00C953C6" w:rsidRPr="003451D3" w14:paraId="79A81E24" w14:textId="77777777" w:rsidTr="00B07039">
        <w:trPr>
          <w:trHeight w:val="318"/>
        </w:trPr>
        <w:tc>
          <w:tcPr>
            <w:tcW w:w="4081" w:type="dxa"/>
          </w:tcPr>
          <w:p w14:paraId="0C8A25A5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Female ≥ 50-years</w:t>
            </w:r>
          </w:p>
        </w:tc>
        <w:tc>
          <w:tcPr>
            <w:tcW w:w="4081" w:type="dxa"/>
          </w:tcPr>
          <w:p w14:paraId="2AD2F25A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16(19.05%)</w:t>
            </w:r>
          </w:p>
        </w:tc>
      </w:tr>
      <w:tr w:rsidR="00C953C6" w:rsidRPr="003451D3" w14:paraId="5BFB9913" w14:textId="77777777" w:rsidTr="00B07039">
        <w:trPr>
          <w:trHeight w:val="310"/>
        </w:trPr>
        <w:tc>
          <w:tcPr>
            <w:tcW w:w="4081" w:type="dxa"/>
          </w:tcPr>
          <w:p w14:paraId="419934CD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L1</w:t>
            </w:r>
          </w:p>
        </w:tc>
        <w:tc>
          <w:tcPr>
            <w:tcW w:w="4081" w:type="dxa"/>
          </w:tcPr>
          <w:p w14:paraId="2D8B81B4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33 (39.29%)</w:t>
            </w:r>
          </w:p>
        </w:tc>
      </w:tr>
      <w:tr w:rsidR="00C953C6" w:rsidRPr="003451D3" w14:paraId="4D49F619" w14:textId="77777777" w:rsidTr="00B07039">
        <w:trPr>
          <w:trHeight w:val="318"/>
        </w:trPr>
        <w:tc>
          <w:tcPr>
            <w:tcW w:w="4081" w:type="dxa"/>
          </w:tcPr>
          <w:p w14:paraId="5E2C6111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L2</w:t>
            </w:r>
          </w:p>
        </w:tc>
        <w:tc>
          <w:tcPr>
            <w:tcW w:w="4081" w:type="dxa"/>
          </w:tcPr>
          <w:p w14:paraId="6794A9FB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36 (42.86%)</w:t>
            </w:r>
          </w:p>
        </w:tc>
      </w:tr>
      <w:tr w:rsidR="00C953C6" w:rsidRPr="003451D3" w14:paraId="29323E48" w14:textId="77777777" w:rsidTr="00B07039">
        <w:trPr>
          <w:trHeight w:val="310"/>
        </w:trPr>
        <w:tc>
          <w:tcPr>
            <w:tcW w:w="4081" w:type="dxa"/>
          </w:tcPr>
          <w:p w14:paraId="2972F6D9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L3</w:t>
            </w:r>
          </w:p>
        </w:tc>
        <w:tc>
          <w:tcPr>
            <w:tcW w:w="4081" w:type="dxa"/>
          </w:tcPr>
          <w:p w14:paraId="3A74AD89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29 (34.52%)</w:t>
            </w:r>
          </w:p>
        </w:tc>
      </w:tr>
      <w:tr w:rsidR="00C953C6" w:rsidRPr="003451D3" w14:paraId="22219A96" w14:textId="77777777" w:rsidTr="00B07039">
        <w:trPr>
          <w:trHeight w:val="318"/>
        </w:trPr>
        <w:tc>
          <w:tcPr>
            <w:tcW w:w="4081" w:type="dxa"/>
          </w:tcPr>
          <w:p w14:paraId="078C1E03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L4</w:t>
            </w:r>
          </w:p>
        </w:tc>
        <w:tc>
          <w:tcPr>
            <w:tcW w:w="4081" w:type="dxa"/>
          </w:tcPr>
          <w:p w14:paraId="25680201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28 (33.33%)</w:t>
            </w:r>
          </w:p>
        </w:tc>
      </w:tr>
      <w:tr w:rsidR="00C953C6" w:rsidRPr="003451D3" w14:paraId="535E491F" w14:textId="77777777" w:rsidTr="00B07039">
        <w:trPr>
          <w:trHeight w:val="318"/>
        </w:trPr>
        <w:tc>
          <w:tcPr>
            <w:tcW w:w="4081" w:type="dxa"/>
          </w:tcPr>
          <w:p w14:paraId="7E342522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Left hip</w:t>
            </w:r>
          </w:p>
        </w:tc>
        <w:tc>
          <w:tcPr>
            <w:tcW w:w="4081" w:type="dxa"/>
          </w:tcPr>
          <w:p w14:paraId="318195D8" w14:textId="77777777" w:rsidR="00C953C6" w:rsidRPr="007F6361" w:rsidRDefault="00C953C6" w:rsidP="00B07039">
            <w:pPr>
              <w:rPr>
                <w:rFonts w:cs="Arial"/>
                <w:sz w:val="20"/>
                <w:szCs w:val="20"/>
              </w:rPr>
            </w:pPr>
            <w:r w:rsidRPr="007F6361">
              <w:rPr>
                <w:rFonts w:cs="Arial"/>
                <w:sz w:val="20"/>
                <w:szCs w:val="20"/>
              </w:rPr>
              <w:t>27 (32.14%)</w:t>
            </w:r>
          </w:p>
        </w:tc>
      </w:tr>
    </w:tbl>
    <w:p w14:paraId="71E60FDE" w14:textId="22C0CD57" w:rsidR="00361090" w:rsidRDefault="00361090"/>
    <w:p w14:paraId="5DBD0FEF" w14:textId="77777777" w:rsidR="00C57455" w:rsidRPr="00803072" w:rsidRDefault="00C57455" w:rsidP="00C57455">
      <w:pPr>
        <w:rPr>
          <w:rFonts w:cs="Arial"/>
          <w:b/>
          <w:bCs/>
          <w:sz w:val="20"/>
          <w:szCs w:val="20"/>
        </w:rPr>
      </w:pPr>
      <w:r w:rsidRPr="00803072">
        <w:rPr>
          <w:rFonts w:cs="Arial"/>
          <w:b/>
          <w:bCs/>
          <w:sz w:val="20"/>
          <w:szCs w:val="20"/>
        </w:rPr>
        <w:t>Supplementary table 2. T score at 12th month after enrollment in randomized patients.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3"/>
        <w:gridCol w:w="1643"/>
      </w:tblGrid>
      <w:tr w:rsidR="00C57455" w:rsidRPr="00C95E46" w14:paraId="35D61558" w14:textId="77777777" w:rsidTr="00B07039"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3E2010A7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Location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6F2B9CF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Total patients</w:t>
            </w:r>
          </w:p>
          <w:p w14:paraId="7730FEA6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 xml:space="preserve">N=29 </w:t>
            </w:r>
          </w:p>
          <w:p w14:paraId="2DA6278F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95E46">
              <w:rPr>
                <w:rFonts w:cs="Arial"/>
                <w:sz w:val="20"/>
                <w:szCs w:val="20"/>
              </w:rPr>
              <w:t>mean±SD</w:t>
            </w:r>
            <w:proofErr w:type="spellEnd"/>
            <w:r w:rsidRPr="00C95E46">
              <w:rPr>
                <w:rFonts w:cs="Arial"/>
                <w:sz w:val="20"/>
                <w:szCs w:val="20"/>
              </w:rPr>
              <w:t>）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5A485929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 xml:space="preserve">Zoledronic Acid group </w:t>
            </w:r>
          </w:p>
          <w:p w14:paraId="24916D49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 xml:space="preserve">N=16 </w:t>
            </w:r>
          </w:p>
          <w:p w14:paraId="7A1A58DE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95E46">
              <w:rPr>
                <w:rFonts w:cs="Arial"/>
                <w:sz w:val="20"/>
                <w:szCs w:val="20"/>
              </w:rPr>
              <w:t>mean±SD</w:t>
            </w:r>
            <w:proofErr w:type="spellEnd"/>
            <w:r w:rsidRPr="00C95E46">
              <w:rPr>
                <w:rFonts w:cs="Arial"/>
                <w:sz w:val="20"/>
                <w:szCs w:val="20"/>
              </w:rPr>
              <w:t>）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5FD0243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 xml:space="preserve">Control group </w:t>
            </w:r>
          </w:p>
          <w:p w14:paraId="4F099391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N=13</w:t>
            </w:r>
          </w:p>
          <w:p w14:paraId="3D6EEFC0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95E46">
              <w:rPr>
                <w:rFonts w:cs="Arial"/>
                <w:sz w:val="20"/>
                <w:szCs w:val="20"/>
              </w:rPr>
              <w:t>mean±SD</w:t>
            </w:r>
            <w:proofErr w:type="spellEnd"/>
            <w:r w:rsidRPr="00C95E46">
              <w:rPr>
                <w:rFonts w:cs="Arial"/>
                <w:sz w:val="20"/>
                <w:szCs w:val="20"/>
              </w:rPr>
              <w:t>）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63F07CED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 xml:space="preserve">Zoledronic Acid group </w:t>
            </w:r>
            <w:r w:rsidRPr="00CD3DDE">
              <w:rPr>
                <w:rFonts w:cs="Arial"/>
                <w:i/>
                <w:iCs/>
                <w:sz w:val="20"/>
                <w:szCs w:val="20"/>
              </w:rPr>
              <w:t>vs</w:t>
            </w:r>
            <w:r>
              <w:rPr>
                <w:rFonts w:cs="Arial"/>
                <w:sz w:val="20"/>
                <w:szCs w:val="20"/>
              </w:rPr>
              <w:t>.</w:t>
            </w:r>
            <w:r w:rsidRPr="00C95E46">
              <w:rPr>
                <w:rFonts w:cs="Arial"/>
                <w:sz w:val="20"/>
                <w:szCs w:val="20"/>
              </w:rPr>
              <w:t xml:space="preserve"> control group</w:t>
            </w:r>
          </w:p>
          <w:p w14:paraId="1BF58AAF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C95E46">
              <w:rPr>
                <w:rFonts w:cs="Arial"/>
                <w:sz w:val="20"/>
                <w:szCs w:val="20"/>
              </w:rPr>
              <w:t xml:space="preserve"> value</w:t>
            </w:r>
          </w:p>
        </w:tc>
      </w:tr>
      <w:tr w:rsidR="00C57455" w:rsidRPr="00C95E46" w14:paraId="6DD16DB1" w14:textId="77777777" w:rsidTr="00B07039">
        <w:tc>
          <w:tcPr>
            <w:tcW w:w="1642" w:type="dxa"/>
            <w:tcBorders>
              <w:top w:val="single" w:sz="4" w:space="0" w:color="auto"/>
            </w:tcBorders>
          </w:tcPr>
          <w:p w14:paraId="70FDAC87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L1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4ED0B5E5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0.51±1.55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37DEFFF6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-0.41±1.73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010E5E2E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-0.64±1.36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1F3FCE1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0.704</w:t>
            </w:r>
          </w:p>
        </w:tc>
      </w:tr>
      <w:tr w:rsidR="00C57455" w:rsidRPr="00C95E46" w14:paraId="7A192C3B" w14:textId="77777777" w:rsidTr="00B07039">
        <w:tc>
          <w:tcPr>
            <w:tcW w:w="1642" w:type="dxa"/>
          </w:tcPr>
          <w:p w14:paraId="166A0CE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L2</w:t>
            </w:r>
          </w:p>
        </w:tc>
        <w:tc>
          <w:tcPr>
            <w:tcW w:w="1642" w:type="dxa"/>
          </w:tcPr>
          <w:p w14:paraId="7D7D19C8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0.59±1.31</w:t>
            </w:r>
          </w:p>
        </w:tc>
        <w:tc>
          <w:tcPr>
            <w:tcW w:w="1642" w:type="dxa"/>
          </w:tcPr>
          <w:p w14:paraId="43530C2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-0.63±0.99</w:t>
            </w:r>
          </w:p>
        </w:tc>
        <w:tc>
          <w:tcPr>
            <w:tcW w:w="1643" w:type="dxa"/>
          </w:tcPr>
          <w:p w14:paraId="64056591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-0.55±1.66</w:t>
            </w:r>
          </w:p>
        </w:tc>
        <w:tc>
          <w:tcPr>
            <w:tcW w:w="1643" w:type="dxa"/>
          </w:tcPr>
          <w:p w14:paraId="3E165720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0.875</w:t>
            </w:r>
          </w:p>
        </w:tc>
      </w:tr>
      <w:tr w:rsidR="00C57455" w:rsidRPr="00C95E46" w14:paraId="7B282E17" w14:textId="77777777" w:rsidTr="00B07039">
        <w:tc>
          <w:tcPr>
            <w:tcW w:w="1642" w:type="dxa"/>
          </w:tcPr>
          <w:p w14:paraId="32C2C9D2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L3</w:t>
            </w:r>
          </w:p>
        </w:tc>
        <w:tc>
          <w:tcPr>
            <w:tcW w:w="1642" w:type="dxa"/>
          </w:tcPr>
          <w:p w14:paraId="75C556D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0.32±1.45</w:t>
            </w:r>
          </w:p>
        </w:tc>
        <w:tc>
          <w:tcPr>
            <w:tcW w:w="1642" w:type="dxa"/>
          </w:tcPr>
          <w:p w14:paraId="2EA0DF2E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-0.32±1.17</w:t>
            </w:r>
          </w:p>
        </w:tc>
        <w:tc>
          <w:tcPr>
            <w:tcW w:w="1643" w:type="dxa"/>
          </w:tcPr>
          <w:p w14:paraId="6C9EAB5E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-0.32±1.79</w:t>
            </w:r>
          </w:p>
        </w:tc>
        <w:tc>
          <w:tcPr>
            <w:tcW w:w="1643" w:type="dxa"/>
          </w:tcPr>
          <w:p w14:paraId="1E21362D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0.994</w:t>
            </w:r>
          </w:p>
        </w:tc>
      </w:tr>
      <w:tr w:rsidR="00C57455" w:rsidRPr="00C95E46" w14:paraId="6637F0FD" w14:textId="77777777" w:rsidTr="00B07039">
        <w:tc>
          <w:tcPr>
            <w:tcW w:w="1642" w:type="dxa"/>
          </w:tcPr>
          <w:p w14:paraId="4F7D2F1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L4</w:t>
            </w:r>
          </w:p>
        </w:tc>
        <w:tc>
          <w:tcPr>
            <w:tcW w:w="1642" w:type="dxa"/>
          </w:tcPr>
          <w:p w14:paraId="1083DC86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0.19±1.36</w:t>
            </w:r>
          </w:p>
        </w:tc>
        <w:tc>
          <w:tcPr>
            <w:tcW w:w="1642" w:type="dxa"/>
          </w:tcPr>
          <w:p w14:paraId="2DAFB462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-0.20±1.12</w:t>
            </w:r>
          </w:p>
        </w:tc>
        <w:tc>
          <w:tcPr>
            <w:tcW w:w="1643" w:type="dxa"/>
          </w:tcPr>
          <w:p w14:paraId="48A7D3D1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-0.17±1.65</w:t>
            </w:r>
          </w:p>
        </w:tc>
        <w:tc>
          <w:tcPr>
            <w:tcW w:w="1643" w:type="dxa"/>
          </w:tcPr>
          <w:p w14:paraId="6975C5F3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0.955</w:t>
            </w:r>
          </w:p>
        </w:tc>
      </w:tr>
      <w:tr w:rsidR="00C57455" w:rsidRPr="00C95E46" w14:paraId="7F2C71A1" w14:textId="77777777" w:rsidTr="00B07039">
        <w:tc>
          <w:tcPr>
            <w:tcW w:w="1642" w:type="dxa"/>
          </w:tcPr>
          <w:p w14:paraId="0B250177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Left femoral neck</w:t>
            </w:r>
          </w:p>
        </w:tc>
        <w:tc>
          <w:tcPr>
            <w:tcW w:w="1642" w:type="dxa"/>
          </w:tcPr>
          <w:p w14:paraId="25B5E6C2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0.63±1.01</w:t>
            </w:r>
          </w:p>
        </w:tc>
        <w:tc>
          <w:tcPr>
            <w:tcW w:w="1642" w:type="dxa"/>
          </w:tcPr>
          <w:p w14:paraId="4E62609D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-0.83±1.12</w:t>
            </w:r>
          </w:p>
        </w:tc>
        <w:tc>
          <w:tcPr>
            <w:tcW w:w="1643" w:type="dxa"/>
          </w:tcPr>
          <w:p w14:paraId="2F215375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-0.38±0.85</w:t>
            </w:r>
          </w:p>
        </w:tc>
        <w:tc>
          <w:tcPr>
            <w:tcW w:w="1643" w:type="dxa"/>
          </w:tcPr>
          <w:p w14:paraId="2C8B82FA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0.224</w:t>
            </w:r>
          </w:p>
        </w:tc>
      </w:tr>
      <w:tr w:rsidR="00C57455" w:rsidRPr="00C95E46" w14:paraId="451D02F1" w14:textId="77777777" w:rsidTr="00B07039">
        <w:tc>
          <w:tcPr>
            <w:tcW w:w="1642" w:type="dxa"/>
          </w:tcPr>
          <w:p w14:paraId="67103242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Left Ward’s triangle</w:t>
            </w:r>
          </w:p>
        </w:tc>
        <w:tc>
          <w:tcPr>
            <w:tcW w:w="1642" w:type="dxa"/>
          </w:tcPr>
          <w:p w14:paraId="73650915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1.26±1.16</w:t>
            </w:r>
          </w:p>
        </w:tc>
        <w:tc>
          <w:tcPr>
            <w:tcW w:w="1642" w:type="dxa"/>
          </w:tcPr>
          <w:p w14:paraId="061A552E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-1.44±1.15</w:t>
            </w:r>
          </w:p>
        </w:tc>
        <w:tc>
          <w:tcPr>
            <w:tcW w:w="1643" w:type="dxa"/>
          </w:tcPr>
          <w:p w14:paraId="3B428494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-1.05±1.18</w:t>
            </w:r>
          </w:p>
        </w:tc>
        <w:tc>
          <w:tcPr>
            <w:tcW w:w="1643" w:type="dxa"/>
          </w:tcPr>
          <w:p w14:paraId="01E4E475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0.377</w:t>
            </w:r>
          </w:p>
        </w:tc>
      </w:tr>
      <w:tr w:rsidR="00C57455" w:rsidRPr="00C95E46" w14:paraId="131A9D0F" w14:textId="77777777" w:rsidTr="00B07039">
        <w:tc>
          <w:tcPr>
            <w:tcW w:w="1642" w:type="dxa"/>
          </w:tcPr>
          <w:p w14:paraId="0506B85D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Left trochanter major</w:t>
            </w:r>
          </w:p>
        </w:tc>
        <w:tc>
          <w:tcPr>
            <w:tcW w:w="1642" w:type="dxa"/>
          </w:tcPr>
          <w:p w14:paraId="6DDB85F9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0.81±1.10</w:t>
            </w:r>
          </w:p>
        </w:tc>
        <w:tc>
          <w:tcPr>
            <w:tcW w:w="1642" w:type="dxa"/>
          </w:tcPr>
          <w:p w14:paraId="19AF9885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-1.13±0.91</w:t>
            </w:r>
          </w:p>
        </w:tc>
        <w:tc>
          <w:tcPr>
            <w:tcW w:w="1643" w:type="dxa"/>
          </w:tcPr>
          <w:p w14:paraId="007AF1EC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-0.42±1.22</w:t>
            </w:r>
          </w:p>
        </w:tc>
        <w:tc>
          <w:tcPr>
            <w:tcW w:w="1643" w:type="dxa"/>
          </w:tcPr>
          <w:p w14:paraId="079FA8C7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0.096</w:t>
            </w:r>
          </w:p>
        </w:tc>
      </w:tr>
      <w:tr w:rsidR="00C57455" w:rsidRPr="00C95E46" w14:paraId="71071079" w14:textId="77777777" w:rsidTr="00B07039">
        <w:tc>
          <w:tcPr>
            <w:tcW w:w="1642" w:type="dxa"/>
          </w:tcPr>
          <w:p w14:paraId="7F08015B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Left hip</w:t>
            </w:r>
          </w:p>
        </w:tc>
        <w:tc>
          <w:tcPr>
            <w:tcW w:w="1642" w:type="dxa"/>
          </w:tcPr>
          <w:p w14:paraId="7128EB64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0.48±1.00</w:t>
            </w:r>
          </w:p>
        </w:tc>
        <w:tc>
          <w:tcPr>
            <w:tcW w:w="1642" w:type="dxa"/>
          </w:tcPr>
          <w:p w14:paraId="49DB5024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-0.70±1.01</w:t>
            </w:r>
          </w:p>
        </w:tc>
        <w:tc>
          <w:tcPr>
            <w:tcW w:w="1643" w:type="dxa"/>
          </w:tcPr>
          <w:p w14:paraId="7D9E55CF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-0.22±0.96</w:t>
            </w:r>
          </w:p>
        </w:tc>
        <w:tc>
          <w:tcPr>
            <w:tcW w:w="1643" w:type="dxa"/>
          </w:tcPr>
          <w:p w14:paraId="3E4ED325" w14:textId="77777777" w:rsidR="00C57455" w:rsidRPr="00C95E46" w:rsidRDefault="00C57455" w:rsidP="00B07039">
            <w:pPr>
              <w:rPr>
                <w:rFonts w:cs="Arial"/>
                <w:sz w:val="20"/>
                <w:szCs w:val="20"/>
              </w:rPr>
            </w:pPr>
            <w:r w:rsidRPr="00C95E46">
              <w:rPr>
                <w:rFonts w:cs="Arial"/>
                <w:sz w:val="20"/>
                <w:szCs w:val="20"/>
              </w:rPr>
              <w:t>0.199</w:t>
            </w:r>
          </w:p>
        </w:tc>
      </w:tr>
    </w:tbl>
    <w:p w14:paraId="59924990" w14:textId="20A27EE6" w:rsidR="00C57455" w:rsidRDefault="00C57455"/>
    <w:p w14:paraId="20F232C6" w14:textId="77777777" w:rsidR="00C57455" w:rsidRPr="00CD758E" w:rsidRDefault="00C57455" w:rsidP="00C57455">
      <w:pPr>
        <w:rPr>
          <w:rFonts w:cs="Arial"/>
          <w:b/>
          <w:bCs/>
          <w:sz w:val="20"/>
          <w:szCs w:val="20"/>
        </w:rPr>
      </w:pPr>
      <w:r w:rsidRPr="00CD758E">
        <w:rPr>
          <w:rFonts w:cs="Arial"/>
          <w:b/>
          <w:bCs/>
          <w:sz w:val="20"/>
          <w:szCs w:val="20"/>
        </w:rPr>
        <w:t>Supplementary table 3. T score changes of from baseline to 12th month in control group.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2053"/>
        <w:gridCol w:w="2053"/>
      </w:tblGrid>
      <w:tr w:rsidR="00C57455" w:rsidRPr="00021C7E" w14:paraId="20D4B134" w14:textId="77777777" w:rsidTr="00B07039"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531E1749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44703B16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Baseline T score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2097A697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12th month T score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74DEC266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021C7E">
              <w:rPr>
                <w:rFonts w:cs="Arial"/>
                <w:sz w:val="20"/>
                <w:szCs w:val="20"/>
              </w:rPr>
              <w:t xml:space="preserve"> value</w:t>
            </w:r>
          </w:p>
        </w:tc>
      </w:tr>
      <w:tr w:rsidR="00C57455" w:rsidRPr="00021C7E" w14:paraId="5F91E364" w14:textId="77777777" w:rsidTr="00B07039">
        <w:tc>
          <w:tcPr>
            <w:tcW w:w="2053" w:type="dxa"/>
            <w:tcBorders>
              <w:top w:val="single" w:sz="4" w:space="0" w:color="auto"/>
            </w:tcBorders>
          </w:tcPr>
          <w:p w14:paraId="1A9ECBF8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L1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5903A5C9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-0.31±1.15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7BFBEECD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-0.64±1.36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0B052610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0.023</w:t>
            </w:r>
          </w:p>
        </w:tc>
      </w:tr>
      <w:tr w:rsidR="00C57455" w:rsidRPr="00021C7E" w14:paraId="35163F45" w14:textId="77777777" w:rsidTr="00B07039">
        <w:tc>
          <w:tcPr>
            <w:tcW w:w="2053" w:type="dxa"/>
          </w:tcPr>
          <w:p w14:paraId="7ACD5A47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L2</w:t>
            </w:r>
          </w:p>
        </w:tc>
        <w:tc>
          <w:tcPr>
            <w:tcW w:w="2053" w:type="dxa"/>
          </w:tcPr>
          <w:p w14:paraId="330D45A9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-0.19±1.60</w:t>
            </w:r>
          </w:p>
        </w:tc>
        <w:tc>
          <w:tcPr>
            <w:tcW w:w="2053" w:type="dxa"/>
          </w:tcPr>
          <w:p w14:paraId="1F364594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-0.55±1.66</w:t>
            </w:r>
          </w:p>
        </w:tc>
        <w:tc>
          <w:tcPr>
            <w:tcW w:w="2053" w:type="dxa"/>
          </w:tcPr>
          <w:p w14:paraId="001808CD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0.039</w:t>
            </w:r>
          </w:p>
        </w:tc>
      </w:tr>
      <w:tr w:rsidR="00C57455" w:rsidRPr="00021C7E" w14:paraId="74DEC36F" w14:textId="77777777" w:rsidTr="00B07039">
        <w:tc>
          <w:tcPr>
            <w:tcW w:w="2053" w:type="dxa"/>
          </w:tcPr>
          <w:p w14:paraId="318606A5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L3</w:t>
            </w:r>
          </w:p>
        </w:tc>
        <w:tc>
          <w:tcPr>
            <w:tcW w:w="2053" w:type="dxa"/>
          </w:tcPr>
          <w:p w14:paraId="7DB9C17A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-0.09±1.92</w:t>
            </w:r>
          </w:p>
        </w:tc>
        <w:tc>
          <w:tcPr>
            <w:tcW w:w="2053" w:type="dxa"/>
          </w:tcPr>
          <w:p w14:paraId="5A4067D8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-0.32±1.79</w:t>
            </w:r>
          </w:p>
        </w:tc>
        <w:tc>
          <w:tcPr>
            <w:tcW w:w="2053" w:type="dxa"/>
          </w:tcPr>
          <w:p w14:paraId="73DCB37D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0.229</w:t>
            </w:r>
          </w:p>
        </w:tc>
      </w:tr>
      <w:tr w:rsidR="00C57455" w:rsidRPr="00021C7E" w14:paraId="772A4B56" w14:textId="77777777" w:rsidTr="00B07039">
        <w:tc>
          <w:tcPr>
            <w:tcW w:w="2053" w:type="dxa"/>
          </w:tcPr>
          <w:p w14:paraId="20FC7170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L4</w:t>
            </w:r>
          </w:p>
        </w:tc>
        <w:tc>
          <w:tcPr>
            <w:tcW w:w="2053" w:type="dxa"/>
          </w:tcPr>
          <w:p w14:paraId="0F988FC3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0.18±1.81</w:t>
            </w:r>
          </w:p>
        </w:tc>
        <w:tc>
          <w:tcPr>
            <w:tcW w:w="2053" w:type="dxa"/>
          </w:tcPr>
          <w:p w14:paraId="6ACFD68C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-0.17±1.65</w:t>
            </w:r>
          </w:p>
        </w:tc>
        <w:tc>
          <w:tcPr>
            <w:tcW w:w="2053" w:type="dxa"/>
          </w:tcPr>
          <w:p w14:paraId="4266A73B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0.037</w:t>
            </w:r>
          </w:p>
        </w:tc>
      </w:tr>
      <w:tr w:rsidR="00C57455" w:rsidRPr="00021C7E" w14:paraId="5EA3B8F4" w14:textId="77777777" w:rsidTr="00B07039">
        <w:tc>
          <w:tcPr>
            <w:tcW w:w="2053" w:type="dxa"/>
          </w:tcPr>
          <w:p w14:paraId="2C991855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Left femoral neck</w:t>
            </w:r>
          </w:p>
        </w:tc>
        <w:tc>
          <w:tcPr>
            <w:tcW w:w="2053" w:type="dxa"/>
          </w:tcPr>
          <w:p w14:paraId="0847328C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-0.18±0.89</w:t>
            </w:r>
          </w:p>
        </w:tc>
        <w:tc>
          <w:tcPr>
            <w:tcW w:w="2053" w:type="dxa"/>
          </w:tcPr>
          <w:p w14:paraId="2E6AEB25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-0.38±0.85</w:t>
            </w:r>
          </w:p>
        </w:tc>
        <w:tc>
          <w:tcPr>
            <w:tcW w:w="2053" w:type="dxa"/>
          </w:tcPr>
          <w:p w14:paraId="56CBAC74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0.020</w:t>
            </w:r>
          </w:p>
        </w:tc>
      </w:tr>
      <w:tr w:rsidR="00C57455" w:rsidRPr="00021C7E" w14:paraId="2AD50229" w14:textId="77777777" w:rsidTr="00B07039">
        <w:tc>
          <w:tcPr>
            <w:tcW w:w="2053" w:type="dxa"/>
          </w:tcPr>
          <w:p w14:paraId="49FB482D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Left Ward’s triangle</w:t>
            </w:r>
          </w:p>
        </w:tc>
        <w:tc>
          <w:tcPr>
            <w:tcW w:w="2053" w:type="dxa"/>
          </w:tcPr>
          <w:p w14:paraId="480CB087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-0.73±1.28</w:t>
            </w:r>
          </w:p>
        </w:tc>
        <w:tc>
          <w:tcPr>
            <w:tcW w:w="2053" w:type="dxa"/>
          </w:tcPr>
          <w:p w14:paraId="29DCFE24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-1.05±1.18</w:t>
            </w:r>
          </w:p>
        </w:tc>
        <w:tc>
          <w:tcPr>
            <w:tcW w:w="2053" w:type="dxa"/>
          </w:tcPr>
          <w:p w14:paraId="1E0E6F6A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0.012</w:t>
            </w:r>
          </w:p>
        </w:tc>
      </w:tr>
      <w:tr w:rsidR="00C57455" w:rsidRPr="00021C7E" w14:paraId="3D1086DE" w14:textId="77777777" w:rsidTr="00B07039">
        <w:tc>
          <w:tcPr>
            <w:tcW w:w="2053" w:type="dxa"/>
          </w:tcPr>
          <w:p w14:paraId="48C0B1C4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Left trochanter major</w:t>
            </w:r>
          </w:p>
        </w:tc>
        <w:tc>
          <w:tcPr>
            <w:tcW w:w="2053" w:type="dxa"/>
          </w:tcPr>
          <w:p w14:paraId="23708200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-0.41±1.29</w:t>
            </w:r>
          </w:p>
        </w:tc>
        <w:tc>
          <w:tcPr>
            <w:tcW w:w="2053" w:type="dxa"/>
          </w:tcPr>
          <w:p w14:paraId="2E37ECA7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-0.42±1.22</w:t>
            </w:r>
          </w:p>
        </w:tc>
        <w:tc>
          <w:tcPr>
            <w:tcW w:w="2053" w:type="dxa"/>
          </w:tcPr>
          <w:p w14:paraId="327E946A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0.805</w:t>
            </w:r>
          </w:p>
        </w:tc>
      </w:tr>
      <w:tr w:rsidR="00C57455" w:rsidRPr="00021C7E" w14:paraId="7425C021" w14:textId="77777777" w:rsidTr="00B07039">
        <w:tc>
          <w:tcPr>
            <w:tcW w:w="2053" w:type="dxa"/>
          </w:tcPr>
          <w:p w14:paraId="3E12BCC1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lastRenderedPageBreak/>
              <w:t>Left Hip</w:t>
            </w:r>
          </w:p>
        </w:tc>
        <w:tc>
          <w:tcPr>
            <w:tcW w:w="2053" w:type="dxa"/>
          </w:tcPr>
          <w:p w14:paraId="6FE0043D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-0.14±0.96</w:t>
            </w:r>
          </w:p>
        </w:tc>
        <w:tc>
          <w:tcPr>
            <w:tcW w:w="2053" w:type="dxa"/>
          </w:tcPr>
          <w:p w14:paraId="000F86FC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-0.22±0.96</w:t>
            </w:r>
          </w:p>
        </w:tc>
        <w:tc>
          <w:tcPr>
            <w:tcW w:w="2053" w:type="dxa"/>
          </w:tcPr>
          <w:p w14:paraId="6EBA1788" w14:textId="77777777" w:rsidR="00C57455" w:rsidRPr="00021C7E" w:rsidRDefault="00C57455" w:rsidP="00B07039">
            <w:pPr>
              <w:rPr>
                <w:rFonts w:cs="Arial"/>
                <w:sz w:val="20"/>
                <w:szCs w:val="20"/>
              </w:rPr>
            </w:pPr>
            <w:r w:rsidRPr="00021C7E">
              <w:rPr>
                <w:rFonts w:cs="Arial"/>
                <w:sz w:val="20"/>
                <w:szCs w:val="20"/>
              </w:rPr>
              <w:t>0.128</w:t>
            </w:r>
          </w:p>
        </w:tc>
      </w:tr>
    </w:tbl>
    <w:p w14:paraId="058664FB" w14:textId="6467138B" w:rsidR="00C57455" w:rsidRDefault="00C57455"/>
    <w:p w14:paraId="6A1464E2" w14:textId="77777777" w:rsidR="00C57455" w:rsidRPr="00DC07C3" w:rsidRDefault="00C57455" w:rsidP="00C57455">
      <w:pPr>
        <w:rPr>
          <w:rFonts w:cs="Arial"/>
          <w:b/>
          <w:bCs/>
          <w:sz w:val="20"/>
          <w:szCs w:val="20"/>
        </w:rPr>
      </w:pPr>
      <w:r w:rsidRPr="00DC07C3">
        <w:rPr>
          <w:rFonts w:cs="Arial"/>
          <w:b/>
          <w:bCs/>
          <w:sz w:val="20"/>
          <w:szCs w:val="20"/>
        </w:rPr>
        <w:t xml:space="preserve">Supplementary table 4. T score changes from baseline to 12th month in Zoledronic Acid group.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2053"/>
        <w:gridCol w:w="2053"/>
      </w:tblGrid>
      <w:tr w:rsidR="00C57455" w:rsidRPr="00DC07C3" w14:paraId="2EF0E700" w14:textId="77777777" w:rsidTr="00B07039"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4FC0C7D0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31BE56C6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Baseline T score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6E13A618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12th month T score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02D7E175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DC07C3">
              <w:rPr>
                <w:rFonts w:cs="Arial"/>
                <w:sz w:val="20"/>
                <w:szCs w:val="20"/>
              </w:rPr>
              <w:t xml:space="preserve"> value</w:t>
            </w:r>
          </w:p>
        </w:tc>
      </w:tr>
      <w:tr w:rsidR="00C57455" w:rsidRPr="00DC07C3" w14:paraId="538A3E14" w14:textId="77777777" w:rsidTr="00B07039">
        <w:tc>
          <w:tcPr>
            <w:tcW w:w="2053" w:type="dxa"/>
            <w:tcBorders>
              <w:top w:val="single" w:sz="4" w:space="0" w:color="auto"/>
            </w:tcBorders>
          </w:tcPr>
          <w:p w14:paraId="6ADAA5E5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L1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611B2A31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-0.56±1.54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6A2E7822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-0.41±1.73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3C3A47E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0.123</w:t>
            </w:r>
          </w:p>
        </w:tc>
      </w:tr>
      <w:tr w:rsidR="00C57455" w:rsidRPr="00DC07C3" w14:paraId="0162374A" w14:textId="77777777" w:rsidTr="00B07039">
        <w:tc>
          <w:tcPr>
            <w:tcW w:w="2053" w:type="dxa"/>
          </w:tcPr>
          <w:p w14:paraId="797C69F7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L2</w:t>
            </w:r>
          </w:p>
        </w:tc>
        <w:tc>
          <w:tcPr>
            <w:tcW w:w="2053" w:type="dxa"/>
          </w:tcPr>
          <w:p w14:paraId="34FA2DBB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-0.90±1.15</w:t>
            </w:r>
          </w:p>
        </w:tc>
        <w:tc>
          <w:tcPr>
            <w:tcW w:w="2053" w:type="dxa"/>
          </w:tcPr>
          <w:p w14:paraId="7CB9224A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-0.63±0.99</w:t>
            </w:r>
          </w:p>
        </w:tc>
        <w:tc>
          <w:tcPr>
            <w:tcW w:w="2053" w:type="dxa"/>
          </w:tcPr>
          <w:p w14:paraId="65657C66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0.024</w:t>
            </w:r>
          </w:p>
        </w:tc>
      </w:tr>
      <w:tr w:rsidR="00C57455" w:rsidRPr="00DC07C3" w14:paraId="104D4ECA" w14:textId="77777777" w:rsidTr="00B07039">
        <w:tc>
          <w:tcPr>
            <w:tcW w:w="2053" w:type="dxa"/>
          </w:tcPr>
          <w:p w14:paraId="2FEFCA61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L3</w:t>
            </w:r>
          </w:p>
        </w:tc>
        <w:tc>
          <w:tcPr>
            <w:tcW w:w="2053" w:type="dxa"/>
          </w:tcPr>
          <w:p w14:paraId="1D33C36F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-0.55±1.30</w:t>
            </w:r>
          </w:p>
        </w:tc>
        <w:tc>
          <w:tcPr>
            <w:tcW w:w="2053" w:type="dxa"/>
          </w:tcPr>
          <w:p w14:paraId="65DD3048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-0.32±1.17</w:t>
            </w:r>
          </w:p>
        </w:tc>
        <w:tc>
          <w:tcPr>
            <w:tcW w:w="2053" w:type="dxa"/>
          </w:tcPr>
          <w:p w14:paraId="71923021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0.026</w:t>
            </w:r>
          </w:p>
        </w:tc>
      </w:tr>
      <w:tr w:rsidR="00C57455" w:rsidRPr="00DC07C3" w14:paraId="39ABF3D1" w14:textId="77777777" w:rsidTr="00B07039">
        <w:tc>
          <w:tcPr>
            <w:tcW w:w="2053" w:type="dxa"/>
          </w:tcPr>
          <w:p w14:paraId="00D444F9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L4</w:t>
            </w:r>
          </w:p>
        </w:tc>
        <w:tc>
          <w:tcPr>
            <w:tcW w:w="2053" w:type="dxa"/>
          </w:tcPr>
          <w:p w14:paraId="6A66B0AA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-0.48±1.19</w:t>
            </w:r>
          </w:p>
        </w:tc>
        <w:tc>
          <w:tcPr>
            <w:tcW w:w="2053" w:type="dxa"/>
          </w:tcPr>
          <w:p w14:paraId="00944A0C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-0.20±1.12</w:t>
            </w:r>
          </w:p>
        </w:tc>
        <w:tc>
          <w:tcPr>
            <w:tcW w:w="2053" w:type="dxa"/>
          </w:tcPr>
          <w:p w14:paraId="53E95698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0.029</w:t>
            </w:r>
          </w:p>
        </w:tc>
      </w:tr>
      <w:tr w:rsidR="00C57455" w:rsidRPr="00DC07C3" w14:paraId="3141966F" w14:textId="77777777" w:rsidTr="00B07039">
        <w:tc>
          <w:tcPr>
            <w:tcW w:w="2053" w:type="dxa"/>
          </w:tcPr>
          <w:p w14:paraId="14B55BC4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bookmarkStart w:id="0" w:name="_Hlk81746108"/>
            <w:r w:rsidRPr="00DC07C3">
              <w:rPr>
                <w:rFonts w:cs="Arial"/>
                <w:sz w:val="20"/>
                <w:szCs w:val="20"/>
              </w:rPr>
              <w:t>Left femoral neck</w:t>
            </w:r>
          </w:p>
        </w:tc>
        <w:tc>
          <w:tcPr>
            <w:tcW w:w="2053" w:type="dxa"/>
          </w:tcPr>
          <w:p w14:paraId="0C8E2295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-0.70±1.19</w:t>
            </w:r>
          </w:p>
        </w:tc>
        <w:tc>
          <w:tcPr>
            <w:tcW w:w="2053" w:type="dxa"/>
          </w:tcPr>
          <w:p w14:paraId="43D16055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-0.83±1.12</w:t>
            </w:r>
          </w:p>
        </w:tc>
        <w:tc>
          <w:tcPr>
            <w:tcW w:w="2053" w:type="dxa"/>
          </w:tcPr>
          <w:p w14:paraId="52696B2E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0.044</w:t>
            </w:r>
          </w:p>
        </w:tc>
      </w:tr>
      <w:tr w:rsidR="00C57455" w:rsidRPr="00DC07C3" w14:paraId="2BB1886E" w14:textId="77777777" w:rsidTr="00B07039">
        <w:tc>
          <w:tcPr>
            <w:tcW w:w="2053" w:type="dxa"/>
          </w:tcPr>
          <w:p w14:paraId="3C34E82E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Left Ward’s triangle</w:t>
            </w:r>
          </w:p>
        </w:tc>
        <w:tc>
          <w:tcPr>
            <w:tcW w:w="2053" w:type="dxa"/>
          </w:tcPr>
          <w:p w14:paraId="54BC0DF8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-1.37±1.16</w:t>
            </w:r>
          </w:p>
        </w:tc>
        <w:tc>
          <w:tcPr>
            <w:tcW w:w="2053" w:type="dxa"/>
          </w:tcPr>
          <w:p w14:paraId="4D70B417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-1.44±1.15</w:t>
            </w:r>
          </w:p>
        </w:tc>
        <w:tc>
          <w:tcPr>
            <w:tcW w:w="2053" w:type="dxa"/>
          </w:tcPr>
          <w:p w14:paraId="77B9BDC1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0.234</w:t>
            </w:r>
          </w:p>
        </w:tc>
      </w:tr>
      <w:tr w:rsidR="00C57455" w:rsidRPr="00DC07C3" w14:paraId="2A649075" w14:textId="77777777" w:rsidTr="00B07039">
        <w:tc>
          <w:tcPr>
            <w:tcW w:w="2053" w:type="dxa"/>
          </w:tcPr>
          <w:p w14:paraId="54CBAC6A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Left trochanter major</w:t>
            </w:r>
          </w:p>
        </w:tc>
        <w:tc>
          <w:tcPr>
            <w:tcW w:w="2053" w:type="dxa"/>
          </w:tcPr>
          <w:p w14:paraId="24A25126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-1.24±0.95</w:t>
            </w:r>
          </w:p>
        </w:tc>
        <w:tc>
          <w:tcPr>
            <w:tcW w:w="2053" w:type="dxa"/>
          </w:tcPr>
          <w:p w14:paraId="020FF533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-1.13±0.91</w:t>
            </w:r>
          </w:p>
        </w:tc>
        <w:tc>
          <w:tcPr>
            <w:tcW w:w="2053" w:type="dxa"/>
          </w:tcPr>
          <w:p w14:paraId="393E6990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0.147</w:t>
            </w:r>
          </w:p>
        </w:tc>
      </w:tr>
      <w:tr w:rsidR="00C57455" w:rsidRPr="00DC07C3" w14:paraId="288E91A2" w14:textId="77777777" w:rsidTr="00B07039">
        <w:tc>
          <w:tcPr>
            <w:tcW w:w="2053" w:type="dxa"/>
          </w:tcPr>
          <w:p w14:paraId="6F06AC7F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Left hip</w:t>
            </w:r>
          </w:p>
        </w:tc>
        <w:tc>
          <w:tcPr>
            <w:tcW w:w="2053" w:type="dxa"/>
          </w:tcPr>
          <w:p w14:paraId="6E1475BA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-0.68±0.98</w:t>
            </w:r>
          </w:p>
        </w:tc>
        <w:tc>
          <w:tcPr>
            <w:tcW w:w="2053" w:type="dxa"/>
          </w:tcPr>
          <w:p w14:paraId="21F5487F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-0.70±1.01</w:t>
            </w:r>
          </w:p>
        </w:tc>
        <w:tc>
          <w:tcPr>
            <w:tcW w:w="2053" w:type="dxa"/>
          </w:tcPr>
          <w:p w14:paraId="59EB0794" w14:textId="77777777" w:rsidR="00C57455" w:rsidRPr="00DC07C3" w:rsidRDefault="00C57455" w:rsidP="00B07039">
            <w:pPr>
              <w:rPr>
                <w:rFonts w:cs="Arial"/>
                <w:sz w:val="20"/>
                <w:szCs w:val="20"/>
              </w:rPr>
            </w:pPr>
            <w:r w:rsidRPr="00DC07C3">
              <w:rPr>
                <w:rFonts w:cs="Arial"/>
                <w:sz w:val="20"/>
                <w:szCs w:val="20"/>
              </w:rPr>
              <w:t>0.456</w:t>
            </w:r>
          </w:p>
        </w:tc>
      </w:tr>
      <w:bookmarkEnd w:id="0"/>
    </w:tbl>
    <w:p w14:paraId="6165B7F3" w14:textId="77777777" w:rsidR="00C57455" w:rsidRPr="00C57455" w:rsidRDefault="00C57455">
      <w:pPr>
        <w:rPr>
          <w:rFonts w:hint="eastAsia"/>
        </w:rPr>
      </w:pPr>
    </w:p>
    <w:sectPr w:rsidR="00C57455" w:rsidRPr="00C57455" w:rsidSect="00CD0578">
      <w:type w:val="continuous"/>
      <w:pgSz w:w="11057" w:h="15309"/>
      <w:pgMar w:top="1417" w:right="1418" w:bottom="1417" w:left="141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C12F" w14:textId="77777777" w:rsidR="00720912" w:rsidRDefault="00720912" w:rsidP="00C953C6">
      <w:r>
        <w:separator/>
      </w:r>
    </w:p>
  </w:endnote>
  <w:endnote w:type="continuationSeparator" w:id="0">
    <w:p w14:paraId="7E9EEAEA" w14:textId="77777777" w:rsidR="00720912" w:rsidRDefault="00720912" w:rsidP="00C9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8B23" w14:textId="77777777" w:rsidR="00720912" w:rsidRDefault="00720912" w:rsidP="00C953C6">
      <w:r>
        <w:separator/>
      </w:r>
    </w:p>
  </w:footnote>
  <w:footnote w:type="continuationSeparator" w:id="0">
    <w:p w14:paraId="467FB2E8" w14:textId="77777777" w:rsidR="00720912" w:rsidRDefault="00720912" w:rsidP="00C9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27"/>
    <w:rsid w:val="002D3FA1"/>
    <w:rsid w:val="00361090"/>
    <w:rsid w:val="00720912"/>
    <w:rsid w:val="00C57455"/>
    <w:rsid w:val="00C953C6"/>
    <w:rsid w:val="00CD0578"/>
    <w:rsid w:val="00F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E7C21"/>
  <w15:chartTrackingRefBased/>
  <w15:docId w15:val="{EA0BE01E-153A-4A16-BD8B-A7BA98E9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 Light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3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3C6"/>
    <w:rPr>
      <w:sz w:val="18"/>
      <w:szCs w:val="18"/>
    </w:rPr>
  </w:style>
  <w:style w:type="table" w:styleId="a7">
    <w:name w:val="Table Grid"/>
    <w:basedOn w:val="a1"/>
    <w:uiPriority w:val="39"/>
    <w:rsid w:val="00C9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 Yang</dc:creator>
  <cp:keywords/>
  <dc:description/>
  <cp:lastModifiedBy>Chunli Yang</cp:lastModifiedBy>
  <cp:revision>4</cp:revision>
  <dcterms:created xsi:type="dcterms:W3CDTF">2021-09-15T02:33:00Z</dcterms:created>
  <dcterms:modified xsi:type="dcterms:W3CDTF">2021-09-15T02:36:00Z</dcterms:modified>
</cp:coreProperties>
</file>