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outlineLvl w:val="0"/>
        <w:rPr>
          <w:rFonts w:hint="default" w:ascii="Times New Roman" w:hAnsi="Times New Roman" w:cs="Times New Roman"/>
          <w:b/>
          <w:bCs/>
          <w:sz w:val="32"/>
          <w:szCs w:val="36"/>
        </w:rPr>
      </w:pPr>
      <w:r>
        <w:rPr>
          <w:rFonts w:hint="default" w:ascii="Times New Roman" w:hAnsi="Times New Roman" w:cs="Times New Roman"/>
          <w:b/>
          <w:bCs/>
          <w:sz w:val="32"/>
          <w:szCs w:val="36"/>
        </w:rPr>
        <w:t>Supplemental Material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All analyses reported in this manuscript are fully reproducible using these materials. Supplementary materials include: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Table S1. Full-scale items with response anchors and source references.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Table S2. Descriptive statistics and item-total correlations.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Table S3. Discriminant validity: Fornell–Larcker criterion.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Table S4. Discriminant validity: Heterotrait–monotrait (HTMT) ratios.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Table S5. Comprehensive node centrality indices: bridge strength, bridge betweenness, bridge closeness, and bridge expected influence.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Table S6. Sensitivity analysis results across EBICglasso tuning parameters γ = 0.25, 0.50, and 0.75.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>
      <w:pPr>
        <w:pStyle w:val="6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contextualSpacing/>
        <w:jc w:val="left"/>
        <w:textAlignment w:val="auto"/>
        <w:rPr>
          <w:rFonts w:hint="eastAsia" w:eastAsia="Calibri" w:cs="Times New Roman"/>
          <w:color w:val="000000"/>
          <w:szCs w:val="2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contextualSpacing/>
        <w:jc w:val="left"/>
        <w:textAlignment w:val="auto"/>
        <w:rPr>
          <w:rFonts w:hint="default" w:eastAsia="Calibri" w:cs="Times New Roman"/>
          <w:color w:val="000000"/>
          <w:szCs w:val="2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contextualSpacing/>
        <w:jc w:val="left"/>
        <w:textAlignment w:val="auto"/>
        <w:rPr>
          <w:rFonts w:hint="eastAsia" w:eastAsia="Calibri" w:cs="Times New Roman"/>
          <w:color w:val="000000"/>
          <w:szCs w:val="2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contextualSpacing/>
        <w:jc w:val="left"/>
        <w:textAlignment w:val="auto"/>
        <w:rPr>
          <w:rFonts w:hint="eastAsia" w:eastAsia="Calibri" w:cs="Times New Roman"/>
          <w:color w:val="000000"/>
          <w:szCs w:val="2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contextualSpacing/>
        <w:jc w:val="left"/>
        <w:textAlignment w:val="auto"/>
        <w:rPr>
          <w:rFonts w:hint="eastAsia" w:eastAsia="Calibri" w:cs="Times New Roman"/>
          <w:color w:val="000000"/>
          <w:szCs w:val="2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contextualSpacing/>
        <w:jc w:val="left"/>
        <w:textAlignment w:val="auto"/>
        <w:rPr>
          <w:rFonts w:hint="eastAsia" w:eastAsia="Calibri" w:cs="Times New Roman"/>
          <w:color w:val="000000"/>
          <w:szCs w:val="2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contextualSpacing/>
        <w:jc w:val="left"/>
        <w:textAlignment w:val="auto"/>
        <w:rPr>
          <w:rFonts w:hint="eastAsia" w:eastAsia="Calibri" w:cs="Times New Roman"/>
          <w:color w:val="000000"/>
          <w:szCs w:val="2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contextualSpacing/>
        <w:jc w:val="left"/>
        <w:textAlignment w:val="auto"/>
        <w:rPr>
          <w:rFonts w:hint="eastAsia" w:eastAsia="Calibri" w:cs="Times New Roman"/>
          <w:color w:val="000000"/>
          <w:szCs w:val="2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contextualSpacing/>
        <w:jc w:val="left"/>
        <w:textAlignment w:val="auto"/>
        <w:rPr>
          <w:rFonts w:hint="eastAsia" w:eastAsia="Calibri" w:cs="Times New Roman"/>
          <w:color w:val="000000"/>
          <w:szCs w:val="2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contextualSpacing/>
        <w:jc w:val="left"/>
        <w:textAlignment w:val="auto"/>
        <w:rPr>
          <w:rFonts w:hint="eastAsia" w:eastAsia="Calibri" w:cs="Times New Roman"/>
          <w:color w:val="000000"/>
          <w:szCs w:val="2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contextualSpacing/>
        <w:jc w:val="left"/>
        <w:textAlignment w:val="auto"/>
        <w:rPr>
          <w:rFonts w:hint="eastAsia" w:eastAsia="Calibri" w:cs="Times New Roman"/>
          <w:color w:val="000000"/>
          <w:szCs w:val="2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970"/>
        <w:gridCol w:w="3000"/>
        <w:gridCol w:w="2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  <w:t>Dimension</w:t>
            </w:r>
          </w:p>
        </w:tc>
        <w:tc>
          <w:tcPr>
            <w:tcW w:w="97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  <w:t>Item Code</w:t>
            </w:r>
          </w:p>
        </w:tc>
        <w:tc>
          <w:tcPr>
            <w:tcW w:w="300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  <w:t>English Wording</w:t>
            </w:r>
          </w:p>
        </w:tc>
        <w:tc>
          <w:tcPr>
            <w:tcW w:w="262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  <w:t>Chinese Wording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1" w:type="dxa"/>
            <w:vMerge w:val="restart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  <w:t>Psychosocial Competence (PSC)</w:t>
            </w:r>
          </w:p>
        </w:tc>
        <w:tc>
          <w:tcPr>
            <w:tcW w:w="97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  <w:t>PSC1</w:t>
            </w:r>
          </w:p>
        </w:tc>
        <w:tc>
          <w:tcPr>
            <w:tcW w:w="300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</w:rPr>
              <w:t>Actively cultivate hobbies and interests</w:t>
            </w:r>
          </w:p>
        </w:tc>
        <w:tc>
          <w:tcPr>
            <w:tcW w:w="262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</w:rPr>
              <w:t>积极培养自己的兴趣爱好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1" w:type="dxa"/>
            <w:vMerge w:val="continue"/>
            <w:tcBorders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</w:pPr>
          </w:p>
        </w:tc>
        <w:tc>
          <w:tcPr>
            <w:tcW w:w="97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  <w:t>PSC2</w:t>
            </w:r>
          </w:p>
        </w:tc>
        <w:tc>
          <w:tcPr>
            <w:tcW w:w="300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</w:rPr>
              <w:t>Value life and health</w:t>
            </w:r>
          </w:p>
        </w:tc>
        <w:tc>
          <w:tcPr>
            <w:tcW w:w="262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</w:rPr>
              <w:t>珍视生命与健康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1" w:type="dxa"/>
            <w:vMerge w:val="continue"/>
            <w:tcBorders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</w:pPr>
          </w:p>
        </w:tc>
        <w:tc>
          <w:tcPr>
            <w:tcW w:w="97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  <w:t>PSC3</w:t>
            </w:r>
          </w:p>
        </w:tc>
        <w:tc>
          <w:tcPr>
            <w:tcW w:w="300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</w:rPr>
              <w:t>Actions positively influence others</w:t>
            </w:r>
          </w:p>
        </w:tc>
        <w:tc>
          <w:tcPr>
            <w:tcW w:w="262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</w:rPr>
              <w:t>自己的行为能对他人产生积极影响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1" w:type="dxa"/>
            <w:vMerge w:val="continue"/>
            <w:tcBorders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</w:pPr>
          </w:p>
        </w:tc>
        <w:tc>
          <w:tcPr>
            <w:tcW w:w="97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  <w:t>PSC4</w:t>
            </w:r>
          </w:p>
        </w:tc>
        <w:tc>
          <w:tcPr>
            <w:tcW w:w="300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</w:rPr>
              <w:t>Effectively communicate across cultures</w:t>
            </w:r>
          </w:p>
        </w:tc>
        <w:tc>
          <w:tcPr>
            <w:tcW w:w="262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</w:rPr>
              <w:t>能够进行有效的跨文化沟通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1" w:type="dxa"/>
            <w:vMerge w:val="continue"/>
            <w:tcBorders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</w:pPr>
          </w:p>
        </w:tc>
        <w:tc>
          <w:tcPr>
            <w:tcW w:w="97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  <w:t>PSC5</w:t>
            </w:r>
          </w:p>
        </w:tc>
        <w:tc>
          <w:tcPr>
            <w:tcW w:w="300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</w:rPr>
              <w:t>Seek support when stressed</w:t>
            </w:r>
          </w:p>
        </w:tc>
        <w:tc>
          <w:tcPr>
            <w:tcW w:w="262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</w:rPr>
              <w:t>在压力大时主动寻求支持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1" w:type="dxa"/>
            <w:vMerge w:val="continue"/>
            <w:tcBorders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</w:pPr>
          </w:p>
        </w:tc>
        <w:tc>
          <w:tcPr>
            <w:tcW w:w="97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  <w:t>PSC6</w:t>
            </w:r>
          </w:p>
        </w:tc>
        <w:tc>
          <w:tcPr>
            <w:tcW w:w="300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</w:rPr>
              <w:t>Encourage self after setbacks</w:t>
            </w:r>
          </w:p>
        </w:tc>
        <w:tc>
          <w:tcPr>
            <w:tcW w:w="262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</w:rPr>
              <w:t>遭遇挫折后能够自我鼓励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1" w:type="dxa"/>
            <w:vMerge w:val="restart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  <w:t>Health-Promoting Behavior (HPB)</w:t>
            </w:r>
          </w:p>
        </w:tc>
        <w:tc>
          <w:tcPr>
            <w:tcW w:w="97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  <w:t>HPB1</w:t>
            </w:r>
          </w:p>
        </w:tc>
        <w:tc>
          <w:tcPr>
            <w:tcW w:w="300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</w:rPr>
              <w:t>Maintain regular, balanced meals</w:t>
            </w:r>
          </w:p>
        </w:tc>
        <w:tc>
          <w:tcPr>
            <w:tcW w:w="262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</w:rPr>
              <w:t>保持规律、均衡的膳食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1" w:type="dxa"/>
            <w:vMerge w:val="continue"/>
            <w:tcBorders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</w:pPr>
          </w:p>
        </w:tc>
        <w:tc>
          <w:tcPr>
            <w:tcW w:w="97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  <w:t>HPB2</w:t>
            </w:r>
          </w:p>
        </w:tc>
        <w:tc>
          <w:tcPr>
            <w:tcW w:w="300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</w:rPr>
              <w:t>Understand functions of nutrients</w:t>
            </w:r>
          </w:p>
        </w:tc>
        <w:tc>
          <w:tcPr>
            <w:tcW w:w="262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</w:rPr>
              <w:t>了解各类营养素的生理功能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1" w:type="dxa"/>
            <w:vMerge w:val="continue"/>
            <w:tcBorders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</w:pPr>
          </w:p>
        </w:tc>
        <w:tc>
          <w:tcPr>
            <w:tcW w:w="97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  <w:t>HPB3</w:t>
            </w:r>
          </w:p>
        </w:tc>
        <w:tc>
          <w:tcPr>
            <w:tcW w:w="300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</w:rPr>
              <w:t>Ensure adequate sleep</w:t>
            </w:r>
          </w:p>
        </w:tc>
        <w:tc>
          <w:tcPr>
            <w:tcW w:w="262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</w:rPr>
              <w:t>保证充足的睡眠时间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1" w:type="dxa"/>
            <w:vMerge w:val="continue"/>
            <w:tcBorders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</w:pPr>
          </w:p>
        </w:tc>
        <w:tc>
          <w:tcPr>
            <w:tcW w:w="97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  <w:t>HPB4</w:t>
            </w:r>
          </w:p>
        </w:tc>
        <w:tc>
          <w:tcPr>
            <w:tcW w:w="300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</w:rPr>
              <w:t>Control screen time</w:t>
            </w:r>
          </w:p>
        </w:tc>
        <w:tc>
          <w:tcPr>
            <w:tcW w:w="262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</w:rPr>
              <w:t>控制电子屏幕使用时间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1" w:type="dxa"/>
            <w:vMerge w:val="continue"/>
            <w:tcBorders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</w:pPr>
          </w:p>
        </w:tc>
        <w:tc>
          <w:tcPr>
            <w:tcW w:w="97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  <w:t>HPB5</w:t>
            </w:r>
          </w:p>
        </w:tc>
        <w:tc>
          <w:tcPr>
            <w:tcW w:w="300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</w:rPr>
              <w:t>Persist in physical exercise</w:t>
            </w:r>
          </w:p>
        </w:tc>
        <w:tc>
          <w:tcPr>
            <w:tcW w:w="262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</w:rPr>
              <w:t>坚持体育锻炼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1" w:type="dxa"/>
            <w:vMerge w:val="restart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  <w:t>Health Information Literacy (HIL)</w:t>
            </w:r>
          </w:p>
        </w:tc>
        <w:tc>
          <w:tcPr>
            <w:tcW w:w="97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  <w:t>HIL1</w:t>
            </w:r>
          </w:p>
        </w:tc>
        <w:tc>
          <w:tcPr>
            <w:tcW w:w="300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</w:rPr>
              <w:t>Obtain information via multiple channels</w:t>
            </w:r>
          </w:p>
        </w:tc>
        <w:tc>
          <w:tcPr>
            <w:tcW w:w="262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</w:rPr>
              <w:t>能够通过多种渠道获取健康信息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1" w:type="dxa"/>
            <w:vMerge w:val="continue"/>
            <w:tcBorders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</w:pPr>
          </w:p>
        </w:tc>
        <w:tc>
          <w:tcPr>
            <w:tcW w:w="97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  <w:t>HIL2</w:t>
            </w:r>
          </w:p>
        </w:tc>
        <w:tc>
          <w:tcPr>
            <w:tcW w:w="300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</w:rPr>
              <w:t>Evaluate information reliability</w:t>
            </w:r>
          </w:p>
        </w:tc>
        <w:tc>
          <w:tcPr>
            <w:tcW w:w="262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</w:rPr>
              <w:t>能够评估健康信息的可靠性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1" w:type="dxa"/>
            <w:vMerge w:val="continue"/>
            <w:tcBorders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</w:pPr>
          </w:p>
        </w:tc>
        <w:tc>
          <w:tcPr>
            <w:tcW w:w="97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  <w:t>HIL3</w:t>
            </w:r>
          </w:p>
        </w:tc>
        <w:tc>
          <w:tcPr>
            <w:tcW w:w="300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</w:rPr>
              <w:t>Convey health information clearly</w:t>
            </w:r>
          </w:p>
        </w:tc>
        <w:tc>
          <w:tcPr>
            <w:tcW w:w="262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</w:rPr>
              <w:t>能够清晰地向他人传达健康信息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1" w:type="dxa"/>
            <w:vMerge w:val="continue"/>
            <w:tcBorders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</w:pPr>
          </w:p>
        </w:tc>
        <w:tc>
          <w:tcPr>
            <w:tcW w:w="97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  <w:t>HIL4</w:t>
            </w:r>
          </w:p>
        </w:tc>
        <w:tc>
          <w:tcPr>
            <w:tcW w:w="300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</w:rPr>
              <w:t>Make decisions based on information</w:t>
            </w:r>
          </w:p>
        </w:tc>
        <w:tc>
          <w:tcPr>
            <w:tcW w:w="262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</w:rPr>
              <w:t>能够基于获取的信息做出健康决策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1" w:type="dxa"/>
            <w:vMerge w:val="continue"/>
            <w:tcBorders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</w:pPr>
          </w:p>
        </w:tc>
        <w:tc>
          <w:tcPr>
            <w:tcW w:w="97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  <w:t>HIL5</w:t>
            </w:r>
          </w:p>
        </w:tc>
        <w:tc>
          <w:tcPr>
            <w:tcW w:w="300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</w:rPr>
              <w:t>Actively follow medical advice</w:t>
            </w:r>
          </w:p>
        </w:tc>
        <w:tc>
          <w:tcPr>
            <w:tcW w:w="262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</w:rPr>
              <w:t>能够主动遵从医嘱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1" w:type="dxa"/>
            <w:vMerge w:val="continue"/>
            <w:tcBorders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</w:pPr>
          </w:p>
        </w:tc>
        <w:tc>
          <w:tcPr>
            <w:tcW w:w="97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  <w:t>HIL6</w:t>
            </w:r>
          </w:p>
        </w:tc>
        <w:tc>
          <w:tcPr>
            <w:tcW w:w="300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</w:rPr>
              <w:t>Read drug instructions correctly</w:t>
            </w:r>
          </w:p>
        </w:tc>
        <w:tc>
          <w:tcPr>
            <w:tcW w:w="262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</w:rPr>
              <w:t>能够正确阅读和理解药品说明书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1" w:type="dxa"/>
            <w:vMerge w:val="restart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  <w:t>Self-Care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  <w:t>Skills  (SCA)</w:t>
            </w:r>
          </w:p>
        </w:tc>
        <w:tc>
          <w:tcPr>
            <w:tcW w:w="97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  <w:t>SCA1</w:t>
            </w:r>
          </w:p>
        </w:tc>
        <w:tc>
          <w:tcPr>
            <w:tcW w:w="300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</w:rPr>
              <w:t>Interpret fitness test data</w:t>
            </w:r>
          </w:p>
        </w:tc>
        <w:tc>
          <w:tcPr>
            <w:tcW w:w="262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</w:rPr>
              <w:t>能够解读体测数据（如心率、肺活量等）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1" w:type="dxa"/>
            <w:vMerge w:val="continue"/>
            <w:tcBorders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</w:pPr>
          </w:p>
        </w:tc>
        <w:tc>
          <w:tcPr>
            <w:tcW w:w="97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  <w:t>SCA2</w:t>
            </w:r>
          </w:p>
        </w:tc>
        <w:tc>
          <w:tcPr>
            <w:tcW w:w="300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</w:rPr>
              <w:t>Measure pulse correctly</w:t>
            </w:r>
          </w:p>
        </w:tc>
        <w:tc>
          <w:tcPr>
            <w:tcW w:w="262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</w:rPr>
              <w:t>能够正确测量自己的脉搏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1" w:type="dxa"/>
            <w:vMerge w:val="continue"/>
            <w:tcBorders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</w:pPr>
          </w:p>
        </w:tc>
        <w:tc>
          <w:tcPr>
            <w:tcW w:w="97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  <w:t>SCA3</w:t>
            </w:r>
          </w:p>
        </w:tc>
        <w:tc>
          <w:tcPr>
            <w:tcW w:w="300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</w:rPr>
              <w:t>Handle common injuries/emergencies</w:t>
            </w:r>
          </w:p>
        </w:tc>
        <w:tc>
          <w:tcPr>
            <w:tcW w:w="262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</w:rPr>
              <w:t>能够处理常见损伤或紧急情况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1" w:type="dxa"/>
            <w:vMerge w:val="continue"/>
            <w:tcBorders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</w:pPr>
          </w:p>
        </w:tc>
        <w:tc>
          <w:tcPr>
            <w:tcW w:w="97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  <w:t>SCA4</w:t>
            </w:r>
          </w:p>
        </w:tc>
        <w:tc>
          <w:tcPr>
            <w:tcW w:w="300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</w:rPr>
              <w:t>Recognize safety/distress signals</w:t>
            </w:r>
          </w:p>
        </w:tc>
        <w:tc>
          <w:tcPr>
            <w:tcW w:w="262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</w:rPr>
              <w:t>能够识别自身的安全/危险信号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1" w:type="dxa"/>
            <w:vMerge w:val="continue"/>
            <w:tcBorders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</w:pPr>
          </w:p>
        </w:tc>
        <w:tc>
          <w:tcPr>
            <w:tcW w:w="97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  <w:t>SCA5</w:t>
            </w:r>
          </w:p>
        </w:tc>
        <w:tc>
          <w:tcPr>
            <w:tcW w:w="300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</w:rPr>
              <w:t>Handle mild burns/cuts</w:t>
            </w:r>
          </w:p>
        </w:tc>
        <w:tc>
          <w:tcPr>
            <w:tcW w:w="262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</w:rPr>
              <w:t>能够处理轻度烧烫伤或割伤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1" w:type="dxa"/>
            <w:vMerge w:val="continue"/>
            <w:tcBorders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</w:pPr>
          </w:p>
        </w:tc>
        <w:tc>
          <w:tcPr>
            <w:tcW w:w="97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  <w:t>SCA6</w:t>
            </w:r>
          </w:p>
        </w:tc>
        <w:tc>
          <w:tcPr>
            <w:tcW w:w="300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</w:rPr>
              <w:t>Use emergency equipment correctly</w:t>
            </w:r>
          </w:p>
        </w:tc>
        <w:tc>
          <w:tcPr>
            <w:tcW w:w="262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</w:rPr>
              <w:t>能够正确使用应急设备（如灭火器等）</w:t>
            </w:r>
          </w:p>
        </w:tc>
      </w:tr>
    </w:tbl>
    <w:p>
      <w:pPr>
        <w:spacing w:line="360" w:lineRule="auto"/>
        <w:rPr>
          <w:rFonts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eastAsia" w:ascii="Times New Roman" w:hAnsi="Times New Roman" w:eastAsia="宋体" w:cs="Times New Roman"/>
          <w:b w:val="0"/>
          <w:bCs/>
          <w:sz w:val="21"/>
          <w:szCs w:val="21"/>
        </w:rPr>
        <w:t>Table S1. Full-scale items with response anchors and source references.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contextualSpacing/>
        <w:jc w:val="left"/>
        <w:textAlignment w:val="auto"/>
        <w:rPr>
          <w:rFonts w:hint="eastAsia" w:eastAsia="Calibri" w:cs="Times New Roman"/>
          <w:color w:val="000000"/>
          <w:szCs w:val="2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contextualSpacing/>
        <w:jc w:val="left"/>
        <w:textAlignment w:val="auto"/>
        <w:rPr>
          <w:rFonts w:hint="eastAsia" w:eastAsia="Calibri" w:cs="Times New Roman"/>
          <w:color w:val="000000"/>
          <w:szCs w:val="2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contextualSpacing/>
        <w:jc w:val="left"/>
        <w:textAlignment w:val="auto"/>
        <w:rPr>
          <w:rFonts w:hint="eastAsia" w:eastAsia="Calibri" w:cs="Times New Roman"/>
          <w:color w:val="000000"/>
          <w:szCs w:val="2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1092"/>
        <w:gridCol w:w="1045"/>
        <w:gridCol w:w="1200"/>
        <w:gridCol w:w="1164"/>
        <w:gridCol w:w="1242"/>
        <w:gridCol w:w="1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3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Item</w:t>
            </w:r>
          </w:p>
        </w:tc>
        <w:tc>
          <w:tcPr>
            <w:tcW w:w="109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Mean</w:t>
            </w:r>
          </w:p>
        </w:tc>
        <w:tc>
          <w:tcPr>
            <w:tcW w:w="1045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SD</w:t>
            </w:r>
          </w:p>
        </w:tc>
        <w:tc>
          <w:tcPr>
            <w:tcW w:w="1200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Skewness</w:t>
            </w:r>
          </w:p>
        </w:tc>
        <w:tc>
          <w:tcPr>
            <w:tcW w:w="1164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Kurtosis</w:t>
            </w:r>
          </w:p>
        </w:tc>
        <w:tc>
          <w:tcPr>
            <w:tcW w:w="124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Item-Total r</w:t>
            </w:r>
          </w:p>
        </w:tc>
        <w:tc>
          <w:tcPr>
            <w:tcW w:w="114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α if deleted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3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PSC1</w:t>
            </w:r>
          </w:p>
        </w:tc>
        <w:tc>
          <w:tcPr>
            <w:tcW w:w="109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2.23</w:t>
            </w:r>
          </w:p>
        </w:tc>
        <w:tc>
          <w:tcPr>
            <w:tcW w:w="1045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0.66</w:t>
            </w:r>
          </w:p>
        </w:tc>
        <w:tc>
          <w:tcPr>
            <w:tcW w:w="1200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-0.13</w:t>
            </w:r>
          </w:p>
        </w:tc>
        <w:tc>
          <w:tcPr>
            <w:tcW w:w="1164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-0.50</w:t>
            </w:r>
          </w:p>
        </w:tc>
        <w:tc>
          <w:tcPr>
            <w:tcW w:w="124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0.80</w:t>
            </w:r>
          </w:p>
        </w:tc>
        <w:tc>
          <w:tcPr>
            <w:tcW w:w="114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0.940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3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PSC2</w:t>
            </w:r>
          </w:p>
        </w:tc>
        <w:tc>
          <w:tcPr>
            <w:tcW w:w="109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2.09</w:t>
            </w:r>
          </w:p>
        </w:tc>
        <w:tc>
          <w:tcPr>
            <w:tcW w:w="1045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0.67</w:t>
            </w:r>
          </w:p>
        </w:tc>
        <w:tc>
          <w:tcPr>
            <w:tcW w:w="1200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0.14</w:t>
            </w:r>
          </w:p>
        </w:tc>
        <w:tc>
          <w:tcPr>
            <w:tcW w:w="1164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0.15</w:t>
            </w:r>
          </w:p>
        </w:tc>
        <w:tc>
          <w:tcPr>
            <w:tcW w:w="124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0.81</w:t>
            </w:r>
          </w:p>
        </w:tc>
        <w:tc>
          <w:tcPr>
            <w:tcW w:w="114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0.938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3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PSC3</w:t>
            </w:r>
          </w:p>
        </w:tc>
        <w:tc>
          <w:tcPr>
            <w:tcW w:w="109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2.26</w:t>
            </w:r>
          </w:p>
        </w:tc>
        <w:tc>
          <w:tcPr>
            <w:tcW w:w="1045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0.67</w:t>
            </w:r>
          </w:p>
        </w:tc>
        <w:tc>
          <w:tcPr>
            <w:tcW w:w="1200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-0.09</w:t>
            </w:r>
          </w:p>
        </w:tc>
        <w:tc>
          <w:tcPr>
            <w:tcW w:w="1164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-0.42</w:t>
            </w:r>
          </w:p>
        </w:tc>
        <w:tc>
          <w:tcPr>
            <w:tcW w:w="124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0.82</w:t>
            </w:r>
          </w:p>
        </w:tc>
        <w:tc>
          <w:tcPr>
            <w:tcW w:w="114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0.937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3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PSC4</w:t>
            </w:r>
          </w:p>
        </w:tc>
        <w:tc>
          <w:tcPr>
            <w:tcW w:w="109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2.28</w:t>
            </w:r>
          </w:p>
        </w:tc>
        <w:tc>
          <w:tcPr>
            <w:tcW w:w="1045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0.69</w:t>
            </w:r>
          </w:p>
        </w:tc>
        <w:tc>
          <w:tcPr>
            <w:tcW w:w="1200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0.07</w:t>
            </w:r>
          </w:p>
        </w:tc>
        <w:tc>
          <w:tcPr>
            <w:tcW w:w="1164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0.05</w:t>
            </w:r>
          </w:p>
        </w:tc>
        <w:tc>
          <w:tcPr>
            <w:tcW w:w="124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0.82</w:t>
            </w:r>
          </w:p>
        </w:tc>
        <w:tc>
          <w:tcPr>
            <w:tcW w:w="114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0.938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3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PSC5</w:t>
            </w:r>
          </w:p>
        </w:tc>
        <w:tc>
          <w:tcPr>
            <w:tcW w:w="109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2.19</w:t>
            </w:r>
          </w:p>
        </w:tc>
        <w:tc>
          <w:tcPr>
            <w:tcW w:w="1045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0.66</w:t>
            </w:r>
          </w:p>
        </w:tc>
        <w:tc>
          <w:tcPr>
            <w:tcW w:w="1200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0.19</w:t>
            </w:r>
          </w:p>
        </w:tc>
        <w:tc>
          <w:tcPr>
            <w:tcW w:w="1164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0.67</w:t>
            </w:r>
          </w:p>
        </w:tc>
        <w:tc>
          <w:tcPr>
            <w:tcW w:w="124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0.89</w:t>
            </w:r>
          </w:p>
        </w:tc>
        <w:tc>
          <w:tcPr>
            <w:tcW w:w="114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0.930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3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PSC6</w:t>
            </w:r>
          </w:p>
        </w:tc>
        <w:tc>
          <w:tcPr>
            <w:tcW w:w="109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2.23</w:t>
            </w:r>
          </w:p>
        </w:tc>
        <w:tc>
          <w:tcPr>
            <w:tcW w:w="1045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0.66</w:t>
            </w:r>
          </w:p>
        </w:tc>
        <w:tc>
          <w:tcPr>
            <w:tcW w:w="1200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0.05</w:t>
            </w:r>
          </w:p>
        </w:tc>
        <w:tc>
          <w:tcPr>
            <w:tcW w:w="1164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0.15</w:t>
            </w:r>
          </w:p>
        </w:tc>
        <w:tc>
          <w:tcPr>
            <w:tcW w:w="124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0.87</w:t>
            </w:r>
          </w:p>
        </w:tc>
        <w:tc>
          <w:tcPr>
            <w:tcW w:w="114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0.932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3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HPB1</w:t>
            </w:r>
          </w:p>
        </w:tc>
        <w:tc>
          <w:tcPr>
            <w:tcW w:w="109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2.39</w:t>
            </w:r>
          </w:p>
        </w:tc>
        <w:tc>
          <w:tcPr>
            <w:tcW w:w="1045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0.72</w:t>
            </w:r>
          </w:p>
        </w:tc>
        <w:tc>
          <w:tcPr>
            <w:tcW w:w="1200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0.14</w:t>
            </w:r>
          </w:p>
        </w:tc>
        <w:tc>
          <w:tcPr>
            <w:tcW w:w="1164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0.51</w:t>
            </w:r>
          </w:p>
        </w:tc>
        <w:tc>
          <w:tcPr>
            <w:tcW w:w="124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0.81</w:t>
            </w:r>
          </w:p>
        </w:tc>
        <w:tc>
          <w:tcPr>
            <w:tcW w:w="114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0.900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3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HPB2</w:t>
            </w:r>
          </w:p>
        </w:tc>
        <w:tc>
          <w:tcPr>
            <w:tcW w:w="109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2.35</w:t>
            </w:r>
          </w:p>
        </w:tc>
        <w:tc>
          <w:tcPr>
            <w:tcW w:w="1045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0.69</w:t>
            </w:r>
          </w:p>
        </w:tc>
        <w:tc>
          <w:tcPr>
            <w:tcW w:w="1200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0.09</w:t>
            </w:r>
          </w:p>
        </w:tc>
        <w:tc>
          <w:tcPr>
            <w:tcW w:w="1164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0.11</w:t>
            </w:r>
          </w:p>
        </w:tc>
        <w:tc>
          <w:tcPr>
            <w:tcW w:w="124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0.81</w:t>
            </w:r>
          </w:p>
        </w:tc>
        <w:tc>
          <w:tcPr>
            <w:tcW w:w="114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0.900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3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HPB3</w:t>
            </w:r>
          </w:p>
        </w:tc>
        <w:tc>
          <w:tcPr>
            <w:tcW w:w="109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2.39</w:t>
            </w:r>
          </w:p>
        </w:tc>
        <w:tc>
          <w:tcPr>
            <w:tcW w:w="1045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0.70</w:t>
            </w:r>
          </w:p>
        </w:tc>
        <w:tc>
          <w:tcPr>
            <w:tcW w:w="1200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0.06</w:t>
            </w:r>
          </w:p>
        </w:tc>
        <w:tc>
          <w:tcPr>
            <w:tcW w:w="1164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0.32</w:t>
            </w:r>
          </w:p>
        </w:tc>
        <w:tc>
          <w:tcPr>
            <w:tcW w:w="124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0.81</w:t>
            </w:r>
          </w:p>
        </w:tc>
        <w:tc>
          <w:tcPr>
            <w:tcW w:w="114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0.900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3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HPB4</w:t>
            </w:r>
          </w:p>
        </w:tc>
        <w:tc>
          <w:tcPr>
            <w:tcW w:w="109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2.35</w:t>
            </w:r>
          </w:p>
        </w:tc>
        <w:tc>
          <w:tcPr>
            <w:tcW w:w="1045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0.71</w:t>
            </w:r>
          </w:p>
        </w:tc>
        <w:tc>
          <w:tcPr>
            <w:tcW w:w="1200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0.01</w:t>
            </w:r>
          </w:p>
        </w:tc>
        <w:tc>
          <w:tcPr>
            <w:tcW w:w="1164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-0.03</w:t>
            </w:r>
          </w:p>
        </w:tc>
        <w:tc>
          <w:tcPr>
            <w:tcW w:w="124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0.80</w:t>
            </w:r>
          </w:p>
        </w:tc>
        <w:tc>
          <w:tcPr>
            <w:tcW w:w="114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0.901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3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HPB5</w:t>
            </w:r>
          </w:p>
        </w:tc>
        <w:tc>
          <w:tcPr>
            <w:tcW w:w="109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2.44</w:t>
            </w:r>
          </w:p>
        </w:tc>
        <w:tc>
          <w:tcPr>
            <w:tcW w:w="1045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0.75</w:t>
            </w:r>
          </w:p>
        </w:tc>
        <w:tc>
          <w:tcPr>
            <w:tcW w:w="1200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-0.01</w:t>
            </w:r>
          </w:p>
        </w:tc>
        <w:tc>
          <w:tcPr>
            <w:tcW w:w="1164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0.08</w:t>
            </w:r>
          </w:p>
        </w:tc>
        <w:tc>
          <w:tcPr>
            <w:tcW w:w="124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0.76</w:t>
            </w:r>
          </w:p>
        </w:tc>
        <w:tc>
          <w:tcPr>
            <w:tcW w:w="114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0.910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3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HIL1</w:t>
            </w:r>
          </w:p>
        </w:tc>
        <w:tc>
          <w:tcPr>
            <w:tcW w:w="109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2.18</w:t>
            </w:r>
          </w:p>
        </w:tc>
        <w:tc>
          <w:tcPr>
            <w:tcW w:w="1045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0.67</w:t>
            </w:r>
          </w:p>
        </w:tc>
        <w:tc>
          <w:tcPr>
            <w:tcW w:w="1200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0.20</w:t>
            </w:r>
          </w:p>
        </w:tc>
        <w:tc>
          <w:tcPr>
            <w:tcW w:w="1164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0.36</w:t>
            </w:r>
          </w:p>
        </w:tc>
        <w:tc>
          <w:tcPr>
            <w:tcW w:w="124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0.85</w:t>
            </w:r>
          </w:p>
        </w:tc>
        <w:tc>
          <w:tcPr>
            <w:tcW w:w="114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0.941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3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HIL2</w:t>
            </w:r>
          </w:p>
        </w:tc>
        <w:tc>
          <w:tcPr>
            <w:tcW w:w="109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2.23</w:t>
            </w:r>
          </w:p>
        </w:tc>
        <w:tc>
          <w:tcPr>
            <w:tcW w:w="1045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0.66</w:t>
            </w:r>
          </w:p>
        </w:tc>
        <w:tc>
          <w:tcPr>
            <w:tcW w:w="1200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0.09</w:t>
            </w:r>
          </w:p>
        </w:tc>
        <w:tc>
          <w:tcPr>
            <w:tcW w:w="1164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0.20</w:t>
            </w:r>
          </w:p>
        </w:tc>
        <w:tc>
          <w:tcPr>
            <w:tcW w:w="124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0.86</w:t>
            </w:r>
          </w:p>
        </w:tc>
        <w:tc>
          <w:tcPr>
            <w:tcW w:w="114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0.940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3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HIL3</w:t>
            </w:r>
          </w:p>
        </w:tc>
        <w:tc>
          <w:tcPr>
            <w:tcW w:w="109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2.21</w:t>
            </w:r>
          </w:p>
        </w:tc>
        <w:tc>
          <w:tcPr>
            <w:tcW w:w="1045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0.65</w:t>
            </w:r>
          </w:p>
        </w:tc>
        <w:tc>
          <w:tcPr>
            <w:tcW w:w="1200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0.09</w:t>
            </w:r>
          </w:p>
        </w:tc>
        <w:tc>
          <w:tcPr>
            <w:tcW w:w="1164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0.22</w:t>
            </w:r>
          </w:p>
        </w:tc>
        <w:tc>
          <w:tcPr>
            <w:tcW w:w="124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0.87</w:t>
            </w:r>
          </w:p>
        </w:tc>
        <w:tc>
          <w:tcPr>
            <w:tcW w:w="114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0.939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3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HIL4</w:t>
            </w:r>
          </w:p>
        </w:tc>
        <w:tc>
          <w:tcPr>
            <w:tcW w:w="109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2.25</w:t>
            </w:r>
          </w:p>
        </w:tc>
        <w:tc>
          <w:tcPr>
            <w:tcW w:w="1045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0.67</w:t>
            </w:r>
          </w:p>
        </w:tc>
        <w:tc>
          <w:tcPr>
            <w:tcW w:w="1200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-0.03</w:t>
            </w:r>
          </w:p>
        </w:tc>
        <w:tc>
          <w:tcPr>
            <w:tcW w:w="1164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-0.05</w:t>
            </w:r>
          </w:p>
        </w:tc>
        <w:tc>
          <w:tcPr>
            <w:tcW w:w="124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0.86</w:t>
            </w:r>
          </w:p>
        </w:tc>
        <w:tc>
          <w:tcPr>
            <w:tcW w:w="114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0.940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3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HIL5</w:t>
            </w:r>
          </w:p>
        </w:tc>
        <w:tc>
          <w:tcPr>
            <w:tcW w:w="109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2.17</w:t>
            </w:r>
          </w:p>
        </w:tc>
        <w:tc>
          <w:tcPr>
            <w:tcW w:w="1045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0.66</w:t>
            </w:r>
          </w:p>
        </w:tc>
        <w:tc>
          <w:tcPr>
            <w:tcW w:w="1200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-0.03</w:t>
            </w:r>
          </w:p>
        </w:tc>
        <w:tc>
          <w:tcPr>
            <w:tcW w:w="1164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-0.39</w:t>
            </w:r>
          </w:p>
        </w:tc>
        <w:tc>
          <w:tcPr>
            <w:tcW w:w="124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0.83</w:t>
            </w:r>
          </w:p>
        </w:tc>
        <w:tc>
          <w:tcPr>
            <w:tcW w:w="114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0.943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3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HIL6</w:t>
            </w:r>
          </w:p>
        </w:tc>
        <w:tc>
          <w:tcPr>
            <w:tcW w:w="109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2.13</w:t>
            </w:r>
          </w:p>
        </w:tc>
        <w:tc>
          <w:tcPr>
            <w:tcW w:w="1045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0.66</w:t>
            </w:r>
          </w:p>
        </w:tc>
        <w:tc>
          <w:tcPr>
            <w:tcW w:w="1200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-0.04</w:t>
            </w:r>
          </w:p>
        </w:tc>
        <w:tc>
          <w:tcPr>
            <w:tcW w:w="1164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-0.46</w:t>
            </w:r>
          </w:p>
        </w:tc>
        <w:tc>
          <w:tcPr>
            <w:tcW w:w="124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0.82</w:t>
            </w:r>
          </w:p>
        </w:tc>
        <w:tc>
          <w:tcPr>
            <w:tcW w:w="114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0.944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3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SCA1</w:t>
            </w:r>
          </w:p>
        </w:tc>
        <w:tc>
          <w:tcPr>
            <w:tcW w:w="109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2.23</w:t>
            </w:r>
          </w:p>
        </w:tc>
        <w:tc>
          <w:tcPr>
            <w:tcW w:w="1045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0.66</w:t>
            </w:r>
          </w:p>
        </w:tc>
        <w:tc>
          <w:tcPr>
            <w:tcW w:w="1200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0.10</w:t>
            </w:r>
          </w:p>
        </w:tc>
        <w:tc>
          <w:tcPr>
            <w:tcW w:w="1164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0.22</w:t>
            </w:r>
          </w:p>
        </w:tc>
        <w:tc>
          <w:tcPr>
            <w:tcW w:w="124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0.85</w:t>
            </w:r>
          </w:p>
        </w:tc>
        <w:tc>
          <w:tcPr>
            <w:tcW w:w="114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0.937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3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SCA2</w:t>
            </w:r>
          </w:p>
        </w:tc>
        <w:tc>
          <w:tcPr>
            <w:tcW w:w="109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2.29</w:t>
            </w:r>
          </w:p>
        </w:tc>
        <w:tc>
          <w:tcPr>
            <w:tcW w:w="1045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0.69</w:t>
            </w:r>
          </w:p>
        </w:tc>
        <w:tc>
          <w:tcPr>
            <w:tcW w:w="1200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0.23</w:t>
            </w:r>
          </w:p>
        </w:tc>
        <w:tc>
          <w:tcPr>
            <w:tcW w:w="1164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0.52</w:t>
            </w:r>
          </w:p>
        </w:tc>
        <w:tc>
          <w:tcPr>
            <w:tcW w:w="124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0.83</w:t>
            </w:r>
          </w:p>
        </w:tc>
        <w:tc>
          <w:tcPr>
            <w:tcW w:w="114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0.939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3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SCA3</w:t>
            </w:r>
          </w:p>
        </w:tc>
        <w:tc>
          <w:tcPr>
            <w:tcW w:w="109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2.38</w:t>
            </w:r>
          </w:p>
        </w:tc>
        <w:tc>
          <w:tcPr>
            <w:tcW w:w="1045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0.74</w:t>
            </w:r>
          </w:p>
        </w:tc>
        <w:tc>
          <w:tcPr>
            <w:tcW w:w="1200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0.15</w:t>
            </w:r>
          </w:p>
        </w:tc>
        <w:tc>
          <w:tcPr>
            <w:tcW w:w="1164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0.20</w:t>
            </w:r>
          </w:p>
        </w:tc>
        <w:tc>
          <w:tcPr>
            <w:tcW w:w="124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0.84</w:t>
            </w:r>
          </w:p>
        </w:tc>
        <w:tc>
          <w:tcPr>
            <w:tcW w:w="114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0.938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3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SCA4</w:t>
            </w:r>
          </w:p>
        </w:tc>
        <w:tc>
          <w:tcPr>
            <w:tcW w:w="109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2.21</w:t>
            </w:r>
          </w:p>
        </w:tc>
        <w:tc>
          <w:tcPr>
            <w:tcW w:w="1045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0.64</w:t>
            </w:r>
          </w:p>
        </w:tc>
        <w:tc>
          <w:tcPr>
            <w:tcW w:w="1200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0.07</w:t>
            </w:r>
          </w:p>
        </w:tc>
        <w:tc>
          <w:tcPr>
            <w:tcW w:w="1164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0.23</w:t>
            </w:r>
          </w:p>
        </w:tc>
        <w:tc>
          <w:tcPr>
            <w:tcW w:w="124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0.84</w:t>
            </w:r>
          </w:p>
        </w:tc>
        <w:tc>
          <w:tcPr>
            <w:tcW w:w="114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0.938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3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SCA5</w:t>
            </w:r>
          </w:p>
        </w:tc>
        <w:tc>
          <w:tcPr>
            <w:tcW w:w="109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2.34</w:t>
            </w:r>
          </w:p>
        </w:tc>
        <w:tc>
          <w:tcPr>
            <w:tcW w:w="1045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0.70</w:t>
            </w:r>
          </w:p>
        </w:tc>
        <w:tc>
          <w:tcPr>
            <w:tcW w:w="1200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0.16</w:t>
            </w:r>
          </w:p>
        </w:tc>
        <w:tc>
          <w:tcPr>
            <w:tcW w:w="1164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0.15</w:t>
            </w:r>
          </w:p>
        </w:tc>
        <w:tc>
          <w:tcPr>
            <w:tcW w:w="124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0.86</w:t>
            </w:r>
          </w:p>
        </w:tc>
        <w:tc>
          <w:tcPr>
            <w:tcW w:w="114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0.935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3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SCA6</w:t>
            </w:r>
          </w:p>
        </w:tc>
        <w:tc>
          <w:tcPr>
            <w:tcW w:w="109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2.28</w:t>
            </w:r>
          </w:p>
        </w:tc>
        <w:tc>
          <w:tcPr>
            <w:tcW w:w="1045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0.68</w:t>
            </w:r>
          </w:p>
        </w:tc>
        <w:tc>
          <w:tcPr>
            <w:tcW w:w="1200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0.22</w:t>
            </w:r>
          </w:p>
        </w:tc>
        <w:tc>
          <w:tcPr>
            <w:tcW w:w="1164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0.59</w:t>
            </w:r>
          </w:p>
        </w:tc>
        <w:tc>
          <w:tcPr>
            <w:tcW w:w="124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0.82</w:t>
            </w:r>
          </w:p>
        </w:tc>
        <w:tc>
          <w:tcPr>
            <w:tcW w:w="114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F1115"/>
                <w:sz w:val="20"/>
                <w:szCs w:val="20"/>
              </w:rPr>
              <w:t>0.939</w:t>
            </w:r>
          </w:p>
        </w:tc>
      </w:tr>
    </w:tbl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contextualSpacing/>
        <w:jc w:val="left"/>
        <w:textAlignment w:val="auto"/>
        <w:rPr>
          <w:rFonts w:hint="eastAsia" w:eastAsia="Calibri" w:cs="Times New Roman"/>
          <w:color w:val="000000"/>
          <w:szCs w:val="22"/>
          <w:lang w:val="en-US" w:eastAsia="zh-CN"/>
        </w:rPr>
      </w:pPr>
      <w:r>
        <w:rPr>
          <w:rFonts w:hint="eastAsia" w:eastAsia="Calibri" w:cs="Times New Roman"/>
          <w:color w:val="000000"/>
          <w:szCs w:val="22"/>
          <w:lang w:val="en-US" w:eastAsia="zh-CN"/>
        </w:rPr>
        <w:t>Table S2. Descriptive statistics and item-total correlations.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contextualSpacing/>
        <w:jc w:val="left"/>
        <w:textAlignment w:val="auto"/>
        <w:rPr>
          <w:rFonts w:hint="eastAsia" w:eastAsia="Calibri" w:cs="Times New Roman"/>
          <w:color w:val="000000"/>
          <w:szCs w:val="2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contextualSpacing/>
        <w:jc w:val="left"/>
        <w:textAlignment w:val="auto"/>
        <w:rPr>
          <w:rFonts w:hint="eastAsia" w:eastAsia="Calibri" w:cs="Times New Roman"/>
          <w:color w:val="000000"/>
          <w:szCs w:val="2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contextualSpacing/>
        <w:jc w:val="left"/>
        <w:textAlignment w:val="auto"/>
        <w:rPr>
          <w:rFonts w:hint="eastAsia" w:eastAsia="Calibri" w:cs="Times New Roman"/>
          <w:color w:val="000000"/>
          <w:szCs w:val="2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contextualSpacing/>
        <w:jc w:val="left"/>
        <w:textAlignment w:val="auto"/>
        <w:rPr>
          <w:rFonts w:hint="eastAsia" w:eastAsia="Calibri" w:cs="Times New Roman"/>
          <w:color w:val="000000"/>
          <w:szCs w:val="2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contextualSpacing/>
        <w:jc w:val="left"/>
        <w:textAlignment w:val="auto"/>
        <w:rPr>
          <w:rFonts w:hint="eastAsia" w:eastAsia="Calibri" w:cs="Times New Roman"/>
          <w:color w:val="000000"/>
          <w:szCs w:val="2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contextualSpacing/>
        <w:jc w:val="left"/>
        <w:textAlignment w:val="auto"/>
        <w:rPr>
          <w:rFonts w:hint="eastAsia" w:eastAsia="Calibri" w:cs="Times New Roman"/>
          <w:color w:val="000000"/>
          <w:szCs w:val="2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contextualSpacing/>
        <w:jc w:val="left"/>
        <w:textAlignment w:val="auto"/>
        <w:rPr>
          <w:rFonts w:hint="eastAsia" w:eastAsia="Calibri" w:cs="Times New Roman"/>
          <w:color w:val="000000"/>
          <w:szCs w:val="2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contextualSpacing/>
        <w:jc w:val="left"/>
        <w:textAlignment w:val="auto"/>
        <w:rPr>
          <w:rFonts w:hint="eastAsia" w:eastAsia="Calibri" w:cs="Times New Roman"/>
          <w:color w:val="000000"/>
          <w:szCs w:val="2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contextualSpacing/>
        <w:jc w:val="left"/>
        <w:textAlignment w:val="auto"/>
        <w:rPr>
          <w:rFonts w:hint="eastAsia" w:eastAsia="Calibri" w:cs="Times New Roman"/>
          <w:color w:val="000000"/>
          <w:szCs w:val="2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contextualSpacing/>
        <w:jc w:val="left"/>
        <w:textAlignment w:val="auto"/>
        <w:rPr>
          <w:rFonts w:hint="eastAsia" w:eastAsia="Calibri" w:cs="Times New Roman"/>
          <w:color w:val="000000"/>
          <w:szCs w:val="2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="Times New Roman" w:hAnsi="Times New Roman" w:eastAsia="Calibri" w:cs="Times New Roman"/>
                <w:b w:val="0"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var(--dsw-font-markdown-table-h" w:cs="Times New Roman"/>
                <w:b w:val="0"/>
                <w:bCs/>
                <w:i w:val="0"/>
                <w:caps w:val="0"/>
                <w:color w:val="0F1115"/>
                <w:spacing w:val="0"/>
                <w:kern w:val="0"/>
                <w:sz w:val="20"/>
                <w:szCs w:val="20"/>
                <w:lang w:val="en-US" w:eastAsia="zh-CN" w:bidi="ar"/>
              </w:rPr>
              <w:t>Construct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="Times New Roman" w:hAnsi="Times New Roman" w:eastAsia="Calibri" w:cs="Times New Roman"/>
                <w:b w:val="0"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var(--dsw-font-markdown-table-h" w:cs="Times New Roman"/>
                <w:b w:val="0"/>
                <w:bCs/>
                <w:i w:val="0"/>
                <w:caps w:val="0"/>
                <w:color w:val="0F1115"/>
                <w:spacing w:val="0"/>
                <w:kern w:val="0"/>
                <w:sz w:val="20"/>
                <w:szCs w:val="20"/>
                <w:lang w:val="en-US" w:eastAsia="zh-CN" w:bidi="ar"/>
              </w:rPr>
              <w:t>CR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="Times New Roman" w:hAnsi="Times New Roman" w:eastAsia="Calibri" w:cs="Times New Roman"/>
                <w:b w:val="0"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var(--dsw-font-markdown-table-h" w:cs="Times New Roman"/>
                <w:b w:val="0"/>
                <w:bCs/>
                <w:i w:val="0"/>
                <w:caps w:val="0"/>
                <w:color w:val="0F1115"/>
                <w:spacing w:val="0"/>
                <w:kern w:val="0"/>
                <w:sz w:val="20"/>
                <w:szCs w:val="20"/>
                <w:lang w:val="en-US" w:eastAsia="zh-CN" w:bidi="ar"/>
              </w:rPr>
              <w:t>AVE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="Times New Roman" w:hAnsi="Times New Roman" w:eastAsia="Calibri" w:cs="Times New Roman"/>
                <w:b w:val="0"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var(--dsw-font-markdown-table-h" w:cs="Times New Roman"/>
                <w:b w:val="0"/>
                <w:bCs/>
                <w:i w:val="0"/>
                <w:caps w:val="0"/>
                <w:color w:val="0F1115"/>
                <w:spacing w:val="0"/>
                <w:kern w:val="0"/>
                <w:sz w:val="20"/>
                <w:szCs w:val="20"/>
                <w:lang w:val="en-US" w:eastAsia="zh-CN" w:bidi="ar"/>
              </w:rPr>
              <w:t>PSC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="Times New Roman" w:hAnsi="Times New Roman" w:eastAsia="Calibri" w:cs="Times New Roman"/>
                <w:b w:val="0"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var(--dsw-font-markdown-table-h" w:cs="Times New Roman"/>
                <w:b w:val="0"/>
                <w:bCs/>
                <w:i w:val="0"/>
                <w:caps w:val="0"/>
                <w:color w:val="0F1115"/>
                <w:spacing w:val="0"/>
                <w:kern w:val="0"/>
                <w:sz w:val="20"/>
                <w:szCs w:val="20"/>
                <w:lang w:val="en-US" w:eastAsia="zh-CN" w:bidi="ar"/>
              </w:rPr>
              <w:t>HPB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="Times New Roman" w:hAnsi="Times New Roman" w:eastAsia="Calibri" w:cs="Times New Roman"/>
                <w:b w:val="0"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var(--dsw-font-markdown-table-h" w:cs="Times New Roman"/>
                <w:b w:val="0"/>
                <w:bCs/>
                <w:i w:val="0"/>
                <w:caps w:val="0"/>
                <w:color w:val="0F1115"/>
                <w:spacing w:val="0"/>
                <w:kern w:val="0"/>
                <w:sz w:val="20"/>
                <w:szCs w:val="20"/>
                <w:lang w:val="en-US" w:eastAsia="zh-CN" w:bidi="ar"/>
              </w:rPr>
              <w:t>HIL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="Times New Roman" w:hAnsi="Times New Roman" w:eastAsia="Calibri" w:cs="Times New Roman"/>
                <w:b w:val="0"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var(--dsw-font-markdown-table-h" w:cs="Times New Roman"/>
                <w:b w:val="0"/>
                <w:bCs/>
                <w:i w:val="0"/>
                <w:caps w:val="0"/>
                <w:color w:val="0F1115"/>
                <w:spacing w:val="0"/>
                <w:kern w:val="0"/>
                <w:sz w:val="20"/>
                <w:szCs w:val="20"/>
                <w:lang w:val="en-US" w:eastAsia="zh-CN" w:bidi="ar"/>
              </w:rPr>
              <w:t>SCA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="Times New Roman" w:hAnsi="Times New Roman" w:eastAsia="Calibri" w:cs="Times New Roman"/>
                <w:b w:val="0"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var(--dsw-font-markdown-table)" w:cs="Times New Roman"/>
                <w:b w:val="0"/>
                <w:bCs/>
                <w:i w:val="0"/>
                <w:caps w:val="0"/>
                <w:color w:val="0F1115"/>
                <w:spacing w:val="0"/>
                <w:kern w:val="0"/>
                <w:sz w:val="20"/>
                <w:szCs w:val="20"/>
                <w:lang w:val="en-US" w:eastAsia="zh-CN" w:bidi="ar"/>
              </w:rPr>
              <w:t>PSC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="Times New Roman" w:hAnsi="Times New Roman" w:eastAsia="Calibri" w:cs="Times New Roman"/>
                <w:b w:val="0"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var(--dsw-font-markdown-table)" w:cs="Times New Roman"/>
                <w:b w:val="0"/>
                <w:bCs/>
                <w:i w:val="0"/>
                <w:caps w:val="0"/>
                <w:color w:val="0F1115"/>
                <w:spacing w:val="0"/>
                <w:kern w:val="0"/>
                <w:sz w:val="20"/>
                <w:szCs w:val="20"/>
                <w:lang w:val="en-US" w:eastAsia="zh-CN" w:bidi="ar"/>
              </w:rPr>
              <w:t>0.950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="Times New Roman" w:hAnsi="Times New Roman" w:eastAsia="Calibri" w:cs="Times New Roman"/>
                <w:b w:val="0"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var(--dsw-font-markdown-table)" w:cs="Times New Roman"/>
                <w:b w:val="0"/>
                <w:bCs/>
                <w:i w:val="0"/>
                <w:caps w:val="0"/>
                <w:color w:val="0F1115"/>
                <w:spacing w:val="0"/>
                <w:kern w:val="0"/>
                <w:sz w:val="20"/>
                <w:szCs w:val="20"/>
                <w:lang w:val="en-US" w:eastAsia="zh-CN" w:bidi="ar"/>
              </w:rPr>
              <w:t>0.747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="Times New Roman" w:hAnsi="Times New Roman" w:eastAsia="Calibri" w:cs="Times New Roman"/>
                <w:b w:val="0"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Style w:val="5"/>
                <w:rFonts w:hint="default" w:ascii="Times New Roman" w:hAnsi="Times New Roman" w:eastAsia="var(--dsw-font-markdown-table)" w:cs="Times New Roman"/>
                <w:b w:val="0"/>
                <w:bCs/>
                <w:i w:val="0"/>
                <w:caps w:val="0"/>
                <w:color w:val="0F1115"/>
                <w:spacing w:val="0"/>
                <w:kern w:val="0"/>
                <w:sz w:val="20"/>
                <w:szCs w:val="20"/>
                <w:lang w:val="en-US" w:eastAsia="zh-CN" w:bidi="ar"/>
              </w:rPr>
              <w:t>0.864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Times New Roman" w:hAnsi="Times New Roman" w:eastAsia="Calibri" w:cs="Times New Roman"/>
                <w:b w:val="0"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Times New Roman" w:hAnsi="Times New Roman" w:eastAsia="Calibri" w:cs="Times New Roman"/>
                <w:b w:val="0"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Times New Roman" w:hAnsi="Times New Roman" w:eastAsia="Calibri" w:cs="Times New Roman"/>
                <w:b w:val="0"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="Times New Roman" w:hAnsi="Times New Roman" w:eastAsia="Calibri" w:cs="Times New Roman"/>
                <w:b w:val="0"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var(--dsw-font-markdown-table)" w:cs="Times New Roman"/>
                <w:b w:val="0"/>
                <w:bCs/>
                <w:i w:val="0"/>
                <w:caps w:val="0"/>
                <w:color w:val="0F1115"/>
                <w:spacing w:val="0"/>
                <w:kern w:val="0"/>
                <w:sz w:val="20"/>
                <w:szCs w:val="20"/>
                <w:lang w:val="en-US" w:eastAsia="zh-CN" w:bidi="ar"/>
              </w:rPr>
              <w:t>HPB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="Times New Roman" w:hAnsi="Times New Roman" w:eastAsia="Calibri" w:cs="Times New Roman"/>
                <w:b w:val="0"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var(--dsw-font-markdown-table)" w:cs="Times New Roman"/>
                <w:b w:val="0"/>
                <w:bCs/>
                <w:i w:val="0"/>
                <w:caps w:val="0"/>
                <w:color w:val="0F1115"/>
                <w:spacing w:val="0"/>
                <w:kern w:val="0"/>
                <w:sz w:val="20"/>
                <w:szCs w:val="20"/>
                <w:lang w:val="en-US" w:eastAsia="zh-CN" w:bidi="ar"/>
              </w:rPr>
              <w:t>0.921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="Times New Roman" w:hAnsi="Times New Roman" w:eastAsia="Calibri" w:cs="Times New Roman"/>
                <w:b w:val="0"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var(--dsw-font-markdown-table)" w:cs="Times New Roman"/>
                <w:b w:val="0"/>
                <w:bCs/>
                <w:i w:val="0"/>
                <w:caps w:val="0"/>
                <w:color w:val="0F1115"/>
                <w:spacing w:val="0"/>
                <w:kern w:val="0"/>
                <w:sz w:val="20"/>
                <w:szCs w:val="20"/>
                <w:lang w:val="en-US" w:eastAsia="zh-CN" w:bidi="ar"/>
              </w:rPr>
              <w:t>0.700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="Times New Roman" w:hAnsi="Times New Roman" w:eastAsia="Calibri" w:cs="Times New Roman"/>
                <w:b w:val="0"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var(--dsw-font-markdown-table)" w:cs="Times New Roman"/>
                <w:b w:val="0"/>
                <w:bCs/>
                <w:i w:val="0"/>
                <w:caps w:val="0"/>
                <w:color w:val="0F1115"/>
                <w:spacing w:val="0"/>
                <w:kern w:val="0"/>
                <w:sz w:val="20"/>
                <w:szCs w:val="20"/>
                <w:lang w:val="en-US" w:eastAsia="zh-CN" w:bidi="ar"/>
              </w:rPr>
              <w:t>0.673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="Times New Roman" w:hAnsi="Times New Roman" w:eastAsia="Calibri" w:cs="Times New Roman"/>
                <w:b w:val="0"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Style w:val="5"/>
                <w:rFonts w:hint="default" w:ascii="Times New Roman" w:hAnsi="Times New Roman" w:eastAsia="var(--dsw-font-markdown-table)" w:cs="Times New Roman"/>
                <w:b w:val="0"/>
                <w:bCs/>
                <w:i w:val="0"/>
                <w:caps w:val="0"/>
                <w:color w:val="0F1115"/>
                <w:spacing w:val="0"/>
                <w:kern w:val="0"/>
                <w:sz w:val="20"/>
                <w:szCs w:val="20"/>
                <w:lang w:val="en-US" w:eastAsia="zh-CN" w:bidi="ar"/>
              </w:rPr>
              <w:t>0.836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Times New Roman" w:hAnsi="Times New Roman" w:eastAsia="Calibri" w:cs="Times New Roman"/>
                <w:b w:val="0"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Times New Roman" w:hAnsi="Times New Roman" w:eastAsia="Calibri" w:cs="Times New Roman"/>
                <w:b w:val="0"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="Times New Roman" w:hAnsi="Times New Roman" w:eastAsia="Calibri" w:cs="Times New Roman"/>
                <w:b w:val="0"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var(--dsw-font-markdown-table)" w:cs="Times New Roman"/>
                <w:b w:val="0"/>
                <w:bCs/>
                <w:i w:val="0"/>
                <w:caps w:val="0"/>
                <w:color w:val="0F1115"/>
                <w:spacing w:val="0"/>
                <w:kern w:val="0"/>
                <w:sz w:val="20"/>
                <w:szCs w:val="20"/>
                <w:lang w:val="en-US" w:eastAsia="zh-CN" w:bidi="ar"/>
              </w:rPr>
              <w:t>HIL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="Times New Roman" w:hAnsi="Times New Roman" w:eastAsia="Calibri" w:cs="Times New Roman"/>
                <w:b w:val="0"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var(--dsw-font-markdown-table)" w:cs="Times New Roman"/>
                <w:b w:val="0"/>
                <w:bCs/>
                <w:i w:val="0"/>
                <w:caps w:val="0"/>
                <w:color w:val="0F1115"/>
                <w:spacing w:val="0"/>
                <w:kern w:val="0"/>
                <w:sz w:val="20"/>
                <w:szCs w:val="20"/>
                <w:lang w:val="en-US" w:eastAsia="zh-CN" w:bidi="ar"/>
              </w:rPr>
              <w:t>0.951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="Times New Roman" w:hAnsi="Times New Roman" w:eastAsia="Calibri" w:cs="Times New Roman"/>
                <w:b w:val="0"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var(--dsw-font-markdown-table)" w:cs="Times New Roman"/>
                <w:b w:val="0"/>
                <w:bCs/>
                <w:i w:val="0"/>
                <w:caps w:val="0"/>
                <w:color w:val="0F1115"/>
                <w:spacing w:val="0"/>
                <w:kern w:val="0"/>
                <w:sz w:val="20"/>
                <w:szCs w:val="20"/>
                <w:lang w:val="en-US" w:eastAsia="zh-CN" w:bidi="ar"/>
              </w:rPr>
              <w:t>0.762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="Times New Roman" w:hAnsi="Times New Roman" w:eastAsia="Calibri" w:cs="Times New Roman"/>
                <w:b w:val="0"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var(--dsw-font-markdown-table)" w:cs="Times New Roman"/>
                <w:b w:val="0"/>
                <w:bCs/>
                <w:i w:val="0"/>
                <w:caps w:val="0"/>
                <w:color w:val="0F1115"/>
                <w:spacing w:val="0"/>
                <w:kern w:val="0"/>
                <w:sz w:val="20"/>
                <w:szCs w:val="20"/>
                <w:lang w:val="en-US" w:eastAsia="zh-CN" w:bidi="ar"/>
              </w:rPr>
              <w:t>0.871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="Times New Roman" w:hAnsi="Times New Roman" w:eastAsia="Calibri" w:cs="Times New Roman"/>
                <w:b w:val="0"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var(--dsw-font-markdown-table)" w:cs="Times New Roman"/>
                <w:b w:val="0"/>
                <w:bCs/>
                <w:i w:val="0"/>
                <w:caps w:val="0"/>
                <w:color w:val="0F1115"/>
                <w:spacing w:val="0"/>
                <w:kern w:val="0"/>
                <w:sz w:val="20"/>
                <w:szCs w:val="20"/>
                <w:lang w:val="en-US" w:eastAsia="zh-CN" w:bidi="ar"/>
              </w:rPr>
              <w:t>0.712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="Times New Roman" w:hAnsi="Times New Roman" w:eastAsia="Calibri" w:cs="Times New Roman"/>
                <w:b w:val="0"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Style w:val="5"/>
                <w:rFonts w:hint="default" w:ascii="Times New Roman" w:hAnsi="Times New Roman" w:eastAsia="var(--dsw-font-markdown-table)" w:cs="Times New Roman"/>
                <w:b w:val="0"/>
                <w:bCs/>
                <w:i w:val="0"/>
                <w:caps w:val="0"/>
                <w:color w:val="0F1115"/>
                <w:spacing w:val="0"/>
                <w:kern w:val="0"/>
                <w:sz w:val="20"/>
                <w:szCs w:val="20"/>
                <w:lang w:val="en-US" w:eastAsia="zh-CN" w:bidi="ar"/>
              </w:rPr>
              <w:t>0.873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Times New Roman" w:hAnsi="Times New Roman" w:eastAsia="Calibri" w:cs="Times New Roman"/>
                <w:b w:val="0"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="Times New Roman" w:hAnsi="Times New Roman" w:eastAsia="Calibri" w:cs="Times New Roman"/>
                <w:b w:val="0"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var(--dsw-font-markdown-table)" w:cs="Times New Roman"/>
                <w:b w:val="0"/>
                <w:bCs/>
                <w:i w:val="0"/>
                <w:caps w:val="0"/>
                <w:color w:val="0F1115"/>
                <w:spacing w:val="0"/>
                <w:kern w:val="0"/>
                <w:sz w:val="20"/>
                <w:szCs w:val="20"/>
                <w:lang w:val="en-US" w:eastAsia="zh-CN" w:bidi="ar"/>
              </w:rPr>
              <w:t>SCA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="Times New Roman" w:hAnsi="Times New Roman" w:eastAsia="Calibri" w:cs="Times New Roman"/>
                <w:b w:val="0"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var(--dsw-font-markdown-table)" w:cs="Times New Roman"/>
                <w:b w:val="0"/>
                <w:bCs/>
                <w:i w:val="0"/>
                <w:caps w:val="0"/>
                <w:color w:val="0F1115"/>
                <w:spacing w:val="0"/>
                <w:kern w:val="0"/>
                <w:sz w:val="20"/>
                <w:szCs w:val="20"/>
                <w:lang w:val="en-US" w:eastAsia="zh-CN" w:bidi="ar"/>
              </w:rPr>
              <w:t>0.948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="Times New Roman" w:hAnsi="Times New Roman" w:eastAsia="Calibri" w:cs="Times New Roman"/>
                <w:b w:val="0"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var(--dsw-font-markdown-table)" w:cs="Times New Roman"/>
                <w:b w:val="0"/>
                <w:bCs/>
                <w:i w:val="0"/>
                <w:caps w:val="0"/>
                <w:color w:val="0F1115"/>
                <w:spacing w:val="0"/>
                <w:kern w:val="0"/>
                <w:sz w:val="20"/>
                <w:szCs w:val="20"/>
                <w:lang w:val="en-US" w:eastAsia="zh-CN" w:bidi="ar"/>
              </w:rPr>
              <w:t>0.752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="Times New Roman" w:hAnsi="Times New Roman" w:eastAsia="Calibri" w:cs="Times New Roman"/>
                <w:b w:val="0"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var(--dsw-font-markdown-table)" w:cs="Times New Roman"/>
                <w:b w:val="0"/>
                <w:bCs/>
                <w:i w:val="0"/>
                <w:caps w:val="0"/>
                <w:color w:val="0F1115"/>
                <w:spacing w:val="0"/>
                <w:kern w:val="0"/>
                <w:sz w:val="20"/>
                <w:szCs w:val="20"/>
                <w:lang w:val="en-US" w:eastAsia="zh-CN" w:bidi="ar"/>
              </w:rPr>
              <w:t>0.818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="Times New Roman" w:hAnsi="Times New Roman" w:eastAsia="Calibri" w:cs="Times New Roman"/>
                <w:b w:val="0"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var(--dsw-font-markdown-table)" w:cs="Times New Roman"/>
                <w:b w:val="0"/>
                <w:bCs/>
                <w:i w:val="0"/>
                <w:caps w:val="0"/>
                <w:color w:val="0F1115"/>
                <w:spacing w:val="0"/>
                <w:kern w:val="0"/>
                <w:sz w:val="20"/>
                <w:szCs w:val="20"/>
                <w:lang w:val="en-US" w:eastAsia="zh-CN" w:bidi="ar"/>
              </w:rPr>
              <w:t>0.708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="Times New Roman" w:hAnsi="Times New Roman" w:eastAsia="Calibri" w:cs="Times New Roman"/>
                <w:b w:val="0"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var(--dsw-font-markdown-table)" w:cs="Times New Roman"/>
                <w:b w:val="0"/>
                <w:bCs/>
                <w:i w:val="0"/>
                <w:caps w:val="0"/>
                <w:color w:val="0F1115"/>
                <w:spacing w:val="0"/>
                <w:kern w:val="0"/>
                <w:sz w:val="20"/>
                <w:szCs w:val="20"/>
                <w:lang w:val="en-US" w:eastAsia="zh-CN" w:bidi="ar"/>
              </w:rPr>
              <w:t>0.854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="Times New Roman" w:hAnsi="Times New Roman" w:eastAsia="Calibri" w:cs="Times New Roman"/>
                <w:b w:val="0"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Style w:val="5"/>
                <w:rFonts w:hint="default" w:ascii="Times New Roman" w:hAnsi="Times New Roman" w:eastAsia="var(--dsw-font-markdown-table)" w:cs="Times New Roman"/>
                <w:b w:val="0"/>
                <w:bCs/>
                <w:i w:val="0"/>
                <w:caps w:val="0"/>
                <w:color w:val="0F1115"/>
                <w:spacing w:val="0"/>
                <w:kern w:val="0"/>
                <w:sz w:val="20"/>
                <w:szCs w:val="20"/>
                <w:lang w:val="en-US" w:eastAsia="zh-CN" w:bidi="ar"/>
              </w:rPr>
              <w:t>0.867</w:t>
            </w:r>
          </w:p>
        </w:tc>
      </w:tr>
    </w:tbl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textAlignment w:val="auto"/>
        <w:rPr>
          <w:sz w:val="24"/>
          <w:szCs w:val="24"/>
        </w:rPr>
      </w:pPr>
      <w:r>
        <w:rPr>
          <w:rFonts w:hint="default" w:ascii="Times New Roman" w:hAnsi="Times New Roman" w:eastAsia="Calibri" w:cs="Times New Roman"/>
          <w:color w:val="000000"/>
          <w:sz w:val="21"/>
          <w:szCs w:val="21"/>
          <w:lang w:val="en-US" w:eastAsia="zh-CN"/>
        </w:rPr>
        <w:t>Table S</w:t>
      </w:r>
      <w:r>
        <w:rPr>
          <w:rFonts w:hint="eastAsia" w:eastAsia="Calibri" w:cs="Times New Roman"/>
          <w:color w:val="000000"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eastAsia="Calibri" w:cs="Times New Roman"/>
          <w:color w:val="000000"/>
          <w:sz w:val="21"/>
          <w:szCs w:val="21"/>
          <w:lang w:val="en-US" w:eastAsia="zh-CN"/>
        </w:rPr>
        <w:t>. Discriminant validity: Fornell–Larcker criterion.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var(--dsw-font-markdown-table-h" w:cs="Times New Roman"/>
                <w:b w:val="0"/>
                <w:bCs/>
                <w:i w:val="0"/>
                <w:caps w:val="0"/>
                <w:color w:val="0F1115"/>
                <w:spacing w:val="0"/>
                <w:kern w:val="0"/>
                <w:sz w:val="20"/>
                <w:szCs w:val="20"/>
                <w:lang w:val="en-US" w:eastAsia="zh-CN" w:bidi="ar"/>
              </w:rPr>
              <w:t>Construct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var(--dsw-font-markdown-table-h" w:cs="Times New Roman"/>
                <w:b w:val="0"/>
                <w:bCs/>
                <w:i w:val="0"/>
                <w:caps w:val="0"/>
                <w:color w:val="0F1115"/>
                <w:spacing w:val="0"/>
                <w:kern w:val="0"/>
                <w:sz w:val="20"/>
                <w:szCs w:val="20"/>
                <w:lang w:val="en-US" w:eastAsia="zh-CN" w:bidi="ar"/>
              </w:rPr>
              <w:t>PSC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var(--dsw-font-markdown-table-h" w:cs="Times New Roman"/>
                <w:b w:val="0"/>
                <w:bCs/>
                <w:i w:val="0"/>
                <w:caps w:val="0"/>
                <w:color w:val="0F1115"/>
                <w:spacing w:val="0"/>
                <w:kern w:val="0"/>
                <w:sz w:val="20"/>
                <w:szCs w:val="20"/>
                <w:lang w:val="en-US" w:eastAsia="zh-CN" w:bidi="ar"/>
              </w:rPr>
              <w:t>HPB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var(--dsw-font-markdown-table-h" w:cs="Times New Roman"/>
                <w:b w:val="0"/>
                <w:bCs/>
                <w:i w:val="0"/>
                <w:caps w:val="0"/>
                <w:color w:val="0F1115"/>
                <w:spacing w:val="0"/>
                <w:kern w:val="0"/>
                <w:sz w:val="20"/>
                <w:szCs w:val="20"/>
                <w:lang w:val="en-US" w:eastAsia="zh-CN" w:bidi="ar"/>
              </w:rPr>
              <w:t>HIL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var(--dsw-font-markdown-table-h" w:cs="Times New Roman"/>
                <w:b w:val="0"/>
                <w:bCs/>
                <w:i w:val="0"/>
                <w:caps w:val="0"/>
                <w:color w:val="0F1115"/>
                <w:spacing w:val="0"/>
                <w:kern w:val="0"/>
                <w:sz w:val="20"/>
                <w:szCs w:val="20"/>
                <w:lang w:val="en-US" w:eastAsia="zh-CN" w:bidi="ar"/>
              </w:rPr>
              <w:t>SCA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var(--dsw-font-markdown-table)" w:cs="Times New Roman"/>
                <w:b w:val="0"/>
                <w:bCs/>
                <w:i w:val="0"/>
                <w:caps w:val="0"/>
                <w:color w:val="0F1115"/>
                <w:spacing w:val="0"/>
                <w:kern w:val="0"/>
                <w:sz w:val="20"/>
                <w:szCs w:val="20"/>
                <w:lang w:val="en-US" w:eastAsia="zh-CN" w:bidi="ar"/>
              </w:rPr>
              <w:t>PSC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var(--dsw-font-markdown-table)" w:cs="Times New Roman"/>
                <w:b w:val="0"/>
                <w:bCs/>
                <w:i w:val="0"/>
                <w:caps w:val="0"/>
                <w:color w:val="0F1115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var(--dsw-font-markdown-table)" w:cs="Times New Roman"/>
                <w:b w:val="0"/>
                <w:bCs/>
                <w:i w:val="0"/>
                <w:caps w:val="0"/>
                <w:color w:val="0F1115"/>
                <w:spacing w:val="0"/>
                <w:kern w:val="0"/>
                <w:sz w:val="20"/>
                <w:szCs w:val="20"/>
                <w:lang w:val="en-US" w:eastAsia="zh-CN" w:bidi="ar"/>
              </w:rPr>
              <w:t>HPB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vertAlign w:val="baseline"/>
              </w:rPr>
            </w:pPr>
            <w:r>
              <w:rPr>
                <w:rStyle w:val="5"/>
                <w:rFonts w:hint="default" w:ascii="Times New Roman" w:hAnsi="Times New Roman" w:eastAsia="var(--dsw-font-markdown-table)" w:cs="Times New Roman"/>
                <w:b w:val="0"/>
                <w:bCs/>
                <w:i w:val="0"/>
                <w:caps w:val="0"/>
                <w:color w:val="0F1115"/>
                <w:spacing w:val="0"/>
                <w:kern w:val="0"/>
                <w:sz w:val="20"/>
                <w:szCs w:val="20"/>
                <w:lang w:val="en-US" w:eastAsia="zh-CN" w:bidi="ar"/>
              </w:rPr>
              <w:t>0.681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var(--dsw-font-markdown-table)" w:cs="Times New Roman"/>
                <w:b w:val="0"/>
                <w:bCs/>
                <w:i w:val="0"/>
                <w:caps w:val="0"/>
                <w:color w:val="0F1115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var(--dsw-font-markdown-table)" w:cs="Times New Roman"/>
                <w:b w:val="0"/>
                <w:bCs/>
                <w:i w:val="0"/>
                <w:caps w:val="0"/>
                <w:color w:val="0F1115"/>
                <w:spacing w:val="0"/>
                <w:kern w:val="0"/>
                <w:sz w:val="20"/>
                <w:szCs w:val="20"/>
                <w:lang w:val="en-US" w:eastAsia="zh-CN" w:bidi="ar"/>
              </w:rPr>
              <w:t>HIL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vertAlign w:val="baseline"/>
              </w:rPr>
            </w:pPr>
            <w:r>
              <w:rPr>
                <w:rStyle w:val="5"/>
                <w:rFonts w:hint="default" w:ascii="Times New Roman" w:hAnsi="Times New Roman" w:eastAsia="var(--dsw-font-markdown-table)" w:cs="Times New Roman"/>
                <w:b w:val="0"/>
                <w:bCs/>
                <w:i w:val="0"/>
                <w:caps w:val="0"/>
                <w:color w:val="0F1115"/>
                <w:spacing w:val="0"/>
                <w:kern w:val="0"/>
                <w:sz w:val="20"/>
                <w:szCs w:val="20"/>
                <w:lang w:val="en-US" w:eastAsia="zh-CN" w:bidi="ar"/>
              </w:rPr>
              <w:t>0.870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vertAlign w:val="baseline"/>
              </w:rPr>
            </w:pPr>
            <w:r>
              <w:rPr>
                <w:rStyle w:val="5"/>
                <w:rFonts w:hint="default" w:ascii="Times New Roman" w:hAnsi="Times New Roman" w:eastAsia="var(--dsw-font-markdown-table)" w:cs="Times New Roman"/>
                <w:b w:val="0"/>
                <w:bCs/>
                <w:i w:val="0"/>
                <w:caps w:val="0"/>
                <w:color w:val="0F1115"/>
                <w:spacing w:val="0"/>
                <w:kern w:val="0"/>
                <w:sz w:val="20"/>
                <w:szCs w:val="20"/>
                <w:lang w:val="en-US" w:eastAsia="zh-CN" w:bidi="ar"/>
              </w:rPr>
              <w:t>0.709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var(--dsw-font-markdown-table)" w:cs="Times New Roman"/>
                <w:b w:val="0"/>
                <w:bCs/>
                <w:i w:val="0"/>
                <w:caps w:val="0"/>
                <w:color w:val="0F1115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var(--dsw-font-markdown-table)" w:cs="Times New Roman"/>
                <w:b w:val="0"/>
                <w:bCs/>
                <w:i w:val="0"/>
                <w:caps w:val="0"/>
                <w:color w:val="0F1115"/>
                <w:spacing w:val="0"/>
                <w:kern w:val="0"/>
                <w:sz w:val="20"/>
                <w:szCs w:val="20"/>
                <w:lang w:val="en-US" w:eastAsia="zh-CN" w:bidi="ar"/>
              </w:rPr>
              <w:t>SCA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vertAlign w:val="baseline"/>
              </w:rPr>
            </w:pPr>
            <w:r>
              <w:rPr>
                <w:rStyle w:val="5"/>
                <w:rFonts w:hint="default" w:ascii="Times New Roman" w:hAnsi="Times New Roman" w:eastAsia="var(--dsw-font-markdown-table)" w:cs="Times New Roman"/>
                <w:b w:val="0"/>
                <w:bCs/>
                <w:i w:val="0"/>
                <w:caps w:val="0"/>
                <w:color w:val="0F1115"/>
                <w:spacing w:val="0"/>
                <w:kern w:val="0"/>
                <w:sz w:val="20"/>
                <w:szCs w:val="20"/>
                <w:lang w:val="en-US" w:eastAsia="zh-CN" w:bidi="ar"/>
              </w:rPr>
              <w:t>0.817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vertAlign w:val="baseline"/>
              </w:rPr>
            </w:pPr>
            <w:r>
              <w:rPr>
                <w:rStyle w:val="5"/>
                <w:rFonts w:hint="default" w:ascii="Times New Roman" w:hAnsi="Times New Roman" w:eastAsia="var(--dsw-font-markdown-table)" w:cs="Times New Roman"/>
                <w:b w:val="0"/>
                <w:bCs/>
                <w:i w:val="0"/>
                <w:caps w:val="0"/>
                <w:color w:val="0F1115"/>
                <w:spacing w:val="0"/>
                <w:kern w:val="0"/>
                <w:sz w:val="20"/>
                <w:szCs w:val="20"/>
                <w:lang w:val="en-US" w:eastAsia="zh-CN" w:bidi="ar"/>
              </w:rPr>
              <w:t>0.707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vertAlign w:val="baseline"/>
              </w:rPr>
            </w:pPr>
            <w:r>
              <w:rPr>
                <w:rStyle w:val="5"/>
                <w:rFonts w:hint="default" w:ascii="Times New Roman" w:hAnsi="Times New Roman" w:eastAsia="var(--dsw-font-markdown-table)" w:cs="Times New Roman"/>
                <w:b w:val="0"/>
                <w:bCs/>
                <w:i w:val="0"/>
                <w:caps w:val="0"/>
                <w:color w:val="0F1115"/>
                <w:spacing w:val="0"/>
                <w:kern w:val="0"/>
                <w:sz w:val="20"/>
                <w:szCs w:val="20"/>
                <w:lang w:val="en-US" w:eastAsia="zh-CN" w:bidi="ar"/>
              </w:rPr>
              <w:t>0.847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var(--dsw-font-markdown-table)" w:cs="Times New Roman"/>
                <w:b w:val="0"/>
                <w:bCs/>
                <w:i w:val="0"/>
                <w:caps w:val="0"/>
                <w:color w:val="0F1115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Table S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4</w:t>
      </w:r>
      <w:r>
        <w:rPr>
          <w:rFonts w:hint="default" w:ascii="Times New Roman" w:hAnsi="Times New Roman" w:cs="Times New Roman"/>
          <w:sz w:val="21"/>
          <w:szCs w:val="21"/>
        </w:rPr>
        <w:t>. Discriminant validity: Heterotrait–monotrait (HTMT) ratios.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sz w:val="24"/>
          <w:szCs w:val="24"/>
        </w:rPr>
      </w:pPr>
      <w:bookmarkStart w:id="0" w:name="_GoBack"/>
      <w:bookmarkEnd w:id="0"/>
    </w:p>
    <w:tbl>
      <w:tblPr>
        <w:tblStyle w:val="3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317"/>
        <w:gridCol w:w="1061"/>
        <w:gridCol w:w="1134"/>
        <w:gridCol w:w="1276"/>
        <w:gridCol w:w="1559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Node</w:t>
            </w:r>
          </w:p>
        </w:tc>
        <w:tc>
          <w:tcPr>
            <w:tcW w:w="1317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Community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Strength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Closeness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Betweenness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Predictability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Bridge Strength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PSC1</w:t>
            </w:r>
          </w:p>
        </w:tc>
        <w:tc>
          <w:tcPr>
            <w:tcW w:w="1317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PSC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0.7884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0.0031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6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0.6719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0.2529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PSC2</w:t>
            </w:r>
          </w:p>
        </w:tc>
        <w:tc>
          <w:tcPr>
            <w:tcW w:w="1317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PSC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1.0461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0.0038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56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0.7121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0.3254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PSC3</w:t>
            </w:r>
          </w:p>
        </w:tc>
        <w:tc>
          <w:tcPr>
            <w:tcW w:w="1317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PSC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0.7690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0.0031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0.7056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0.2441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PSC4</w:t>
            </w:r>
          </w:p>
        </w:tc>
        <w:tc>
          <w:tcPr>
            <w:tcW w:w="1317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PSC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0.9834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0.0036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32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0.7337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0.2808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PSC5</w:t>
            </w:r>
          </w:p>
        </w:tc>
        <w:tc>
          <w:tcPr>
            <w:tcW w:w="1317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PSC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1.3351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0.0034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36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0.8147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0.2333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PSC6</w:t>
            </w:r>
          </w:p>
        </w:tc>
        <w:tc>
          <w:tcPr>
            <w:tcW w:w="1317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PSC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0.9386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0.0033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10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0.7716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0.2046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HPB1</w:t>
            </w:r>
          </w:p>
        </w:tc>
        <w:tc>
          <w:tcPr>
            <w:tcW w:w="1317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HPB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0.8485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0.0025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0.6736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0.0568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HPB2</w:t>
            </w:r>
          </w:p>
        </w:tc>
        <w:tc>
          <w:tcPr>
            <w:tcW w:w="1317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HPB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0.7185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0.0026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0.6842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0.2787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HPB3</w:t>
            </w:r>
          </w:p>
        </w:tc>
        <w:tc>
          <w:tcPr>
            <w:tcW w:w="1317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HPB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0.9219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0.0025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14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0.6610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0.0430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HPB4</w:t>
            </w:r>
          </w:p>
        </w:tc>
        <w:tc>
          <w:tcPr>
            <w:tcW w:w="1317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HPB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0.8127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0.0030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74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0.6794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0.2328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HPB5</w:t>
            </w:r>
          </w:p>
        </w:tc>
        <w:tc>
          <w:tcPr>
            <w:tcW w:w="1317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HPB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0.7021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0.0031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60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0.6125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0.1975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HIL1</w:t>
            </w:r>
          </w:p>
        </w:tc>
        <w:tc>
          <w:tcPr>
            <w:tcW w:w="1317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HIL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0.9214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0.0034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58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0.7351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0.1523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HIL2</w:t>
            </w:r>
          </w:p>
        </w:tc>
        <w:tc>
          <w:tcPr>
            <w:tcW w:w="1317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HIL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0.9807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0.0031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32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0.7788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0.2345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HIL3</w:t>
            </w:r>
          </w:p>
        </w:tc>
        <w:tc>
          <w:tcPr>
            <w:tcW w:w="1317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HIL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0.9459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0.0033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24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0.7741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0.3290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HIL4</w:t>
            </w:r>
          </w:p>
        </w:tc>
        <w:tc>
          <w:tcPr>
            <w:tcW w:w="1317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HIL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0.7337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0.0029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0.7861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0.4804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HIL5</w:t>
            </w:r>
          </w:p>
        </w:tc>
        <w:tc>
          <w:tcPr>
            <w:tcW w:w="1317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HIL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0.9403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0.0036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86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0.7338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0.3154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HIL6</w:t>
            </w:r>
          </w:p>
        </w:tc>
        <w:tc>
          <w:tcPr>
            <w:tcW w:w="1317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HIL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0.7214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0.0033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0.7179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0.2499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SCA1</w:t>
            </w:r>
          </w:p>
        </w:tc>
        <w:tc>
          <w:tcPr>
            <w:tcW w:w="1317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SCA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1.1232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0.0037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18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0.8018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0.5724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SCA2</w:t>
            </w:r>
          </w:p>
        </w:tc>
        <w:tc>
          <w:tcPr>
            <w:tcW w:w="1317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SCA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0.7803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0.0034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10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0.7189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0.2766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SCA3</w:t>
            </w:r>
          </w:p>
        </w:tc>
        <w:tc>
          <w:tcPr>
            <w:tcW w:w="1317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SCA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1.2734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0.0042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130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0.7648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0.3830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SCA4</w:t>
            </w:r>
          </w:p>
        </w:tc>
        <w:tc>
          <w:tcPr>
            <w:tcW w:w="1317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SCA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0.9069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0.0035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18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0.7514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0.3017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SCA5</w:t>
            </w:r>
          </w:p>
        </w:tc>
        <w:tc>
          <w:tcPr>
            <w:tcW w:w="1317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SCA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1.0758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0.0037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36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0.7718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0.0490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SCA6</w:t>
            </w:r>
          </w:p>
        </w:tc>
        <w:tc>
          <w:tcPr>
            <w:tcW w:w="1317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SCA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0.8865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0.0034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8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0.7009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F1115"/>
                <w:sz w:val="20"/>
                <w:szCs w:val="20"/>
              </w:rPr>
              <w:t>0.1819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Table S5. Comprehensive node centrality indices: bridge strength, bridge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6"/>
        <w:gridCol w:w="962"/>
        <w:gridCol w:w="2999"/>
        <w:gridCol w:w="1106"/>
        <w:gridCol w:w="1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6" w:type="dxa"/>
            <w:vAlign w:val="bottom"/>
          </w:tcPr>
          <w:p>
            <w:pPr>
              <w:rPr>
                <w:rFonts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8"/>
                <w:sz w:val="20"/>
                <w:szCs w:val="20"/>
              </w:rPr>
              <w:t>Analysis Condition</w:t>
            </w:r>
          </w:p>
        </w:tc>
        <w:tc>
          <w:tcPr>
            <w:tcW w:w="962" w:type="dxa"/>
            <w:vAlign w:val="bottom"/>
          </w:tcPr>
          <w:p>
            <w:pPr>
              <w:rPr>
                <w:rFonts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8"/>
                <w:sz w:val="20"/>
                <w:szCs w:val="20"/>
              </w:rPr>
              <w:t>CS-Coefficient</w:t>
            </w:r>
          </w:p>
        </w:tc>
        <w:tc>
          <w:tcPr>
            <w:tcW w:w="2999" w:type="dxa"/>
            <w:vAlign w:val="bottom"/>
          </w:tcPr>
          <w:p>
            <w:pPr>
              <w:rPr>
                <w:rFonts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8"/>
                <w:sz w:val="20"/>
                <w:szCs w:val="20"/>
              </w:rPr>
              <w:t>Top 3 Bridge Nodes (Rank Order)</w:t>
            </w:r>
          </w:p>
        </w:tc>
        <w:tc>
          <w:tcPr>
            <w:tcW w:w="1106" w:type="dxa"/>
            <w:vAlign w:val="bottom"/>
          </w:tcPr>
          <w:p>
            <w:pPr>
              <w:rPr>
                <w:rFonts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8"/>
                <w:sz w:val="20"/>
                <w:szCs w:val="20"/>
              </w:rPr>
              <w:t>Network Density</w:t>
            </w:r>
          </w:p>
        </w:tc>
        <w:tc>
          <w:tcPr>
            <w:tcW w:w="1009" w:type="dxa"/>
            <w:vAlign w:val="bottom"/>
          </w:tcPr>
          <w:p>
            <w:pPr>
              <w:rPr>
                <w:rFonts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8"/>
                <w:sz w:val="20"/>
                <w:szCs w:val="20"/>
              </w:rPr>
              <w:t>Number of Edges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6" w:type="dxa"/>
            <w:vAlign w:val="bottom"/>
          </w:tcPr>
          <w:p>
            <w:pPr>
              <w:rPr>
                <w:rFonts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8"/>
                <w:sz w:val="20"/>
                <w:szCs w:val="20"/>
              </w:rPr>
              <w:t>Main analysis (γ = 0.50, Spearman)</w:t>
            </w:r>
          </w:p>
        </w:tc>
        <w:tc>
          <w:tcPr>
            <w:tcW w:w="962" w:type="dxa"/>
            <w:vAlign w:val="bottom"/>
          </w:tcPr>
          <w:p>
            <w:pPr>
              <w:rPr>
                <w:rFonts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8"/>
                <w:sz w:val="20"/>
                <w:szCs w:val="20"/>
              </w:rPr>
              <w:t>0.75</w:t>
            </w:r>
          </w:p>
        </w:tc>
        <w:tc>
          <w:tcPr>
            <w:tcW w:w="2999" w:type="dxa"/>
            <w:vAlign w:val="bottom"/>
          </w:tcPr>
          <w:p>
            <w:pPr>
              <w:rPr>
                <w:rFonts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8"/>
                <w:sz w:val="20"/>
                <w:szCs w:val="20"/>
              </w:rPr>
              <w:t>SCA1 (1), HIL4 (2), SCA3 (3)</w:t>
            </w:r>
          </w:p>
        </w:tc>
        <w:tc>
          <w:tcPr>
            <w:tcW w:w="1106" w:type="dxa"/>
            <w:vAlign w:val="bottom"/>
          </w:tcPr>
          <w:p>
            <w:pPr>
              <w:rPr>
                <w:rFonts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8"/>
                <w:sz w:val="20"/>
                <w:szCs w:val="20"/>
              </w:rPr>
              <w:t>0.249</w:t>
            </w:r>
          </w:p>
        </w:tc>
        <w:tc>
          <w:tcPr>
            <w:tcW w:w="1009" w:type="dxa"/>
            <w:vAlign w:val="bottom"/>
          </w:tcPr>
          <w:p>
            <w:pPr>
              <w:rPr>
                <w:rFonts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8"/>
                <w:sz w:val="20"/>
                <w:szCs w:val="20"/>
              </w:rPr>
              <w:t>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6" w:type="dxa"/>
            <w:vAlign w:val="bottom"/>
          </w:tcPr>
          <w:p>
            <w:pPr>
              <w:rPr>
                <w:rFonts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8"/>
                <w:sz w:val="20"/>
                <w:szCs w:val="20"/>
              </w:rPr>
              <w:t>γ = 0.25, Spearman</w:t>
            </w:r>
          </w:p>
        </w:tc>
        <w:tc>
          <w:tcPr>
            <w:tcW w:w="962" w:type="dxa"/>
            <w:vAlign w:val="bottom"/>
          </w:tcPr>
          <w:p>
            <w:pPr>
              <w:rPr>
                <w:rFonts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8"/>
                <w:sz w:val="20"/>
                <w:szCs w:val="20"/>
              </w:rPr>
              <w:t>0.71</w:t>
            </w:r>
          </w:p>
        </w:tc>
        <w:tc>
          <w:tcPr>
            <w:tcW w:w="2999" w:type="dxa"/>
            <w:vAlign w:val="bottom"/>
          </w:tcPr>
          <w:p>
            <w:pPr>
              <w:rPr>
                <w:rFonts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8"/>
                <w:sz w:val="20"/>
                <w:szCs w:val="20"/>
              </w:rPr>
              <w:t>SCA1 (1), HIL4 (2), SCA3 (3)</w:t>
            </w:r>
          </w:p>
        </w:tc>
        <w:tc>
          <w:tcPr>
            <w:tcW w:w="1106" w:type="dxa"/>
            <w:vAlign w:val="bottom"/>
          </w:tcPr>
          <w:p>
            <w:pPr>
              <w:rPr>
                <w:rFonts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8"/>
                <w:sz w:val="20"/>
                <w:szCs w:val="20"/>
              </w:rPr>
              <w:t>0.312</w:t>
            </w:r>
          </w:p>
        </w:tc>
        <w:tc>
          <w:tcPr>
            <w:tcW w:w="1009" w:type="dxa"/>
            <w:vAlign w:val="bottom"/>
          </w:tcPr>
          <w:p>
            <w:pPr>
              <w:rPr>
                <w:rFonts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8"/>
                <w:sz w:val="20"/>
                <w:szCs w:val="20"/>
              </w:rPr>
              <w:t>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6" w:type="dxa"/>
            <w:vAlign w:val="bottom"/>
          </w:tcPr>
          <w:p>
            <w:pPr>
              <w:rPr>
                <w:rFonts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8"/>
                <w:sz w:val="20"/>
                <w:szCs w:val="20"/>
              </w:rPr>
              <w:t>γ = 0.75, Spearman</w:t>
            </w:r>
          </w:p>
        </w:tc>
        <w:tc>
          <w:tcPr>
            <w:tcW w:w="962" w:type="dxa"/>
            <w:vAlign w:val="bottom"/>
          </w:tcPr>
          <w:p>
            <w:pPr>
              <w:rPr>
                <w:rFonts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8"/>
                <w:sz w:val="20"/>
                <w:szCs w:val="20"/>
              </w:rPr>
              <w:t>0.68</w:t>
            </w:r>
          </w:p>
        </w:tc>
        <w:tc>
          <w:tcPr>
            <w:tcW w:w="2999" w:type="dxa"/>
            <w:vAlign w:val="bottom"/>
          </w:tcPr>
          <w:p>
            <w:pPr>
              <w:rPr>
                <w:rFonts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8"/>
                <w:sz w:val="20"/>
                <w:szCs w:val="20"/>
              </w:rPr>
              <w:t>SCA1 (1), HIL4 (2), HIL3 (3)</w:t>
            </w:r>
          </w:p>
        </w:tc>
        <w:tc>
          <w:tcPr>
            <w:tcW w:w="1106" w:type="dxa"/>
            <w:vAlign w:val="bottom"/>
          </w:tcPr>
          <w:p>
            <w:pPr>
              <w:rPr>
                <w:rFonts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8"/>
                <w:sz w:val="20"/>
                <w:szCs w:val="20"/>
              </w:rPr>
              <w:t>0.187</w:t>
            </w:r>
          </w:p>
        </w:tc>
        <w:tc>
          <w:tcPr>
            <w:tcW w:w="1009" w:type="dxa"/>
            <w:vAlign w:val="bottom"/>
          </w:tcPr>
          <w:p>
            <w:pPr>
              <w:rPr>
                <w:rFonts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8"/>
                <w:sz w:val="20"/>
                <w:szCs w:val="20"/>
              </w:rPr>
              <w:t>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6" w:type="dxa"/>
            <w:vAlign w:val="bottom"/>
          </w:tcPr>
          <w:p>
            <w:pPr>
              <w:rPr>
                <w:rFonts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8"/>
                <w:sz w:val="20"/>
                <w:szCs w:val="20"/>
              </w:rPr>
              <w:t>γ = 0.50, Pearson</w:t>
            </w:r>
          </w:p>
        </w:tc>
        <w:tc>
          <w:tcPr>
            <w:tcW w:w="962" w:type="dxa"/>
            <w:vAlign w:val="bottom"/>
          </w:tcPr>
          <w:p>
            <w:pPr>
              <w:rPr>
                <w:rFonts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8"/>
                <w:sz w:val="20"/>
                <w:szCs w:val="20"/>
              </w:rPr>
              <w:t>0.73</w:t>
            </w:r>
          </w:p>
        </w:tc>
        <w:tc>
          <w:tcPr>
            <w:tcW w:w="2999" w:type="dxa"/>
            <w:vAlign w:val="bottom"/>
          </w:tcPr>
          <w:p>
            <w:pPr>
              <w:rPr>
                <w:rFonts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8"/>
                <w:sz w:val="20"/>
                <w:szCs w:val="20"/>
              </w:rPr>
              <w:t>SCA1 (1), HIL4 (2), SCA3 (3)</w:t>
            </w:r>
          </w:p>
        </w:tc>
        <w:tc>
          <w:tcPr>
            <w:tcW w:w="1106" w:type="dxa"/>
            <w:vAlign w:val="bottom"/>
          </w:tcPr>
          <w:p>
            <w:pPr>
              <w:rPr>
                <w:rFonts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8"/>
                <w:sz w:val="20"/>
                <w:szCs w:val="20"/>
              </w:rPr>
              <w:t>0.253</w:t>
            </w:r>
          </w:p>
        </w:tc>
        <w:tc>
          <w:tcPr>
            <w:tcW w:w="1009" w:type="dxa"/>
            <w:vAlign w:val="bottom"/>
          </w:tcPr>
          <w:p>
            <w:pPr>
              <w:rPr>
                <w:rFonts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8"/>
                <w:sz w:val="20"/>
                <w:szCs w:val="20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6" w:type="dxa"/>
            <w:vAlign w:val="bottom"/>
          </w:tcPr>
          <w:p>
            <w:pPr>
              <w:rPr>
                <w:rFonts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8"/>
                <w:sz w:val="20"/>
                <w:szCs w:val="20"/>
              </w:rPr>
              <w:t>γ = 0.25, Pearson</w:t>
            </w:r>
          </w:p>
        </w:tc>
        <w:tc>
          <w:tcPr>
            <w:tcW w:w="962" w:type="dxa"/>
            <w:vAlign w:val="bottom"/>
          </w:tcPr>
          <w:p>
            <w:pPr>
              <w:rPr>
                <w:rFonts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8"/>
                <w:sz w:val="20"/>
                <w:szCs w:val="20"/>
              </w:rPr>
              <w:t>0.69</w:t>
            </w:r>
          </w:p>
        </w:tc>
        <w:tc>
          <w:tcPr>
            <w:tcW w:w="2999" w:type="dxa"/>
            <w:vAlign w:val="bottom"/>
          </w:tcPr>
          <w:p>
            <w:pPr>
              <w:rPr>
                <w:rFonts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8"/>
                <w:sz w:val="20"/>
                <w:szCs w:val="20"/>
              </w:rPr>
              <w:t>SCA1 (1), HIL4 (2), SCA3 (3)</w:t>
            </w:r>
          </w:p>
        </w:tc>
        <w:tc>
          <w:tcPr>
            <w:tcW w:w="1106" w:type="dxa"/>
            <w:vAlign w:val="bottom"/>
          </w:tcPr>
          <w:p>
            <w:pPr>
              <w:rPr>
                <w:rFonts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8"/>
                <w:sz w:val="20"/>
                <w:szCs w:val="20"/>
              </w:rPr>
              <w:t>0.318</w:t>
            </w:r>
          </w:p>
        </w:tc>
        <w:tc>
          <w:tcPr>
            <w:tcW w:w="1009" w:type="dxa"/>
            <w:vAlign w:val="bottom"/>
          </w:tcPr>
          <w:p>
            <w:pPr>
              <w:rPr>
                <w:rFonts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8"/>
                <w:sz w:val="20"/>
                <w:szCs w:val="20"/>
              </w:rPr>
              <w:t>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6" w:type="dxa"/>
            <w:vAlign w:val="bottom"/>
          </w:tcPr>
          <w:p>
            <w:pPr>
              <w:rPr>
                <w:rFonts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8"/>
                <w:sz w:val="20"/>
                <w:szCs w:val="20"/>
              </w:rPr>
              <w:t>γ = 0.75, Pearson</w:t>
            </w:r>
          </w:p>
        </w:tc>
        <w:tc>
          <w:tcPr>
            <w:tcW w:w="962" w:type="dxa"/>
            <w:vAlign w:val="bottom"/>
          </w:tcPr>
          <w:p>
            <w:pPr>
              <w:rPr>
                <w:rFonts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8"/>
                <w:sz w:val="20"/>
                <w:szCs w:val="20"/>
              </w:rPr>
              <w:t>0.66</w:t>
            </w:r>
          </w:p>
        </w:tc>
        <w:tc>
          <w:tcPr>
            <w:tcW w:w="2999" w:type="dxa"/>
            <w:vAlign w:val="bottom"/>
          </w:tcPr>
          <w:p>
            <w:pPr>
              <w:rPr>
                <w:rFonts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8"/>
                <w:sz w:val="20"/>
                <w:szCs w:val="20"/>
              </w:rPr>
              <w:t>SCA1 (1), HIL4 (3), PSC5 (2)</w:t>
            </w:r>
          </w:p>
        </w:tc>
        <w:tc>
          <w:tcPr>
            <w:tcW w:w="1106" w:type="dxa"/>
            <w:vAlign w:val="bottom"/>
          </w:tcPr>
          <w:p>
            <w:pPr>
              <w:rPr>
                <w:rFonts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8"/>
                <w:sz w:val="20"/>
                <w:szCs w:val="20"/>
              </w:rPr>
              <w:t>0.191</w:t>
            </w:r>
          </w:p>
        </w:tc>
        <w:tc>
          <w:tcPr>
            <w:tcW w:w="1009" w:type="dxa"/>
            <w:vAlign w:val="bottom"/>
          </w:tcPr>
          <w:p>
            <w:pPr>
              <w:rPr>
                <w:rFonts w:ascii="Times New Roman" w:hAnsi="Times New Roman" w:eastAsia="宋体" w:cs="Times New Roman"/>
                <w:b w:val="0"/>
                <w:bCs w:val="0"/>
                <w:spacing w:val="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8"/>
                <w:sz w:val="20"/>
                <w:szCs w:val="20"/>
              </w:rPr>
              <w:t>48</w:t>
            </w:r>
          </w:p>
        </w:tc>
      </w:tr>
    </w:tbl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left"/>
        <w:textAlignment w:val="auto"/>
        <w:rPr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Table S6. Sensitivity analysis results across EBICglasso tuning parameters γ = 0.25, 0.50, and 0.75.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var(--dsw-font-markdown-table-h">
    <w:altName w:val="Anonymou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ar(--dsw-font-markdown-table)">
    <w:altName w:val="Anonymou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nonymous">
    <w:panose1 w:val="02000409000000000000"/>
    <w:charset w:val="00"/>
    <w:family w:val="auto"/>
    <w:pitch w:val="default"/>
    <w:sig w:usb0="80000007" w:usb1="00000000" w:usb2="00000000" w:usb3="00000000" w:csb0="20000111" w:csb1="4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B779497"/>
    <w:multiLevelType w:val="singleLevel"/>
    <w:tmpl w:val="DB77949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137D1"/>
    <w:rsid w:val="252D74CA"/>
    <w:rsid w:val="374F04F4"/>
    <w:rsid w:val="395748A5"/>
    <w:rsid w:val="3C934566"/>
    <w:rsid w:val="45301AFB"/>
    <w:rsid w:val="4B2D1931"/>
    <w:rsid w:val="4F251B9C"/>
    <w:rsid w:val="53812D50"/>
    <w:rsid w:val="580320D2"/>
    <w:rsid w:val="5B8A3660"/>
    <w:rsid w:val="658B4E16"/>
    <w:rsid w:val="66753A0D"/>
    <w:rsid w:val="6F171CAD"/>
    <w:rsid w:val="78B73A29"/>
    <w:rsid w:val="7E6421EA"/>
    <w:rsid w:val="7FD8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  <w:style w:type="paragraph" w:styleId="6">
    <w:name w:val="List Paragraph"/>
    <w:basedOn w:val="1"/>
    <w:qFormat/>
    <w:uiPriority w:val="34"/>
    <w:pPr>
      <w:ind w:left="720"/>
      <w:contextualSpacing/>
      <w:jc w:val="left"/>
    </w:pPr>
    <w:rPr>
      <w:rFonts w:ascii="Times New Roman" w:hAnsi="Times New Roman" w:eastAsia="PMingLiU" w:cs="Times New Roman"/>
      <w:sz w:val="24"/>
      <w:szCs w:val="24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2026-02-27T14:34:00Z</dcterms:created>
  <dc:creator>xyj</dc:creator>
  <cp:lastModifiedBy>僖爸</cp:lastModifiedBy>
  <dcterms:modified xsi:type="dcterms:W3CDTF">2026-03-01T11:37:28Z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