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8DE">
      <w:pPr>
        <w:rPr>
          <w:b/>
          <w:bCs/>
        </w:rPr>
      </w:pPr>
      <w:r>
        <w:rPr>
          <w:b/>
          <w:bCs/>
        </w:rPr>
        <w:t>Supplementary Methods</w:t>
      </w:r>
    </w:p>
    <w:p w14:paraId="3A928B7C">
      <w:pPr>
        <w:rPr>
          <w:b/>
          <w:bCs/>
        </w:rPr>
      </w:pPr>
      <w:r>
        <w:rPr>
          <w:b/>
          <w:bCs/>
        </w:rPr>
        <w:t>Mechanism bridging and effect parameter estimatio</w:t>
      </w:r>
      <w:r>
        <w:rPr>
          <w:rFonts w:hint="eastAsia"/>
          <w:b/>
          <w:bCs/>
        </w:rPr>
        <w:t>n</w:t>
      </w:r>
    </w:p>
    <w:p w14:paraId="2964F276">
      <w:pPr>
        <w:rPr>
          <w:b/>
          <w:bCs/>
        </w:rPr>
      </w:pPr>
      <w:r>
        <w:rPr>
          <w:b/>
          <w:bCs/>
        </w:rPr>
        <w:t>Overview</w:t>
      </w:r>
    </w:p>
    <w:p w14:paraId="20B671F6">
      <w:r>
        <w:t>This supplement describes the mechanism-bridging approach used to translate trial-based short-term changes in donor pain and anxiety following a sterile vapocoolant spray (cold spray) into an estimated effect on repeat donation within 12 months for the decision model.</w:t>
      </w:r>
    </w:p>
    <w:p w14:paraId="123E9CB9">
      <w:r>
        <w:t>The bridging approach comprises (i) a serial behavioural translation model consistent with Theory of Planned Behaviour constructs (anxiety reduction influencing willingness, which influences repeat donation), and (ii) a response-surface approximation used as a consistency check.</w:t>
      </w:r>
    </w:p>
    <w:p w14:paraId="051F97EF">
      <w:pPr>
        <w:rPr>
          <w:b/>
          <w:bCs/>
        </w:rPr>
      </w:pPr>
      <w:r>
        <w:rPr>
          <w:b/>
          <w:bCs/>
        </w:rPr>
        <w:t>Trial-based short-term inputs</w:t>
      </w:r>
    </w:p>
    <w:p w14:paraId="28144E98">
      <w:r>
        <w:t>Short-term intervention effects were parameterised from a domestic open-label, randomised, multicentre study in first-time whole-blood donors that reported post-puncture pain (VAS), donation-related anxiety (BDAS), and willingness to donate again assessed by telephone follow-up within 7 days. VAS and BDAS are scaled such that higher values indicate worse pain or anxiety.</w:t>
      </w:r>
    </w:p>
    <w:p w14:paraId="2E17DB7C">
      <w:r>
        <w:t>For each psychological endpoint, we computed the mean improvement as the difference between control and intervention means (Δ = mean_control − mean_intervention), so that positive Δ indicates improvement. When a scale-free effect size was needed, we used the standardised mean difference (Cohen’s d).</w:t>
      </w:r>
    </w:p>
    <w:p w14:paraId="6918DB8A">
      <w:pPr>
        <w:rPr>
          <w:b/>
          <w:bCs/>
        </w:rPr>
      </w:pPr>
      <w:r>
        <w:rPr>
          <w:b/>
          <w:bCs/>
        </w:rPr>
        <w:t>Converting BDAS effect size to an odds ratio for anxiety improvement</w:t>
      </w:r>
    </w:p>
    <w:p w14:paraId="79AB280D">
      <w:r>
        <w:t xml:space="preserve">The serial translation model requires an intervention effect on the anxiety mediator on a logistic (odds) scale. We therefore used the established conversion between a standardised mean difference and a log odds ratio under a logistic distribution assumption </w:t>
      </w:r>
      <w:r>
        <w:fldChar w:fldCharType="begin"/>
      </w:r>
      <w:r>
        <w:instrText xml:space="preserve"> ADDIN EN.CITE &lt;EndNote&gt;&lt;Cite&gt;&lt;Author&gt;Chinn&lt;/Author&gt;&lt;Year&gt;2000&lt;/Year&gt;&lt;RecNum&gt;963&lt;/RecNum&gt;&lt;DisplayText&gt;(Chinn, 2000)&lt;/DisplayText&gt;&lt;record&gt;&lt;rec-number&gt;963&lt;/rec-number&gt;&lt;foreign-keys&gt;&lt;key app="EN" db-id="dsf999xxkeraetetwatv59avzt9w00adesex" timestamp="1772305281"&gt;963&lt;/key&gt;&lt;/foreign-keys&gt;&lt;ref-type name="Journal Article"&gt;17&lt;/ref-type&gt;&lt;contributors&gt;&lt;authors&gt;&lt;author&gt;Chinn, S.&lt;/author&gt;&lt;/authors&gt;&lt;/contributors&gt;&lt;auth-address&gt;Department of Public Health Sciences, King&amp;apos;s College, London, 5th floor, Capital House, 42 Weston Street, London SE1 3QD, UK. sue.chinn@kcl.ac.uk&lt;/auth-address&gt;&lt;titles&gt;&lt;title&gt;A simple method for converting an odds ratio to effect size for use in meta-analysis&lt;/title&gt;&lt;secondary-title&gt;Stat Med&lt;/secondary-title&gt;&lt;/titles&gt;&lt;periodical&gt;&lt;full-title&gt;Stat Med&lt;/full-title&gt;&lt;/periodical&gt;&lt;pages&gt;3127-31&lt;/pages&gt;&lt;volume&gt;19&lt;/volume&gt;&lt;number&gt;22&lt;/number&gt;&lt;keywords&gt;&lt;keyword&gt;Animals&lt;/keyword&gt;&lt;keyword&gt;Asthma/prevention &amp;amp; control&lt;/keyword&gt;&lt;keyword&gt;Dust/adverse effects&lt;/keyword&gt;&lt;keyword&gt;Humans&lt;/keyword&gt;&lt;keyword&gt;*Meta-Analysis as Topic&lt;/keyword&gt;&lt;keyword&gt;Mites&lt;/keyword&gt;&lt;keyword&gt;*Odds Ratio&lt;/keyword&gt;&lt;/keywords&gt;&lt;dates&gt;&lt;year&gt;2000&lt;/year&gt;&lt;pub-dates&gt;&lt;date&gt;Nov 30&lt;/date&gt;&lt;/pub-dates&gt;&lt;/dates&gt;&lt;isbn&gt;0277-6715 (Print)&amp;#xD;0277-6715&lt;/isbn&gt;&lt;accession-num&gt;11113947&lt;/accession-num&gt;&lt;urls&gt;&lt;/urls&gt;&lt;electronic-resource-num&gt;10.1002/1097-0258(20001130)19:22&amp;lt;3127::aid-sim784&amp;gt;3.0.co;2-m&lt;/electronic-resource-num&gt;&lt;remote-database-provider&gt;NLM&lt;/remote-database-provider&gt;&lt;language&gt;eng&lt;/language&gt;&lt;/record&gt;&lt;/Cite&gt;&lt;/EndNote&gt;</w:instrText>
      </w:r>
      <w:r>
        <w:fldChar w:fldCharType="separate"/>
      </w:r>
      <w:r>
        <w:t>(Chinn, 2000)</w:t>
      </w:r>
      <w:r>
        <w:fldChar w:fldCharType="end"/>
      </w:r>
      <w:r>
        <w:t>.</w:t>
      </w:r>
    </w:p>
    <w:p w14:paraId="362C82A5">
      <w:r>
        <w:t>The conversion is:</w:t>
      </w:r>
    </w:p>
    <w:p w14:paraId="649CBA99">
      <w:r>
        <w:t>log(OR_anxiety) = d × (π/√3)</w:t>
      </w:r>
    </w:p>
    <w:p w14:paraId="6BAF646F">
      <w:r>
        <w:t>and therefore:</w:t>
      </w:r>
    </w:p>
    <w:p w14:paraId="42ACE2E5">
      <w:r>
        <w:t>OR_anxiety = exp[d × (π/√3)].</w:t>
      </w:r>
    </w:p>
    <w:p w14:paraId="7D894CAB">
      <w:r>
        <w:t>Using d = 0.71 yields log(OR_anxiety) ≈ 1.286 and OR_anxiety ≈ 3.62. This quantity is interpreted as the relative odds of anxiety improvement under cold spray versus standard care.</w:t>
      </w:r>
    </w:p>
    <w:p w14:paraId="174F4864">
      <w:r>
        <w:t>This conversion is an approximation used to map a continuous anxiety effect size onto a logistic scale; uncertainty in d was propagated in probabilistic sensitivity analysis.</w:t>
      </w:r>
    </w:p>
    <w:p w14:paraId="47F7CB34">
      <w:pPr>
        <w:rPr>
          <w:b/>
          <w:bCs/>
        </w:rPr>
      </w:pPr>
      <w:r>
        <w:rPr>
          <w:b/>
          <w:bCs/>
        </w:rPr>
        <w:t>Serial behavioural translation model</w:t>
      </w:r>
    </w:p>
    <w:p w14:paraId="31D00E5C">
      <w:pPr>
        <w:rPr>
          <w:b/>
          <w:bCs/>
        </w:rPr>
      </w:pPr>
      <w:r>
        <w:rPr>
          <w:b/>
          <w:bCs/>
        </w:rPr>
        <w:t>Variable definitions and sign convention</w:t>
      </w:r>
    </w:p>
    <w:p w14:paraId="15C3B644">
      <w:r>
        <w:t>To avoid sign ambiguity, we define the mediator as anxiety reduction (improvement), not anxiety level. Specifically, anxiety reduction is defined such that larger values indicate greater improvement. With this definition, stronger anxiety reduction is expected to increase willingness to donate again.</w:t>
      </w:r>
    </w:p>
    <w:p w14:paraId="10341630">
      <w:r>
        <w:t>Let M1 denote anxiety reduction (improvement), M2 denote willingness to donate again, and Y denote 12-month repeat donation (binary indicator of at least one repeat whole-blood donation within 12 months of the index donation).</w:t>
      </w:r>
    </w:p>
    <w:p w14:paraId="4683BDCF">
      <w:pPr>
        <w:rPr>
          <w:b/>
          <w:bCs/>
        </w:rPr>
      </w:pPr>
      <w:r>
        <w:rPr>
          <w:b/>
          <w:bCs/>
        </w:rPr>
        <w:t>Path coefficients and indirect effect</w:t>
      </w:r>
    </w:p>
    <w:p w14:paraId="4715808C">
      <w:r>
        <w:t>We modelled behavioural translation as a serial pathway in which the intervention changes M1 (captured by OR_anxiety), M1 influences M2 with coefficient β_AR, and M2 influences Y with coefficient β_WB.</w:t>
      </w:r>
    </w:p>
    <w:p w14:paraId="1EF1463D">
      <w:r>
        <w:t xml:space="preserve">β_AR and β_WB were informed by published evidence that anxiety and needle pain are associated with lower subsequent donation behaviour </w:t>
      </w:r>
      <w:r>
        <w:fldChar w:fldCharType="begin">
          <w:fldData xml:space="preserve">PEVuZE5vdGU+PENpdGU+PEF1dGhvcj5GcmFuY2U8L0F1dGhvcj48WWVhcj4yMDEzPC9ZZWFyPjxS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</w:fldData>
        </w:fldChar>
      </w:r>
      <w:r>
        <w:instrText xml:space="preserve"> ADDIN EN.CITE </w:instrText>
      </w:r>
      <w:r>
        <w:fldChar w:fldCharType="begin">
          <w:fldData xml:space="preserve">PEVuZE5vdGU+PENpdGU+PEF1dGhvcj5GcmFuY2U8L0F1dGhvcj48WWVhcj4yMDEzPC9ZZWFyPjxS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</w:fldData>
        </w:fldChar>
      </w:r>
      <w:r>
        <w:instrText xml:space="preserve"> ADDIN EN.CITE.DATA </w:instrText>
      </w:r>
      <w:r>
        <w:fldChar w:fldCharType="end"/>
      </w:r>
      <w:r>
        <w:fldChar w:fldCharType="separate"/>
      </w:r>
      <w:r>
        <w:t>(France et al., 2013)</w:t>
      </w:r>
      <w:r>
        <w:fldChar w:fldCharType="end"/>
      </w:r>
      <w:r>
        <w:rPr>
          <w:rFonts w:hint="eastAsia"/>
        </w:rPr>
        <w:t xml:space="preserve"> </w:t>
      </w:r>
      <w:r>
        <w:t xml:space="preserve">and by theory-of-planned-behaviour meta-analytic evidence that intention is predictive of behaviour </w:t>
      </w:r>
      <w:r>
        <w:fldChar w:fldCharType="begin">
          <w:fldData xml:space="preserve">PEVuZE5vdGU+PENpdGU+PEF1dGhvcj5Db29rZTwvQXV0aG9yPjxZZWFyPjIwMDQ8L1llYXI+PFJl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</w:fldData>
        </w:fldChar>
      </w:r>
      <w:r>
        <w:instrText xml:space="preserve"> ADDIN EN.CITE </w:instrText>
      </w:r>
      <w:r>
        <w:fldChar w:fldCharType="begin">
          <w:fldData xml:space="preserve">PEVuZE5vdGU+PENpdGU+PEF1dGhvcj5Db29rZTwvQXV0aG9yPjxZZWFyPjIwMDQ8L1llYXI+PFJl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</w:fldData>
        </w:fldChar>
      </w:r>
      <w:r>
        <w:instrText xml:space="preserve"> ADDIN EN.CITE.DATA </w:instrText>
      </w:r>
      <w:r>
        <w:fldChar w:fldCharType="end"/>
      </w:r>
      <w:r>
        <w:fldChar w:fldCharType="separate"/>
      </w:r>
      <w:r>
        <w:t>(Cooke &amp; Sheeran, 2004; Webb &amp; Sheeran, 2006)</w:t>
      </w:r>
      <w:r>
        <w:fldChar w:fldCharType="end"/>
      </w:r>
      <w:r>
        <w:t xml:space="preserve">. The values used in the base case after calibration were β_AR = 0.28 and β_WB = 0.52, with uncertainty specified </w:t>
      </w:r>
      <w:r>
        <w:rPr>
          <w:rFonts w:hint="eastAsia"/>
        </w:rPr>
        <w:t>in later section</w:t>
      </w:r>
      <w:r>
        <w:t>.</w:t>
      </w:r>
    </w:p>
    <w:p w14:paraId="292061A9">
      <w:r>
        <w:t>The serial indirect effect (standardised) is:</w:t>
      </w:r>
    </w:p>
    <w:p w14:paraId="5A4F5F84">
      <w:r>
        <w:t>β_total = β_AR × β_WB.</w:t>
      </w:r>
    </w:p>
    <w:p w14:paraId="7A57FE07">
      <w:pPr>
        <w:rPr>
          <w:b/>
          <w:bCs/>
        </w:rPr>
      </w:pPr>
      <w:r>
        <w:rPr>
          <w:b/>
          <w:bCs/>
        </w:rPr>
        <w:t>Translating to a retention relative risk</w:t>
      </w:r>
    </w:p>
    <w:p w14:paraId="1CB940FD">
      <w:r>
        <w:t>We converted the indirect effect into a multiplicative behavioural effect on 12-month repeat donation as:</w:t>
      </w:r>
    </w:p>
    <w:p w14:paraId="09FEF9DD">
      <w:r>
        <w:t>RR_retention = exp[β_total × ln(OR_anxiety)].</w:t>
      </w:r>
    </w:p>
    <w:p w14:paraId="15C43F7F">
      <w:r>
        <w:t>With β_total = 0.146 and ln(OR_anxiety) = 1.286, RR_retention ≈ exp(0.188) ≈ 1.21.</w:t>
      </w:r>
    </w:p>
    <w:p w14:paraId="24C4A50F">
      <w:r>
        <w:t>This RR_retention represents the intervention’s relative effect on the probability of at least one repeat donation within 12 months, under the serial translation assumptions.</w:t>
      </w:r>
    </w:p>
    <w:p w14:paraId="12CA8205">
      <w:pPr>
        <w:rPr>
          <w:b/>
          <w:bCs/>
        </w:rPr>
      </w:pPr>
      <w:r>
        <w:rPr>
          <w:b/>
          <w:bCs/>
        </w:rPr>
        <w:t>Calibration of behavioural pathway strength (κ)</w:t>
      </w:r>
    </w:p>
    <w:p w14:paraId="57C1A899">
      <w:pPr>
        <w:rPr>
          <w:b/>
          <w:bCs/>
        </w:rPr>
      </w:pPr>
      <w:r>
        <w:rPr>
          <w:b/>
          <w:bCs/>
        </w:rPr>
        <w:t>Rationale</w:t>
      </w:r>
    </w:p>
    <w:p w14:paraId="3B6DCBAD">
      <w:r>
        <w:t>Behavioural pathway strengths can vary by context. We therefore introduced a calibration parameter κ to scale the anxiety-to-willingness association to the local context while preserving the directionality of effects.</w:t>
      </w:r>
    </w:p>
    <w:p w14:paraId="1328F65E">
      <w:pPr>
        <w:rPr>
          <w:b/>
          <w:bCs/>
        </w:rPr>
      </w:pPr>
      <w:r>
        <w:rPr>
          <w:b/>
          <w:bCs/>
        </w:rPr>
        <w:t>Definition</w:t>
      </w:r>
    </w:p>
    <w:p w14:paraId="258026BA">
      <w:r>
        <w:t>Let β_AR,ref denote the anxiety-to-willingness coefficient from the reference evidence base. We defined the locally applied coefficient as:</w:t>
      </w:r>
    </w:p>
    <w:p w14:paraId="405A7859">
      <w:r>
        <w:t>β_AR,local = κ × β_AR,ref.</w:t>
      </w:r>
    </w:p>
    <w:p w14:paraId="69C7D2CF">
      <w:r>
        <w:t>All other components of the serial translation were unchanged.</w:t>
      </w:r>
    </w:p>
    <w:p w14:paraId="0219B47D">
      <w:pPr>
        <w:rPr>
          <w:b/>
          <w:bCs/>
        </w:rPr>
      </w:pPr>
      <w:r>
        <w:rPr>
          <w:b/>
          <w:bCs/>
        </w:rPr>
        <w:t>Calibration target and optimisation</w:t>
      </w:r>
    </w:p>
    <w:p w14:paraId="2F2DCE77">
      <w:r>
        <w:t>We estimated κ by constrained non-linear least squares to minimise the weighted squared error between observed and model-predicted baseline 12-month retention across centres:</w:t>
      </w:r>
    </w:p>
    <w:p w14:paraId="0B5687C6">
      <w:r>
        <w:t>S(κ) = Σ_i w_i × [R_obs,i − R_pred,i(κ)]²,</w:t>
      </w:r>
    </w:p>
    <w:p w14:paraId="11A36790">
      <w:r>
        <w:t>where R_obs,i is observed 12-month retention for centre i, R_pred,i(κ) is the corresponding model prediction, and w_i = 1/n_i is an inverse-sample-size weight. Optimisation used a Nelder–Mead simplex algorithm with bounds 0.5 ≤ κ ≤ 1.5 and a convergence criterion of absolute change in S(κ) &lt; 1×10⁻⁶ for 100 consecutive iterations.</w:t>
      </w:r>
    </w:p>
    <w:p w14:paraId="44C8AE5E">
      <w:r>
        <w:t>The calibrated value used in the base case was κ = 0.90; calibration diagnostics (R², RMSE, MAE) are reported as model-fit summaries.</w:t>
      </w:r>
    </w:p>
    <w:p w14:paraId="7CFFDE17">
      <w:pPr>
        <w:rPr>
          <w:b/>
          <w:bCs/>
        </w:rPr>
      </w:pPr>
      <w:r>
        <w:rPr>
          <w:b/>
          <w:bCs/>
        </w:rPr>
        <w:t>Response surface mechanism bridging</w:t>
      </w:r>
    </w:p>
    <w:p w14:paraId="3C41E253">
      <w:r>
        <w:t>As a consistency check, we constructed a second-order polynomial response surface linking improvements in pain and anxiety to predicted retention probability:</w:t>
      </w:r>
    </w:p>
    <w:p w14:paraId="46946ACF">
      <w:r>
        <w:t>P_retention = β0 + β1·ΔVAS + β2·ΔBDAS + β12·(ΔVAS×ΔBDAS) + β11·ΔVAS² + β22·ΔBDAS² + ε.</w:t>
      </w:r>
    </w:p>
    <w:p w14:paraId="46D26D2D">
      <w:r>
        <w:t>We generated a grid of plausible (ΔVAS, ΔBDAS) values spanning the empirical ranges observed in the trial, computed P_retention under the mediation-based approach at each grid point, and fit the polynomial coefficients by least squares. We then evaluated the fitted surface at the observed trial effect point (ΔVAS, ΔBDAS) and compared this prediction with the mediation-based prediction. The prespecified consistency criterion was an absolute difference &lt;5% on the retention-probability scale.</w:t>
      </w:r>
    </w:p>
    <w:p w14:paraId="085D8B23">
      <w:pPr>
        <w:rPr>
          <w:b/>
          <w:bCs/>
        </w:rPr>
      </w:pPr>
      <w:r>
        <w:rPr>
          <w:b/>
          <w:bCs/>
        </w:rPr>
        <w:t>Applying RR_retention in the Markov model</w:t>
      </w:r>
    </w:p>
    <w:p w14:paraId="4D94A0BB">
      <w:r>
        <w:t>The decision model is a monthly-cycle state-transition model</w:t>
      </w:r>
      <w:r>
        <w:rPr>
          <w:rFonts w:hint="eastAsia"/>
        </w:rPr>
        <w:t xml:space="preserve"> </w:t>
      </w:r>
      <w:r>
        <w:fldChar w:fldCharType="begin">
          <w:fldData xml:space="preserve">PEVuZE5vdGU+PENpdGU+PEF1dGhvcj5DYXJvPC9BdXRob3I+PFllYXI+MjAxMjwvWWVhcj48UmVj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</w:fldData>
        </w:fldChar>
      </w:r>
      <w:r>
        <w:instrText xml:space="preserve"> ADDIN EN.CITE </w:instrText>
      </w:r>
      <w:r>
        <w:fldChar w:fldCharType="begin">
          <w:fldData xml:space="preserve">PEVuZE5vdGU+PENpdGU+PEF1dGhvcj5DYXJvPC9BdXRob3I+PFllYXI+MjAxMjwvWWVhcj48UmVj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</w:fldData>
        </w:fldChar>
      </w:r>
      <w:r>
        <w:instrText xml:space="preserve"> ADDIN EN.CITE.DATA </w:instrText>
      </w:r>
      <w:r>
        <w:fldChar w:fldCharType="end"/>
      </w:r>
      <w:r>
        <w:fldChar w:fldCharType="separate"/>
      </w:r>
      <w:r>
        <w:t>(Caro et al., 2012; Siebert et al., 2012)</w:t>
      </w:r>
      <w:r>
        <w:fldChar w:fldCharType="end"/>
      </w:r>
      <w:r>
        <w:t>. Baseline monthly transitions were first calibrated to reproduce the target baseline 12-month retention. For the intervention arm, the behavioural effect was implemented by scaling the monthly Dormant-to-Active transition probability:</w:t>
      </w:r>
    </w:p>
    <w:p w14:paraId="59E6FD99">
      <w:r>
        <w:t>p_D→A,int(t) = min[1, RR_retention × p_D→A,ctl(t)].</w:t>
      </w:r>
    </w:p>
    <w:p w14:paraId="0D9BC45B">
      <w:r>
        <w:t>This implementation realises the behavioural effect through the same transition structure that generates baseline retention, rather than applying a single multiplicative factor to the cumulative 12-month retention probability.</w:t>
      </w:r>
    </w:p>
    <w:p w14:paraId="216C8E3E">
      <w:pPr>
        <w:rPr>
          <w:b/>
          <w:bCs/>
        </w:rPr>
      </w:pPr>
      <w:r>
        <w:rPr>
          <w:b/>
          <w:bCs/>
        </w:rPr>
        <w:t>Uncertainty specification for bridging parameters</w:t>
      </w:r>
    </w:p>
    <w:p w14:paraId="7BEFE08D">
      <w:r>
        <w:t>In probabilistic sensitivity analysis, we propagated uncertainty in d (BDAS SMD), β_AR, β_WB, and κ. At each simulation draw, we sampled d to compute OR_anxiety, sampled β_AR and β_WB to compute β_total, computed RR_retention, and applied RR_retention to monthly Dormant-to-Active transition probabilities before simulating 12-month retention.</w:t>
      </w:r>
    </w:p>
    <w:p w14:paraId="4A0F1C54">
      <w:pPr>
        <w:rPr>
          <w:b/>
          <w:bCs/>
        </w:rPr>
      </w:pPr>
      <w:r>
        <w:rPr>
          <w:rFonts w:hint="eastAsia"/>
          <w:b/>
          <w:bCs/>
        </w:rPr>
        <w:t xml:space="preserve">Table S1. </w:t>
      </w:r>
      <w:r>
        <w:rPr>
          <w:b/>
          <w:bCs/>
        </w:rPr>
        <w:t>Incremental TDABC cost inputs for cold spray</w:t>
      </w:r>
    </w:p>
    <w:tbl>
      <w:tblPr>
        <w:tblStyle w:val="16"/>
        <w:tblW w:w="0" w:type="auto"/>
        <w:tblCellSpacing w:w="15" w:type="dxa"/>
        <w:tblInd w:w="0" w:type="dxa"/>
        <w:tblLayout w:type="autofit"/>
        <w:tblCellMar>
          <w:top w:w="15" w:type="dxa"/>
          <w:left w:w="15" w:type="dxa"/>
          <w:bottom w:w="15" w:type="dxa"/>
          <w:right w:w="15" w:type="dxa"/>
        </w:tblCellMar>
      </w:tblPr>
      <w:tblGrid>
        <w:gridCol w:w="1756"/>
        <w:gridCol w:w="851"/>
        <w:gridCol w:w="605"/>
        <w:gridCol w:w="1029"/>
        <w:gridCol w:w="1508"/>
        <w:gridCol w:w="2647"/>
      </w:tblGrid>
      <w:tr w14:paraId="78E2C094">
        <w:tblPrEx>
          <w:tblCellMar>
            <w:top w:w="15" w:type="dxa"/>
            <w:left w:w="15" w:type="dxa"/>
            <w:bottom w:w="15" w:type="dxa"/>
            <w:right w:w="15" w:type="dxa"/>
          </w:tblCellMar>
        </w:tblPrEx>
        <w:trPr>
          <w:tblCellSpacing w:w="15" w:type="dxa"/>
        </w:trPr>
        <w:tc>
          <w:tcPr>
            <w:tcW w:w="0" w:type="auto"/>
            <w:vAlign w:val="center"/>
          </w:tcPr>
          <w:p w14:paraId="4789BB6A">
            <w:pPr>
              <w:rPr>
                <w:b/>
                <w:bCs/>
              </w:rPr>
            </w:pPr>
            <w:r>
              <w:rPr>
                <w:b/>
                <w:bCs/>
              </w:rPr>
              <w:t>Cost input (incremental)</w:t>
            </w:r>
          </w:p>
        </w:tc>
        <w:tc>
          <w:tcPr>
            <w:tcW w:w="0" w:type="auto"/>
            <w:vAlign w:val="center"/>
          </w:tcPr>
          <w:p w14:paraId="09E7B59E">
            <w:pPr>
              <w:rPr>
                <w:b/>
                <w:bCs/>
              </w:rPr>
            </w:pPr>
            <w:r>
              <w:rPr>
                <w:b/>
                <w:bCs/>
              </w:rPr>
              <w:t>Unit</w:t>
            </w:r>
          </w:p>
        </w:tc>
        <w:tc>
          <w:tcPr>
            <w:tcW w:w="0" w:type="auto"/>
            <w:vAlign w:val="center"/>
          </w:tcPr>
          <w:p w14:paraId="192F154A">
            <w:pPr>
              <w:rPr>
                <w:b/>
                <w:bCs/>
              </w:rPr>
            </w:pPr>
            <w:r>
              <w:rPr>
                <w:b/>
                <w:bCs/>
              </w:rPr>
              <w:t>Base case</w:t>
            </w:r>
          </w:p>
        </w:tc>
        <w:tc>
          <w:tcPr>
            <w:tcW w:w="0" w:type="auto"/>
            <w:vAlign w:val="center"/>
          </w:tcPr>
          <w:p w14:paraId="3E5075C6">
            <w:pPr>
              <w:rPr>
                <w:b/>
                <w:bCs/>
              </w:rPr>
            </w:pPr>
            <w:r>
              <w:rPr>
                <w:b/>
                <w:bCs/>
              </w:rPr>
              <w:t>Range used in DSA</w:t>
            </w:r>
          </w:p>
        </w:tc>
        <w:tc>
          <w:tcPr>
            <w:tcW w:w="0" w:type="auto"/>
            <w:vAlign w:val="center"/>
          </w:tcPr>
          <w:p w14:paraId="2FC3081E">
            <w:pPr>
              <w:rPr>
                <w:b/>
                <w:bCs/>
              </w:rPr>
            </w:pPr>
            <w:r>
              <w:rPr>
                <w:b/>
                <w:bCs/>
              </w:rPr>
              <w:t>Distribution in PSA</w:t>
            </w:r>
          </w:p>
        </w:tc>
        <w:tc>
          <w:tcPr>
            <w:tcW w:w="0" w:type="auto"/>
            <w:vAlign w:val="center"/>
          </w:tcPr>
          <w:p w14:paraId="681B42E9">
            <w:pPr>
              <w:rPr>
                <w:b/>
                <w:bCs/>
              </w:rPr>
            </w:pPr>
            <w:r>
              <w:rPr>
                <w:b/>
                <w:bCs/>
              </w:rPr>
              <w:t>Notes / source within study</w:t>
            </w:r>
          </w:p>
        </w:tc>
      </w:tr>
      <w:tr w14:paraId="1DD5813D">
        <w:tblPrEx>
          <w:tblCellMar>
            <w:top w:w="15" w:type="dxa"/>
            <w:left w:w="15" w:type="dxa"/>
            <w:bottom w:w="15" w:type="dxa"/>
            <w:right w:w="15" w:type="dxa"/>
          </w:tblCellMar>
        </w:tblPrEx>
        <w:trPr>
          <w:tblCellSpacing w:w="15" w:type="dxa"/>
        </w:trPr>
        <w:tc>
          <w:tcPr>
            <w:tcW w:w="0" w:type="auto"/>
            <w:vAlign w:val="center"/>
          </w:tcPr>
          <w:p w14:paraId="2E02E919">
            <w:pPr>
              <w:rPr>
                <w:sz w:val="20"/>
                <w:szCs w:val="20"/>
              </w:rPr>
            </w:pPr>
            <w:r>
              <w:rPr>
                <w:sz w:val="20"/>
                <w:szCs w:val="20"/>
              </w:rPr>
              <w:t>Cold spray consumable procurement</w:t>
            </w:r>
          </w:p>
        </w:tc>
        <w:tc>
          <w:tcPr>
            <w:tcW w:w="0" w:type="auto"/>
            <w:vAlign w:val="center"/>
          </w:tcPr>
          <w:p w14:paraId="40B53D52">
            <w:pPr>
              <w:rPr>
                <w:sz w:val="20"/>
                <w:szCs w:val="20"/>
              </w:rPr>
            </w:pPr>
            <w:r>
              <w:rPr>
                <w:sz w:val="20"/>
                <w:szCs w:val="20"/>
              </w:rPr>
              <w:t>¥ per donor</w:t>
            </w:r>
          </w:p>
        </w:tc>
        <w:tc>
          <w:tcPr>
            <w:tcW w:w="0" w:type="auto"/>
            <w:vAlign w:val="center"/>
          </w:tcPr>
          <w:p w14:paraId="03FE5972">
            <w:pPr>
              <w:rPr>
                <w:sz w:val="20"/>
                <w:szCs w:val="20"/>
              </w:rPr>
            </w:pPr>
            <w:r>
              <w:rPr>
                <w:sz w:val="20"/>
                <w:szCs w:val="20"/>
              </w:rPr>
              <w:t>2.60</w:t>
            </w:r>
          </w:p>
        </w:tc>
        <w:tc>
          <w:tcPr>
            <w:tcW w:w="0" w:type="auto"/>
            <w:vAlign w:val="center"/>
          </w:tcPr>
          <w:p w14:paraId="4FBA180B">
            <w:pPr>
              <w:rPr>
                <w:sz w:val="20"/>
                <w:szCs w:val="20"/>
              </w:rPr>
            </w:pPr>
            <w:r>
              <w:rPr>
                <w:sz w:val="20"/>
                <w:szCs w:val="20"/>
              </w:rPr>
              <w:t>2.20–3.00</w:t>
            </w:r>
          </w:p>
        </w:tc>
        <w:tc>
          <w:tcPr>
            <w:tcW w:w="0" w:type="auto"/>
            <w:vAlign w:val="center"/>
          </w:tcPr>
          <w:p w14:paraId="31394F97">
            <w:pPr>
              <w:rPr>
                <w:sz w:val="20"/>
                <w:szCs w:val="20"/>
              </w:rPr>
            </w:pPr>
            <w:r>
              <w:rPr>
                <w:sz w:val="20"/>
                <w:szCs w:val="20"/>
              </w:rPr>
              <w:t>Uniform</w:t>
            </w:r>
            <w:r>
              <w:rPr>
                <w:rFonts w:hint="eastAsia"/>
                <w:sz w:val="20"/>
                <w:szCs w:val="20"/>
              </w:rPr>
              <w:t xml:space="preserve"> </w:t>
            </w:r>
            <w:r>
              <w:rPr>
                <w:sz w:val="20"/>
                <w:szCs w:val="20"/>
              </w:rPr>
              <w:t>(2.20, 3.00)</w:t>
            </w:r>
          </w:p>
        </w:tc>
        <w:tc>
          <w:tcPr>
            <w:tcW w:w="0" w:type="auto"/>
            <w:vAlign w:val="center"/>
          </w:tcPr>
          <w:p w14:paraId="7EAF156A">
            <w:pPr>
              <w:rPr>
                <w:sz w:val="20"/>
                <w:szCs w:val="20"/>
              </w:rPr>
            </w:pPr>
            <w:r>
              <w:rPr>
                <w:sz w:val="20"/>
                <w:szCs w:val="20"/>
              </w:rPr>
              <w:t>Procurement price from three blood centres (2023–2024)</w:t>
            </w:r>
          </w:p>
        </w:tc>
      </w:tr>
      <w:tr w14:paraId="6252A474">
        <w:tblPrEx>
          <w:tblCellMar>
            <w:top w:w="15" w:type="dxa"/>
            <w:left w:w="15" w:type="dxa"/>
            <w:bottom w:w="15" w:type="dxa"/>
            <w:right w:w="15" w:type="dxa"/>
          </w:tblCellMar>
        </w:tblPrEx>
        <w:trPr>
          <w:tblCellSpacing w:w="15" w:type="dxa"/>
        </w:trPr>
        <w:tc>
          <w:tcPr>
            <w:tcW w:w="0" w:type="auto"/>
            <w:vAlign w:val="center"/>
          </w:tcPr>
          <w:p w14:paraId="22CBD335">
            <w:pPr>
              <w:rPr>
                <w:sz w:val="20"/>
                <w:szCs w:val="20"/>
              </w:rPr>
            </w:pPr>
            <w:r>
              <w:rPr>
                <w:sz w:val="20"/>
                <w:szCs w:val="20"/>
              </w:rPr>
              <w:t>Application time</w:t>
            </w:r>
          </w:p>
        </w:tc>
        <w:tc>
          <w:tcPr>
            <w:tcW w:w="0" w:type="auto"/>
            <w:vAlign w:val="center"/>
          </w:tcPr>
          <w:p w14:paraId="00726E20">
            <w:pPr>
              <w:rPr>
                <w:sz w:val="20"/>
                <w:szCs w:val="20"/>
              </w:rPr>
            </w:pPr>
            <w:r>
              <w:rPr>
                <w:sz w:val="20"/>
                <w:szCs w:val="20"/>
              </w:rPr>
              <w:t>minutes per donor</w:t>
            </w:r>
          </w:p>
        </w:tc>
        <w:tc>
          <w:tcPr>
            <w:tcW w:w="0" w:type="auto"/>
            <w:vAlign w:val="center"/>
          </w:tcPr>
          <w:p w14:paraId="40F77B3F">
            <w:pPr>
              <w:rPr>
                <w:sz w:val="20"/>
                <w:szCs w:val="20"/>
              </w:rPr>
            </w:pPr>
            <w:r>
              <w:rPr>
                <w:sz w:val="20"/>
                <w:szCs w:val="20"/>
              </w:rPr>
              <w:t>0.50</w:t>
            </w:r>
          </w:p>
        </w:tc>
        <w:tc>
          <w:tcPr>
            <w:tcW w:w="0" w:type="auto"/>
            <w:vAlign w:val="center"/>
          </w:tcPr>
          <w:p w14:paraId="713FED83">
            <w:pPr>
              <w:rPr>
                <w:sz w:val="20"/>
                <w:szCs w:val="20"/>
              </w:rPr>
            </w:pPr>
            <w:r>
              <w:rPr>
                <w:sz w:val="20"/>
                <w:szCs w:val="20"/>
              </w:rPr>
              <w:t>—</w:t>
            </w:r>
          </w:p>
        </w:tc>
        <w:tc>
          <w:tcPr>
            <w:tcW w:w="0" w:type="auto"/>
            <w:vAlign w:val="center"/>
          </w:tcPr>
          <w:p w14:paraId="3C87A6C9">
            <w:pPr>
              <w:rPr>
                <w:sz w:val="20"/>
                <w:szCs w:val="20"/>
              </w:rPr>
            </w:pPr>
            <w:r>
              <w:rPr>
                <w:sz w:val="20"/>
                <w:szCs w:val="20"/>
              </w:rPr>
              <w:t>Normal</w:t>
            </w:r>
            <w:r>
              <w:rPr>
                <w:rFonts w:hint="eastAsia"/>
                <w:sz w:val="20"/>
                <w:szCs w:val="20"/>
              </w:rPr>
              <w:t xml:space="preserve"> </w:t>
            </w:r>
            <w:r>
              <w:rPr>
                <w:sz w:val="20"/>
                <w:szCs w:val="20"/>
              </w:rPr>
              <w:t>(0.50, 0.08) truncated at &gt;0</w:t>
            </w:r>
          </w:p>
        </w:tc>
        <w:tc>
          <w:tcPr>
            <w:tcW w:w="0" w:type="auto"/>
            <w:vAlign w:val="center"/>
          </w:tcPr>
          <w:p w14:paraId="3B1651F3">
            <w:pPr>
              <w:rPr>
                <w:sz w:val="20"/>
                <w:szCs w:val="20"/>
              </w:rPr>
            </w:pPr>
            <w:r>
              <w:rPr>
                <w:sz w:val="20"/>
                <w:szCs w:val="20"/>
              </w:rPr>
              <w:t>Time-motion observation of the application process (spraying, evaporation wait, documentation); n=150; SD=0.08</w:t>
            </w:r>
          </w:p>
        </w:tc>
      </w:tr>
      <w:tr w14:paraId="3F07CEDD">
        <w:tblPrEx>
          <w:tblCellMar>
            <w:top w:w="15" w:type="dxa"/>
            <w:left w:w="15" w:type="dxa"/>
            <w:bottom w:w="15" w:type="dxa"/>
            <w:right w:w="15" w:type="dxa"/>
          </w:tblCellMar>
        </w:tblPrEx>
        <w:trPr>
          <w:tblCellSpacing w:w="15" w:type="dxa"/>
        </w:trPr>
        <w:tc>
          <w:tcPr>
            <w:tcW w:w="0" w:type="auto"/>
            <w:vAlign w:val="center"/>
          </w:tcPr>
          <w:p w14:paraId="177BD36E">
            <w:pPr>
              <w:rPr>
                <w:sz w:val="20"/>
                <w:szCs w:val="20"/>
              </w:rPr>
            </w:pPr>
            <w:r>
              <w:rPr>
                <w:sz w:val="20"/>
                <w:szCs w:val="20"/>
              </w:rPr>
              <w:t>Staff cost rate</w:t>
            </w:r>
          </w:p>
        </w:tc>
        <w:tc>
          <w:tcPr>
            <w:tcW w:w="0" w:type="auto"/>
            <w:vAlign w:val="center"/>
          </w:tcPr>
          <w:p w14:paraId="046ADBE9">
            <w:pPr>
              <w:rPr>
                <w:sz w:val="20"/>
                <w:szCs w:val="20"/>
              </w:rPr>
            </w:pPr>
            <w:r>
              <w:rPr>
                <w:sz w:val="20"/>
                <w:szCs w:val="20"/>
              </w:rPr>
              <w:t>¥ per minute</w:t>
            </w:r>
          </w:p>
        </w:tc>
        <w:tc>
          <w:tcPr>
            <w:tcW w:w="0" w:type="auto"/>
            <w:vAlign w:val="center"/>
          </w:tcPr>
          <w:p w14:paraId="12832EEC">
            <w:pPr>
              <w:rPr>
                <w:sz w:val="20"/>
                <w:szCs w:val="20"/>
              </w:rPr>
            </w:pPr>
            <w:r>
              <w:rPr>
                <w:sz w:val="20"/>
                <w:szCs w:val="20"/>
              </w:rPr>
              <w:t>1.20</w:t>
            </w:r>
          </w:p>
        </w:tc>
        <w:tc>
          <w:tcPr>
            <w:tcW w:w="0" w:type="auto"/>
            <w:vAlign w:val="center"/>
          </w:tcPr>
          <w:p w14:paraId="4DABCCD4">
            <w:pPr>
              <w:rPr>
                <w:sz w:val="20"/>
                <w:szCs w:val="20"/>
              </w:rPr>
            </w:pPr>
            <w:r>
              <w:rPr>
                <w:sz w:val="20"/>
                <w:szCs w:val="20"/>
              </w:rPr>
              <w:t>—</w:t>
            </w:r>
          </w:p>
        </w:tc>
        <w:tc>
          <w:tcPr>
            <w:tcW w:w="0" w:type="auto"/>
            <w:vAlign w:val="center"/>
          </w:tcPr>
          <w:p w14:paraId="52DDCA97">
            <w:pPr>
              <w:rPr>
                <w:sz w:val="20"/>
                <w:szCs w:val="20"/>
              </w:rPr>
            </w:pPr>
            <w:r>
              <w:rPr>
                <w:sz w:val="20"/>
                <w:szCs w:val="20"/>
              </w:rPr>
              <w:t>Fixed (base case)</w:t>
            </w:r>
          </w:p>
        </w:tc>
        <w:tc>
          <w:tcPr>
            <w:tcW w:w="0" w:type="auto"/>
            <w:vAlign w:val="center"/>
          </w:tcPr>
          <w:p w14:paraId="21B1DA13">
            <w:pPr>
              <w:rPr>
                <w:sz w:val="20"/>
                <w:szCs w:val="20"/>
              </w:rPr>
            </w:pPr>
            <w:r>
              <w:rPr>
                <w:sz w:val="20"/>
                <w:szCs w:val="20"/>
              </w:rPr>
              <w:t>Nurse wage rate used for TDABC costing</w:t>
            </w:r>
          </w:p>
        </w:tc>
      </w:tr>
      <w:tr w14:paraId="24511530">
        <w:tblPrEx>
          <w:tblCellMar>
            <w:top w:w="15" w:type="dxa"/>
            <w:left w:w="15" w:type="dxa"/>
            <w:bottom w:w="15" w:type="dxa"/>
            <w:right w:w="15" w:type="dxa"/>
          </w:tblCellMar>
        </w:tblPrEx>
        <w:trPr>
          <w:tblCellSpacing w:w="15" w:type="dxa"/>
        </w:trPr>
        <w:tc>
          <w:tcPr>
            <w:tcW w:w="0" w:type="auto"/>
            <w:vAlign w:val="center"/>
          </w:tcPr>
          <w:p w14:paraId="2997C476">
            <w:pPr>
              <w:rPr>
                <w:sz w:val="20"/>
                <w:szCs w:val="20"/>
              </w:rPr>
            </w:pPr>
            <w:r>
              <w:rPr>
                <w:sz w:val="20"/>
                <w:szCs w:val="20"/>
              </w:rPr>
              <w:t>Staff time cost (application time × cost rate)</w:t>
            </w:r>
          </w:p>
        </w:tc>
        <w:tc>
          <w:tcPr>
            <w:tcW w:w="0" w:type="auto"/>
            <w:vAlign w:val="center"/>
          </w:tcPr>
          <w:p w14:paraId="3E58A3FB">
            <w:pPr>
              <w:rPr>
                <w:sz w:val="20"/>
                <w:szCs w:val="20"/>
              </w:rPr>
            </w:pPr>
            <w:r>
              <w:rPr>
                <w:sz w:val="20"/>
                <w:szCs w:val="20"/>
              </w:rPr>
              <w:t>¥ per donor</w:t>
            </w:r>
          </w:p>
        </w:tc>
        <w:tc>
          <w:tcPr>
            <w:tcW w:w="0" w:type="auto"/>
            <w:vAlign w:val="center"/>
          </w:tcPr>
          <w:p w14:paraId="6997A81A">
            <w:pPr>
              <w:rPr>
                <w:sz w:val="20"/>
                <w:szCs w:val="20"/>
              </w:rPr>
            </w:pPr>
            <w:r>
              <w:rPr>
                <w:sz w:val="20"/>
                <w:szCs w:val="20"/>
              </w:rPr>
              <w:t>0.60</w:t>
            </w:r>
          </w:p>
        </w:tc>
        <w:tc>
          <w:tcPr>
            <w:tcW w:w="0" w:type="auto"/>
            <w:vAlign w:val="center"/>
          </w:tcPr>
          <w:p w14:paraId="7A18D811">
            <w:pPr>
              <w:rPr>
                <w:sz w:val="20"/>
                <w:szCs w:val="20"/>
              </w:rPr>
            </w:pPr>
            <w:r>
              <w:rPr>
                <w:sz w:val="20"/>
                <w:szCs w:val="20"/>
              </w:rPr>
              <w:t>—</w:t>
            </w:r>
          </w:p>
        </w:tc>
        <w:tc>
          <w:tcPr>
            <w:tcW w:w="0" w:type="auto"/>
            <w:vAlign w:val="center"/>
          </w:tcPr>
          <w:p w14:paraId="2625F039">
            <w:pPr>
              <w:rPr>
                <w:sz w:val="20"/>
                <w:szCs w:val="20"/>
              </w:rPr>
            </w:pPr>
            <w:r>
              <w:rPr>
                <w:sz w:val="20"/>
                <w:szCs w:val="20"/>
              </w:rPr>
              <w:t>Derived</w:t>
            </w:r>
          </w:p>
        </w:tc>
        <w:tc>
          <w:tcPr>
            <w:tcW w:w="0" w:type="auto"/>
            <w:vAlign w:val="center"/>
          </w:tcPr>
          <w:p w14:paraId="187D91DA">
            <w:pPr>
              <w:rPr>
                <w:sz w:val="20"/>
                <w:szCs w:val="20"/>
              </w:rPr>
            </w:pPr>
            <w:r>
              <w:rPr>
                <w:sz w:val="20"/>
                <w:szCs w:val="20"/>
              </w:rPr>
              <w:t>Implemented in PSA as sampled time × fixed rate</w:t>
            </w:r>
          </w:p>
        </w:tc>
      </w:tr>
      <w:tr w14:paraId="79434FF3">
        <w:tblPrEx>
          <w:tblCellMar>
            <w:top w:w="15" w:type="dxa"/>
            <w:left w:w="15" w:type="dxa"/>
            <w:bottom w:w="15" w:type="dxa"/>
            <w:right w:w="15" w:type="dxa"/>
          </w:tblCellMar>
        </w:tblPrEx>
        <w:trPr>
          <w:tblCellSpacing w:w="15" w:type="dxa"/>
        </w:trPr>
        <w:tc>
          <w:tcPr>
            <w:tcW w:w="0" w:type="auto"/>
            <w:vAlign w:val="center"/>
          </w:tcPr>
          <w:p w14:paraId="55A6A6BB">
            <w:pPr>
              <w:rPr>
                <w:sz w:val="20"/>
                <w:szCs w:val="20"/>
              </w:rPr>
            </w:pPr>
            <w:r>
              <w:rPr>
                <w:sz w:val="20"/>
                <w:szCs w:val="20"/>
              </w:rPr>
              <w:t>Training cost (apportioned)</w:t>
            </w:r>
          </w:p>
        </w:tc>
        <w:tc>
          <w:tcPr>
            <w:tcW w:w="0" w:type="auto"/>
            <w:vAlign w:val="center"/>
          </w:tcPr>
          <w:p w14:paraId="75573B08">
            <w:pPr>
              <w:rPr>
                <w:sz w:val="20"/>
                <w:szCs w:val="20"/>
              </w:rPr>
            </w:pPr>
            <w:r>
              <w:rPr>
                <w:sz w:val="20"/>
                <w:szCs w:val="20"/>
              </w:rPr>
              <w:t>¥ per donor</w:t>
            </w:r>
          </w:p>
        </w:tc>
        <w:tc>
          <w:tcPr>
            <w:tcW w:w="0" w:type="auto"/>
            <w:vAlign w:val="center"/>
          </w:tcPr>
          <w:p w14:paraId="2E809FB6">
            <w:pPr>
              <w:rPr>
                <w:sz w:val="20"/>
                <w:szCs w:val="20"/>
              </w:rPr>
            </w:pPr>
            <w:r>
              <w:rPr>
                <w:sz w:val="20"/>
                <w:szCs w:val="20"/>
              </w:rPr>
              <w:t>0.30</w:t>
            </w:r>
          </w:p>
        </w:tc>
        <w:tc>
          <w:tcPr>
            <w:tcW w:w="0" w:type="auto"/>
            <w:vAlign w:val="center"/>
          </w:tcPr>
          <w:p w14:paraId="177BE20F">
            <w:pPr>
              <w:rPr>
                <w:sz w:val="20"/>
                <w:szCs w:val="20"/>
              </w:rPr>
            </w:pPr>
            <w:r>
              <w:rPr>
                <w:sz w:val="20"/>
                <w:szCs w:val="20"/>
              </w:rPr>
              <w:t>0.20–0.40</w:t>
            </w:r>
          </w:p>
        </w:tc>
        <w:tc>
          <w:tcPr>
            <w:tcW w:w="0" w:type="auto"/>
            <w:vAlign w:val="center"/>
          </w:tcPr>
          <w:p w14:paraId="069C243B">
            <w:pPr>
              <w:rPr>
                <w:sz w:val="20"/>
                <w:szCs w:val="20"/>
              </w:rPr>
            </w:pPr>
            <w:r>
              <w:rPr>
                <w:sz w:val="20"/>
                <w:szCs w:val="20"/>
              </w:rPr>
              <w:t>Uniform</w:t>
            </w:r>
            <w:r>
              <w:rPr>
                <w:rFonts w:hint="eastAsia"/>
                <w:sz w:val="20"/>
                <w:szCs w:val="20"/>
              </w:rPr>
              <w:t xml:space="preserve"> </w:t>
            </w:r>
            <w:r>
              <w:rPr>
                <w:sz w:val="20"/>
                <w:szCs w:val="20"/>
              </w:rPr>
              <w:t>(0.20, 0.40)</w:t>
            </w:r>
          </w:p>
        </w:tc>
        <w:tc>
          <w:tcPr>
            <w:tcW w:w="0" w:type="auto"/>
            <w:vAlign w:val="center"/>
          </w:tcPr>
          <w:p w14:paraId="2F26A98D">
            <w:pPr>
              <w:rPr>
                <w:sz w:val="20"/>
                <w:szCs w:val="20"/>
              </w:rPr>
            </w:pPr>
            <w:r>
              <w:rPr>
                <w:sz w:val="20"/>
                <w:szCs w:val="20"/>
              </w:rPr>
              <w:t>Six in-person training sessions (total ¥18,000) apportioned over 60,000 recipients</w:t>
            </w:r>
          </w:p>
        </w:tc>
      </w:tr>
      <w:tr w14:paraId="5B9E710C">
        <w:tblPrEx>
          <w:tblCellMar>
            <w:top w:w="15" w:type="dxa"/>
            <w:left w:w="15" w:type="dxa"/>
            <w:bottom w:w="15" w:type="dxa"/>
            <w:right w:w="15" w:type="dxa"/>
          </w:tblCellMar>
        </w:tblPrEx>
        <w:trPr>
          <w:tblCellSpacing w:w="15" w:type="dxa"/>
        </w:trPr>
        <w:tc>
          <w:tcPr>
            <w:tcW w:w="0" w:type="auto"/>
            <w:vAlign w:val="center"/>
          </w:tcPr>
          <w:p w14:paraId="265F134B">
            <w:pPr>
              <w:rPr>
                <w:sz w:val="20"/>
                <w:szCs w:val="20"/>
              </w:rPr>
            </w:pPr>
            <w:r>
              <w:rPr>
                <w:b/>
                <w:bCs/>
                <w:sz w:val="20"/>
                <w:szCs w:val="20"/>
              </w:rPr>
              <w:t>Total incremental cost</w:t>
            </w:r>
          </w:p>
        </w:tc>
        <w:tc>
          <w:tcPr>
            <w:tcW w:w="0" w:type="auto"/>
            <w:vAlign w:val="center"/>
          </w:tcPr>
          <w:p w14:paraId="2873DB05">
            <w:pPr>
              <w:rPr>
                <w:sz w:val="20"/>
                <w:szCs w:val="20"/>
              </w:rPr>
            </w:pPr>
            <w:r>
              <w:rPr>
                <w:b/>
                <w:bCs/>
                <w:sz w:val="20"/>
                <w:szCs w:val="20"/>
              </w:rPr>
              <w:t>¥ per donor</w:t>
            </w:r>
          </w:p>
        </w:tc>
        <w:tc>
          <w:tcPr>
            <w:tcW w:w="0" w:type="auto"/>
            <w:vAlign w:val="center"/>
          </w:tcPr>
          <w:p w14:paraId="7FA6202F">
            <w:pPr>
              <w:rPr>
                <w:sz w:val="20"/>
                <w:szCs w:val="20"/>
              </w:rPr>
            </w:pPr>
            <w:r>
              <w:rPr>
                <w:b/>
                <w:bCs/>
                <w:sz w:val="20"/>
                <w:szCs w:val="20"/>
              </w:rPr>
              <w:t>3.50</w:t>
            </w:r>
          </w:p>
        </w:tc>
        <w:tc>
          <w:tcPr>
            <w:tcW w:w="0" w:type="auto"/>
            <w:vAlign w:val="center"/>
          </w:tcPr>
          <w:p w14:paraId="232DB552">
            <w:pPr>
              <w:rPr>
                <w:sz w:val="20"/>
                <w:szCs w:val="20"/>
              </w:rPr>
            </w:pPr>
            <w:r>
              <w:rPr>
                <w:sz w:val="20"/>
                <w:szCs w:val="20"/>
              </w:rPr>
              <w:t>—</w:t>
            </w:r>
          </w:p>
        </w:tc>
        <w:tc>
          <w:tcPr>
            <w:tcW w:w="0" w:type="auto"/>
            <w:vAlign w:val="center"/>
          </w:tcPr>
          <w:p w14:paraId="2B91C336">
            <w:pPr>
              <w:rPr>
                <w:sz w:val="20"/>
                <w:szCs w:val="20"/>
              </w:rPr>
            </w:pPr>
            <w:r>
              <w:rPr>
                <w:sz w:val="20"/>
                <w:szCs w:val="20"/>
              </w:rPr>
              <w:t>Derived</w:t>
            </w:r>
          </w:p>
        </w:tc>
        <w:tc>
          <w:tcPr>
            <w:tcW w:w="0" w:type="auto"/>
            <w:vAlign w:val="center"/>
          </w:tcPr>
          <w:p w14:paraId="11FABFD8">
            <w:pPr>
              <w:rPr>
                <w:sz w:val="20"/>
                <w:szCs w:val="20"/>
              </w:rPr>
            </w:pPr>
            <w:r>
              <w:rPr>
                <w:sz w:val="20"/>
                <w:szCs w:val="20"/>
              </w:rPr>
              <w:t>Sum of consumables + staff time + training</w:t>
            </w:r>
          </w:p>
        </w:tc>
      </w:tr>
    </w:tbl>
    <w:p w14:paraId="3CBB024C"/>
    <w:p w14:paraId="101151C3">
      <w:r>
        <w:t>Implementation note: staff time cost is treated as a derived parameter in PSA to preserve the link between observed time and labour cost.</w:t>
      </w:r>
    </w:p>
    <w:p w14:paraId="7385AC34"/>
    <w:p w14:paraId="3EC98161">
      <w:pPr>
        <w:rPr>
          <w:b/>
          <w:bCs/>
        </w:rPr>
      </w:pPr>
      <w:r>
        <w:rPr>
          <w:rFonts w:hint="eastAsia"/>
          <w:b/>
          <w:bCs/>
        </w:rPr>
        <w:t xml:space="preserve">Table S2. </w:t>
      </w:r>
      <w:r>
        <w:rPr>
          <w:b/>
          <w:bCs/>
        </w:rPr>
        <w:t>Full parameter table for the decision model and behavioural translation</w:t>
      </w:r>
    </w:p>
    <w:tbl>
      <w:tblPr>
        <w:tblStyle w:val="16"/>
        <w:tblW w:w="0" w:type="auto"/>
        <w:tblCellSpacing w:w="15" w:type="dxa"/>
        <w:tblInd w:w="0" w:type="dxa"/>
        <w:tblLayout w:type="autofit"/>
        <w:tblCellMar>
          <w:top w:w="15" w:type="dxa"/>
          <w:left w:w="15" w:type="dxa"/>
          <w:bottom w:w="15" w:type="dxa"/>
          <w:right w:w="15" w:type="dxa"/>
        </w:tblCellMar>
      </w:tblPr>
      <w:tblGrid>
        <w:gridCol w:w="1191"/>
        <w:gridCol w:w="1160"/>
        <w:gridCol w:w="943"/>
        <w:gridCol w:w="729"/>
        <w:gridCol w:w="1300"/>
        <w:gridCol w:w="1303"/>
        <w:gridCol w:w="1770"/>
      </w:tblGrid>
      <w:tr w14:paraId="34A54040">
        <w:tblPrEx>
          <w:tblCellMar>
            <w:top w:w="15" w:type="dxa"/>
            <w:left w:w="15" w:type="dxa"/>
            <w:bottom w:w="15" w:type="dxa"/>
            <w:right w:w="15" w:type="dxa"/>
          </w:tblCellMar>
        </w:tblPrEx>
        <w:trPr>
          <w:tblCellSpacing w:w="15" w:type="dxa"/>
        </w:trPr>
        <w:tc>
          <w:tcPr>
            <w:tcW w:w="1146" w:type="dxa"/>
            <w:vAlign w:val="center"/>
          </w:tcPr>
          <w:p w14:paraId="1837D1C1">
            <w:pPr>
              <w:jc w:val="center"/>
              <w:rPr>
                <w:rFonts w:hint="eastAsia"/>
                <w:b/>
                <w:bCs/>
              </w:rPr>
            </w:pPr>
            <w:r>
              <w:rPr>
                <w:rFonts w:hint="eastAsia"/>
                <w:b/>
                <w:bCs/>
              </w:rPr>
              <w:t>Section</w:t>
            </w:r>
          </w:p>
        </w:tc>
        <w:tc>
          <w:tcPr>
            <w:tcW w:w="1130" w:type="dxa"/>
            <w:vAlign w:val="center"/>
          </w:tcPr>
          <w:p w14:paraId="523C6048">
            <w:pPr>
              <w:jc w:val="center"/>
              <w:rPr>
                <w:b/>
                <w:bCs/>
              </w:rPr>
            </w:pPr>
            <w:r>
              <w:rPr>
                <w:b/>
                <w:bCs/>
              </w:rPr>
              <w:t>Parameter</w:t>
            </w:r>
          </w:p>
        </w:tc>
        <w:tc>
          <w:tcPr>
            <w:tcW w:w="913" w:type="dxa"/>
            <w:vAlign w:val="center"/>
          </w:tcPr>
          <w:p w14:paraId="71468D95">
            <w:pPr>
              <w:jc w:val="center"/>
              <w:rPr>
                <w:b/>
                <w:bCs/>
              </w:rPr>
            </w:pPr>
            <w:r>
              <w:rPr>
                <w:b/>
                <w:bCs/>
              </w:rPr>
              <w:t>Symbol</w:t>
            </w:r>
          </w:p>
        </w:tc>
        <w:tc>
          <w:tcPr>
            <w:tcW w:w="699" w:type="dxa"/>
            <w:vAlign w:val="center"/>
          </w:tcPr>
          <w:p w14:paraId="3AB28EC1">
            <w:pPr>
              <w:jc w:val="center"/>
              <w:rPr>
                <w:b/>
                <w:bCs/>
              </w:rPr>
            </w:pPr>
            <w:r>
              <w:rPr>
                <w:b/>
                <w:bCs/>
              </w:rPr>
              <w:t>Base case</w:t>
            </w:r>
          </w:p>
        </w:tc>
        <w:tc>
          <w:tcPr>
            <w:tcW w:w="0" w:type="auto"/>
            <w:vAlign w:val="center"/>
          </w:tcPr>
          <w:p w14:paraId="6F1B653E">
            <w:pPr>
              <w:jc w:val="center"/>
              <w:rPr>
                <w:b/>
                <w:bCs/>
              </w:rPr>
            </w:pPr>
            <w:r>
              <w:rPr>
                <w:b/>
                <w:bCs/>
              </w:rPr>
              <w:t>Range / uncertainty</w:t>
            </w:r>
          </w:p>
        </w:tc>
        <w:tc>
          <w:tcPr>
            <w:tcW w:w="1273" w:type="dxa"/>
            <w:vAlign w:val="center"/>
          </w:tcPr>
          <w:p w14:paraId="0907E148">
            <w:pPr>
              <w:jc w:val="center"/>
              <w:rPr>
                <w:b/>
                <w:bCs/>
              </w:rPr>
            </w:pPr>
            <w:r>
              <w:rPr>
                <w:b/>
                <w:bCs/>
              </w:rPr>
              <w:t>PSA distribution</w:t>
            </w:r>
          </w:p>
        </w:tc>
        <w:tc>
          <w:tcPr>
            <w:tcW w:w="1725" w:type="dxa"/>
            <w:vAlign w:val="center"/>
          </w:tcPr>
          <w:p w14:paraId="0E5A2E0C">
            <w:pPr>
              <w:jc w:val="center"/>
              <w:rPr>
                <w:b/>
                <w:bCs/>
              </w:rPr>
            </w:pPr>
            <w:r>
              <w:rPr>
                <w:b/>
                <w:bCs/>
              </w:rPr>
              <w:t>Source / how obtained</w:t>
            </w:r>
          </w:p>
        </w:tc>
      </w:tr>
      <w:tr w14:paraId="199D8646">
        <w:tblPrEx>
          <w:tblCellMar>
            <w:top w:w="15" w:type="dxa"/>
            <w:left w:w="15" w:type="dxa"/>
            <w:bottom w:w="15" w:type="dxa"/>
            <w:right w:w="15" w:type="dxa"/>
          </w:tblCellMar>
        </w:tblPrEx>
        <w:trPr>
          <w:tblCellSpacing w:w="15" w:type="dxa"/>
        </w:trPr>
        <w:tc>
          <w:tcPr>
            <w:tcW w:w="1146" w:type="dxa"/>
          </w:tcPr>
          <w:p w14:paraId="53579C59">
            <w:pPr>
              <w:rPr>
                <w:rFonts w:cstheme="minorHAnsi"/>
                <w:sz w:val="20"/>
                <w:szCs w:val="20"/>
              </w:rPr>
            </w:pPr>
            <w:r>
              <w:rPr>
                <w:rFonts w:cstheme="minorHAnsi"/>
                <w:sz w:val="20"/>
                <w:szCs w:val="20"/>
              </w:rPr>
              <w:t>Model setup</w:t>
            </w:r>
          </w:p>
        </w:tc>
        <w:tc>
          <w:tcPr>
            <w:tcW w:w="1130" w:type="dxa"/>
            <w:vAlign w:val="center"/>
          </w:tcPr>
          <w:p w14:paraId="429EB270">
            <w:pPr>
              <w:rPr>
                <w:rFonts w:cstheme="minorHAnsi"/>
                <w:sz w:val="20"/>
                <w:szCs w:val="20"/>
              </w:rPr>
            </w:pPr>
            <w:r>
              <w:rPr>
                <w:rFonts w:cstheme="minorHAnsi"/>
                <w:sz w:val="20"/>
                <w:szCs w:val="20"/>
              </w:rPr>
              <w:t>Time horizon (months)</w:t>
            </w:r>
          </w:p>
        </w:tc>
        <w:tc>
          <w:tcPr>
            <w:tcW w:w="913" w:type="dxa"/>
            <w:vAlign w:val="center"/>
          </w:tcPr>
          <w:p w14:paraId="5D304EB3">
            <w:pPr>
              <w:rPr>
                <w:rFonts w:cstheme="minorHAnsi"/>
                <w:sz w:val="20"/>
                <w:szCs w:val="20"/>
              </w:rPr>
            </w:pPr>
            <w:r>
              <w:rPr>
                <w:rFonts w:eastAsia="Arial" w:cstheme="minorHAnsi"/>
                <w:sz w:val="20"/>
                <w:szCs w:val="20"/>
              </w:rPr>
              <w:t>T</w:t>
            </w:r>
          </w:p>
        </w:tc>
        <w:tc>
          <w:tcPr>
            <w:tcW w:w="699" w:type="dxa"/>
            <w:vAlign w:val="center"/>
          </w:tcPr>
          <w:p w14:paraId="214804F7">
            <w:pPr>
              <w:rPr>
                <w:rFonts w:cstheme="minorHAnsi"/>
                <w:sz w:val="20"/>
                <w:szCs w:val="20"/>
              </w:rPr>
            </w:pPr>
            <w:r>
              <w:rPr>
                <w:rFonts w:eastAsia="Arial" w:cstheme="minorHAnsi"/>
                <w:sz w:val="20"/>
                <w:szCs w:val="20"/>
              </w:rPr>
              <w:t>12</w:t>
            </w:r>
          </w:p>
        </w:tc>
        <w:tc>
          <w:tcPr>
            <w:tcW w:w="0" w:type="auto"/>
            <w:vAlign w:val="center"/>
          </w:tcPr>
          <w:p w14:paraId="62F34CB3">
            <w:pPr>
              <w:rPr>
                <w:rFonts w:cstheme="minorHAnsi"/>
                <w:sz w:val="20"/>
                <w:szCs w:val="20"/>
              </w:rPr>
            </w:pPr>
            <w:r>
              <w:rPr>
                <w:rFonts w:eastAsia="Arial" w:cstheme="minorHAnsi"/>
                <w:sz w:val="20"/>
                <w:szCs w:val="20"/>
              </w:rPr>
              <w:t>Fixed</w:t>
            </w:r>
          </w:p>
        </w:tc>
        <w:tc>
          <w:tcPr>
            <w:tcW w:w="1273" w:type="dxa"/>
            <w:vAlign w:val="center"/>
          </w:tcPr>
          <w:p w14:paraId="2AD2481E">
            <w:pPr>
              <w:rPr>
                <w:rFonts w:cstheme="minorHAnsi"/>
                <w:sz w:val="20"/>
                <w:szCs w:val="20"/>
              </w:rPr>
            </w:pPr>
            <w:r>
              <w:rPr>
                <w:rFonts w:eastAsia="Arial" w:cstheme="minorHAnsi"/>
                <w:sz w:val="20"/>
                <w:szCs w:val="20"/>
              </w:rPr>
              <w:t>Fixed</w:t>
            </w:r>
          </w:p>
        </w:tc>
        <w:tc>
          <w:tcPr>
            <w:tcW w:w="1725" w:type="dxa"/>
            <w:vAlign w:val="center"/>
          </w:tcPr>
          <w:p w14:paraId="60257F9D">
            <w:pPr>
              <w:rPr>
                <w:rFonts w:cstheme="minorHAnsi"/>
                <w:sz w:val="20"/>
                <w:szCs w:val="20"/>
              </w:rPr>
            </w:pPr>
            <w:r>
              <w:rPr>
                <w:rFonts w:eastAsia="Arial" w:cstheme="minorHAnsi"/>
                <w:sz w:val="20"/>
                <w:szCs w:val="20"/>
              </w:rPr>
              <w:t>Study design (Methods)</w:t>
            </w:r>
          </w:p>
        </w:tc>
      </w:tr>
      <w:tr w14:paraId="433CF882">
        <w:tblPrEx>
          <w:tblCellMar>
            <w:top w:w="15" w:type="dxa"/>
            <w:left w:w="15" w:type="dxa"/>
            <w:bottom w:w="15" w:type="dxa"/>
            <w:right w:w="15" w:type="dxa"/>
          </w:tblCellMar>
        </w:tblPrEx>
        <w:trPr>
          <w:tblCellSpacing w:w="15" w:type="dxa"/>
        </w:trPr>
        <w:tc>
          <w:tcPr>
            <w:tcW w:w="1146" w:type="dxa"/>
          </w:tcPr>
          <w:p w14:paraId="5A728139">
            <w:pPr>
              <w:rPr>
                <w:rFonts w:cstheme="minorHAnsi"/>
                <w:sz w:val="20"/>
                <w:szCs w:val="20"/>
              </w:rPr>
            </w:pPr>
            <w:r>
              <w:rPr>
                <w:rFonts w:cstheme="minorHAnsi"/>
                <w:sz w:val="20"/>
                <w:szCs w:val="20"/>
              </w:rPr>
              <w:t>Model setup</w:t>
            </w:r>
          </w:p>
        </w:tc>
        <w:tc>
          <w:tcPr>
            <w:tcW w:w="1130" w:type="dxa"/>
            <w:vAlign w:val="center"/>
          </w:tcPr>
          <w:p w14:paraId="4B34F5E8">
            <w:pPr>
              <w:rPr>
                <w:rFonts w:cstheme="minorHAnsi"/>
                <w:sz w:val="20"/>
                <w:szCs w:val="20"/>
              </w:rPr>
            </w:pPr>
            <w:r>
              <w:rPr>
                <w:rFonts w:cstheme="minorHAnsi"/>
                <w:sz w:val="20"/>
                <w:szCs w:val="20"/>
              </w:rPr>
              <w:t>Cycle length (months)</w:t>
            </w:r>
          </w:p>
        </w:tc>
        <w:tc>
          <w:tcPr>
            <w:tcW w:w="913" w:type="dxa"/>
            <w:vAlign w:val="center"/>
          </w:tcPr>
          <w:p w14:paraId="49CAB440">
            <w:pPr>
              <w:rPr>
                <w:rFonts w:cstheme="minorHAnsi"/>
                <w:sz w:val="20"/>
                <w:szCs w:val="20"/>
              </w:rPr>
            </w:pPr>
            <w:r>
              <w:rPr>
                <w:rFonts w:eastAsia="Arial" w:cstheme="minorHAnsi"/>
                <w:sz w:val="20"/>
                <w:szCs w:val="20"/>
              </w:rPr>
              <w:t>Δt</w:t>
            </w:r>
          </w:p>
        </w:tc>
        <w:tc>
          <w:tcPr>
            <w:tcW w:w="699" w:type="dxa"/>
            <w:vAlign w:val="center"/>
          </w:tcPr>
          <w:p w14:paraId="0071D578">
            <w:pPr>
              <w:rPr>
                <w:rFonts w:cstheme="minorHAnsi"/>
                <w:sz w:val="20"/>
                <w:szCs w:val="20"/>
              </w:rPr>
            </w:pPr>
            <w:r>
              <w:rPr>
                <w:rFonts w:eastAsia="Arial" w:cstheme="minorHAnsi"/>
                <w:sz w:val="20"/>
                <w:szCs w:val="20"/>
              </w:rPr>
              <w:t>1</w:t>
            </w:r>
          </w:p>
        </w:tc>
        <w:tc>
          <w:tcPr>
            <w:tcW w:w="0" w:type="auto"/>
            <w:vAlign w:val="center"/>
          </w:tcPr>
          <w:p w14:paraId="2A170462">
            <w:pPr>
              <w:rPr>
                <w:rFonts w:cstheme="minorHAnsi"/>
                <w:sz w:val="20"/>
                <w:szCs w:val="20"/>
              </w:rPr>
            </w:pPr>
            <w:r>
              <w:rPr>
                <w:rFonts w:eastAsia="Arial" w:cstheme="minorHAnsi"/>
                <w:sz w:val="20"/>
                <w:szCs w:val="20"/>
              </w:rPr>
              <w:t>Fixed</w:t>
            </w:r>
          </w:p>
        </w:tc>
        <w:tc>
          <w:tcPr>
            <w:tcW w:w="1273" w:type="dxa"/>
            <w:vAlign w:val="center"/>
          </w:tcPr>
          <w:p w14:paraId="500FE863">
            <w:pPr>
              <w:rPr>
                <w:rFonts w:cstheme="minorHAnsi"/>
                <w:sz w:val="20"/>
                <w:szCs w:val="20"/>
              </w:rPr>
            </w:pPr>
            <w:r>
              <w:rPr>
                <w:rFonts w:eastAsia="Arial" w:cstheme="minorHAnsi"/>
                <w:sz w:val="20"/>
                <w:szCs w:val="20"/>
              </w:rPr>
              <w:t>Fixed</w:t>
            </w:r>
          </w:p>
        </w:tc>
        <w:tc>
          <w:tcPr>
            <w:tcW w:w="1725" w:type="dxa"/>
            <w:vAlign w:val="center"/>
          </w:tcPr>
          <w:p w14:paraId="0D52F991">
            <w:pPr>
              <w:rPr>
                <w:rFonts w:cstheme="minorHAnsi"/>
                <w:sz w:val="20"/>
                <w:szCs w:val="20"/>
              </w:rPr>
            </w:pPr>
            <w:r>
              <w:rPr>
                <w:rFonts w:eastAsia="Arial" w:cstheme="minorHAnsi"/>
                <w:sz w:val="20"/>
                <w:szCs w:val="20"/>
              </w:rPr>
              <w:t>Study design (Methods)</w:t>
            </w:r>
          </w:p>
        </w:tc>
      </w:tr>
      <w:tr w14:paraId="0AFB5BB1">
        <w:trPr>
          <w:tblCellSpacing w:w="15" w:type="dxa"/>
        </w:trPr>
        <w:tc>
          <w:tcPr>
            <w:tcW w:w="1146" w:type="dxa"/>
          </w:tcPr>
          <w:p w14:paraId="6AFA687F">
            <w:pPr>
              <w:rPr>
                <w:rFonts w:cstheme="minorHAnsi"/>
                <w:sz w:val="20"/>
                <w:szCs w:val="20"/>
              </w:rPr>
            </w:pPr>
            <w:r>
              <w:rPr>
                <w:rFonts w:cstheme="minorHAnsi"/>
                <w:sz w:val="20"/>
                <w:szCs w:val="20"/>
              </w:rPr>
              <w:t>Model setup</w:t>
            </w:r>
          </w:p>
        </w:tc>
        <w:tc>
          <w:tcPr>
            <w:tcW w:w="1130" w:type="dxa"/>
            <w:vAlign w:val="center"/>
          </w:tcPr>
          <w:p w14:paraId="15165BFC">
            <w:pPr>
              <w:rPr>
                <w:rFonts w:cstheme="minorHAnsi"/>
                <w:sz w:val="20"/>
                <w:szCs w:val="20"/>
              </w:rPr>
            </w:pPr>
            <w:r>
              <w:rPr>
                <w:rFonts w:cstheme="minorHAnsi"/>
                <w:sz w:val="20"/>
                <w:szCs w:val="20"/>
              </w:rPr>
              <w:t>Discount rate (annual)</w:t>
            </w:r>
          </w:p>
        </w:tc>
        <w:tc>
          <w:tcPr>
            <w:tcW w:w="913" w:type="dxa"/>
            <w:vAlign w:val="center"/>
          </w:tcPr>
          <w:p w14:paraId="15D39456">
            <w:pPr>
              <w:rPr>
                <w:rFonts w:cstheme="minorHAnsi"/>
                <w:sz w:val="20"/>
                <w:szCs w:val="20"/>
              </w:rPr>
            </w:pPr>
            <w:r>
              <w:rPr>
                <w:rFonts w:eastAsia="Arial" w:cstheme="minorHAnsi"/>
                <w:sz w:val="20"/>
                <w:szCs w:val="20"/>
              </w:rPr>
              <w:t>r_a</w:t>
            </w:r>
          </w:p>
        </w:tc>
        <w:tc>
          <w:tcPr>
            <w:tcW w:w="699" w:type="dxa"/>
            <w:vAlign w:val="center"/>
          </w:tcPr>
          <w:p w14:paraId="70EE6D26">
            <w:pPr>
              <w:rPr>
                <w:rFonts w:cstheme="minorHAnsi"/>
                <w:sz w:val="20"/>
                <w:szCs w:val="20"/>
              </w:rPr>
            </w:pPr>
            <w:r>
              <w:rPr>
                <w:rFonts w:eastAsia="Arial" w:cstheme="minorHAnsi"/>
                <w:sz w:val="20"/>
                <w:szCs w:val="20"/>
              </w:rPr>
              <w:t>0</w:t>
            </w:r>
          </w:p>
        </w:tc>
        <w:tc>
          <w:tcPr>
            <w:tcW w:w="0" w:type="auto"/>
            <w:vAlign w:val="center"/>
          </w:tcPr>
          <w:p w14:paraId="05DE36B5">
            <w:pPr>
              <w:rPr>
                <w:rFonts w:cstheme="minorHAnsi"/>
                <w:sz w:val="20"/>
                <w:szCs w:val="20"/>
              </w:rPr>
            </w:pPr>
            <w:r>
              <w:rPr>
                <w:rFonts w:eastAsia="Arial" w:cstheme="minorHAnsi"/>
                <w:sz w:val="20"/>
                <w:szCs w:val="20"/>
              </w:rPr>
              <w:t>Fixed</w:t>
            </w:r>
          </w:p>
        </w:tc>
        <w:tc>
          <w:tcPr>
            <w:tcW w:w="1273" w:type="dxa"/>
            <w:vAlign w:val="center"/>
          </w:tcPr>
          <w:p w14:paraId="38E56072">
            <w:pPr>
              <w:rPr>
                <w:rFonts w:cstheme="minorHAnsi"/>
                <w:sz w:val="20"/>
                <w:szCs w:val="20"/>
              </w:rPr>
            </w:pPr>
            <w:r>
              <w:rPr>
                <w:rFonts w:eastAsia="Arial" w:cstheme="minorHAnsi"/>
                <w:sz w:val="20"/>
                <w:szCs w:val="20"/>
              </w:rPr>
              <w:t>Fixed</w:t>
            </w:r>
          </w:p>
        </w:tc>
        <w:tc>
          <w:tcPr>
            <w:tcW w:w="1725" w:type="dxa"/>
            <w:vAlign w:val="center"/>
          </w:tcPr>
          <w:p w14:paraId="52B1D313">
            <w:pPr>
              <w:rPr>
                <w:rFonts w:cstheme="minorHAnsi"/>
                <w:sz w:val="20"/>
                <w:szCs w:val="20"/>
              </w:rPr>
            </w:pPr>
            <w:r>
              <w:rPr>
                <w:rFonts w:hint="eastAsia" w:eastAsia="Arial" w:cstheme="minorHAnsi"/>
                <w:sz w:val="20"/>
                <w:szCs w:val="20"/>
              </w:rPr>
              <w:t>No discounting applied because the time horizon was 12 months</w:t>
            </w:r>
          </w:p>
        </w:tc>
      </w:tr>
      <w:tr w14:paraId="3DD7BBFE">
        <w:tblPrEx>
          <w:tblCellMar>
            <w:top w:w="15" w:type="dxa"/>
            <w:left w:w="15" w:type="dxa"/>
            <w:bottom w:w="15" w:type="dxa"/>
            <w:right w:w="15" w:type="dxa"/>
          </w:tblCellMar>
        </w:tblPrEx>
        <w:trPr>
          <w:tblCellSpacing w:w="15" w:type="dxa"/>
        </w:trPr>
        <w:tc>
          <w:tcPr>
            <w:tcW w:w="1146" w:type="dxa"/>
          </w:tcPr>
          <w:p w14:paraId="275424C6">
            <w:pPr>
              <w:rPr>
                <w:rFonts w:cstheme="minorHAnsi"/>
                <w:sz w:val="20"/>
                <w:szCs w:val="20"/>
              </w:rPr>
            </w:pPr>
            <w:r>
              <w:rPr>
                <w:rFonts w:cstheme="minorHAnsi"/>
                <w:sz w:val="20"/>
                <w:szCs w:val="20"/>
              </w:rPr>
              <w:t>Model setup</w:t>
            </w:r>
          </w:p>
        </w:tc>
        <w:tc>
          <w:tcPr>
            <w:tcW w:w="1130" w:type="dxa"/>
            <w:vAlign w:val="center"/>
          </w:tcPr>
          <w:p w14:paraId="67F95C55">
            <w:pPr>
              <w:rPr>
                <w:rFonts w:cstheme="minorHAnsi"/>
                <w:sz w:val="20"/>
                <w:szCs w:val="20"/>
              </w:rPr>
            </w:pPr>
            <w:r>
              <w:rPr>
                <w:rFonts w:cstheme="minorHAnsi"/>
                <w:sz w:val="20"/>
                <w:szCs w:val="20"/>
              </w:rPr>
              <w:t>Discount rate (monthly)</w:t>
            </w:r>
          </w:p>
        </w:tc>
        <w:tc>
          <w:tcPr>
            <w:tcW w:w="913" w:type="dxa"/>
            <w:vAlign w:val="center"/>
          </w:tcPr>
          <w:p w14:paraId="64580A35">
            <w:pPr>
              <w:rPr>
                <w:rFonts w:cstheme="minorHAnsi"/>
                <w:sz w:val="20"/>
                <w:szCs w:val="20"/>
              </w:rPr>
            </w:pPr>
            <w:r>
              <w:rPr>
                <w:rFonts w:eastAsia="Arial" w:cstheme="minorHAnsi"/>
                <w:sz w:val="20"/>
                <w:szCs w:val="20"/>
              </w:rPr>
              <w:t>r_m</w:t>
            </w:r>
          </w:p>
        </w:tc>
        <w:tc>
          <w:tcPr>
            <w:tcW w:w="699" w:type="dxa"/>
            <w:vAlign w:val="center"/>
          </w:tcPr>
          <w:p w14:paraId="208C9196">
            <w:pPr>
              <w:rPr>
                <w:rFonts w:cstheme="minorHAnsi"/>
                <w:sz w:val="20"/>
                <w:szCs w:val="20"/>
              </w:rPr>
            </w:pPr>
            <w:r>
              <w:rPr>
                <w:rFonts w:eastAsia="Arial" w:cstheme="minorHAnsi"/>
                <w:sz w:val="20"/>
                <w:szCs w:val="20"/>
              </w:rPr>
              <w:t>0</w:t>
            </w:r>
          </w:p>
        </w:tc>
        <w:tc>
          <w:tcPr>
            <w:tcW w:w="0" w:type="auto"/>
            <w:vAlign w:val="center"/>
          </w:tcPr>
          <w:p w14:paraId="4BB9E469">
            <w:pPr>
              <w:rPr>
                <w:rFonts w:cstheme="minorHAnsi"/>
                <w:sz w:val="20"/>
                <w:szCs w:val="20"/>
              </w:rPr>
            </w:pPr>
            <w:r>
              <w:rPr>
                <w:rFonts w:eastAsia="Arial" w:cstheme="minorHAnsi"/>
                <w:sz w:val="20"/>
                <w:szCs w:val="20"/>
              </w:rPr>
              <w:t>Fixed</w:t>
            </w:r>
          </w:p>
        </w:tc>
        <w:tc>
          <w:tcPr>
            <w:tcW w:w="1273" w:type="dxa"/>
            <w:vAlign w:val="center"/>
          </w:tcPr>
          <w:p w14:paraId="357C5D79">
            <w:pPr>
              <w:rPr>
                <w:rFonts w:cstheme="minorHAnsi"/>
                <w:sz w:val="20"/>
                <w:szCs w:val="20"/>
              </w:rPr>
            </w:pPr>
            <w:r>
              <w:rPr>
                <w:rFonts w:eastAsia="Arial" w:cstheme="minorHAnsi"/>
                <w:sz w:val="20"/>
                <w:szCs w:val="20"/>
              </w:rPr>
              <w:t>Fixed</w:t>
            </w:r>
          </w:p>
        </w:tc>
        <w:tc>
          <w:tcPr>
            <w:tcW w:w="1725" w:type="dxa"/>
            <w:vAlign w:val="center"/>
          </w:tcPr>
          <w:p w14:paraId="7F1AAFD0">
            <w:pPr>
              <w:rPr>
                <w:rFonts w:cstheme="minorHAnsi"/>
                <w:sz w:val="20"/>
                <w:szCs w:val="20"/>
              </w:rPr>
            </w:pPr>
            <w:r>
              <w:rPr>
                <w:rFonts w:hint="eastAsia" w:eastAsia="Arial" w:cstheme="minorHAnsi"/>
                <w:sz w:val="20"/>
                <w:szCs w:val="20"/>
              </w:rPr>
              <w:t>No discounting applied because the time horizon was 12 months</w:t>
            </w:r>
          </w:p>
        </w:tc>
      </w:tr>
      <w:tr w14:paraId="6366D1A3">
        <w:tblPrEx>
          <w:tblCellMar>
            <w:top w:w="15" w:type="dxa"/>
            <w:left w:w="15" w:type="dxa"/>
            <w:bottom w:w="15" w:type="dxa"/>
            <w:right w:w="15" w:type="dxa"/>
          </w:tblCellMar>
        </w:tblPrEx>
        <w:trPr>
          <w:tblCellSpacing w:w="15" w:type="dxa"/>
        </w:trPr>
        <w:tc>
          <w:tcPr>
            <w:tcW w:w="1146" w:type="dxa"/>
          </w:tcPr>
          <w:p w14:paraId="2438952A">
            <w:pPr>
              <w:rPr>
                <w:rFonts w:cstheme="minorHAnsi"/>
                <w:sz w:val="20"/>
                <w:szCs w:val="20"/>
              </w:rPr>
            </w:pPr>
            <w:r>
              <w:rPr>
                <w:rFonts w:cstheme="minorHAnsi"/>
                <w:sz w:val="20"/>
                <w:szCs w:val="20"/>
              </w:rPr>
              <w:t>Model setup</w:t>
            </w:r>
          </w:p>
        </w:tc>
        <w:tc>
          <w:tcPr>
            <w:tcW w:w="1130" w:type="dxa"/>
            <w:vAlign w:val="center"/>
          </w:tcPr>
          <w:p w14:paraId="1853DBD0">
            <w:pPr>
              <w:rPr>
                <w:rFonts w:cstheme="minorHAnsi"/>
                <w:sz w:val="20"/>
                <w:szCs w:val="20"/>
              </w:rPr>
            </w:pPr>
            <w:r>
              <w:rPr>
                <w:rFonts w:cstheme="minorHAnsi"/>
                <w:sz w:val="20"/>
                <w:szCs w:val="20"/>
              </w:rPr>
              <w:t>PSA iterations</w:t>
            </w:r>
          </w:p>
        </w:tc>
        <w:tc>
          <w:tcPr>
            <w:tcW w:w="913" w:type="dxa"/>
            <w:vAlign w:val="center"/>
          </w:tcPr>
          <w:p w14:paraId="64247A8D">
            <w:pPr>
              <w:rPr>
                <w:rFonts w:cstheme="minorHAnsi"/>
                <w:sz w:val="20"/>
                <w:szCs w:val="20"/>
              </w:rPr>
            </w:pPr>
            <w:r>
              <w:rPr>
                <w:rFonts w:eastAsia="Arial" w:cstheme="minorHAnsi"/>
                <w:sz w:val="20"/>
                <w:szCs w:val="20"/>
              </w:rPr>
              <w:t>N_PSA</w:t>
            </w:r>
          </w:p>
        </w:tc>
        <w:tc>
          <w:tcPr>
            <w:tcW w:w="699" w:type="dxa"/>
            <w:vAlign w:val="center"/>
          </w:tcPr>
          <w:p w14:paraId="667E51B5">
            <w:pPr>
              <w:rPr>
                <w:rFonts w:cstheme="minorHAnsi"/>
                <w:sz w:val="20"/>
                <w:szCs w:val="20"/>
              </w:rPr>
            </w:pPr>
            <w:r>
              <w:rPr>
                <w:rFonts w:eastAsia="Arial" w:cstheme="minorHAnsi"/>
                <w:sz w:val="20"/>
                <w:szCs w:val="20"/>
              </w:rPr>
              <w:t>5,000</w:t>
            </w:r>
          </w:p>
        </w:tc>
        <w:tc>
          <w:tcPr>
            <w:tcW w:w="0" w:type="auto"/>
            <w:vAlign w:val="center"/>
          </w:tcPr>
          <w:p w14:paraId="17116878">
            <w:pPr>
              <w:rPr>
                <w:rFonts w:cstheme="minorHAnsi"/>
                <w:sz w:val="20"/>
                <w:szCs w:val="20"/>
              </w:rPr>
            </w:pPr>
            <w:r>
              <w:rPr>
                <w:rFonts w:eastAsia="Arial" w:cstheme="minorHAnsi"/>
                <w:sz w:val="20"/>
                <w:szCs w:val="20"/>
              </w:rPr>
              <w:t>Fixed</w:t>
            </w:r>
          </w:p>
        </w:tc>
        <w:tc>
          <w:tcPr>
            <w:tcW w:w="1273" w:type="dxa"/>
            <w:vAlign w:val="center"/>
          </w:tcPr>
          <w:p w14:paraId="11E183A9">
            <w:pPr>
              <w:rPr>
                <w:rFonts w:cstheme="minorHAnsi"/>
                <w:sz w:val="20"/>
                <w:szCs w:val="20"/>
              </w:rPr>
            </w:pPr>
            <w:r>
              <w:rPr>
                <w:rFonts w:eastAsia="Arial" w:cstheme="minorHAnsi"/>
                <w:sz w:val="20"/>
                <w:szCs w:val="20"/>
              </w:rPr>
              <w:t>Fixed</w:t>
            </w:r>
          </w:p>
        </w:tc>
        <w:tc>
          <w:tcPr>
            <w:tcW w:w="1725" w:type="dxa"/>
            <w:vAlign w:val="center"/>
          </w:tcPr>
          <w:p w14:paraId="1384A97D">
            <w:pPr>
              <w:rPr>
                <w:rFonts w:cstheme="minorHAnsi"/>
                <w:sz w:val="20"/>
                <w:szCs w:val="20"/>
              </w:rPr>
            </w:pPr>
            <w:r>
              <w:rPr>
                <w:rFonts w:eastAsia="Arial" w:cstheme="minorHAnsi"/>
                <w:sz w:val="20"/>
                <w:szCs w:val="20"/>
              </w:rPr>
              <w:t>Study design (Methods)</w:t>
            </w:r>
          </w:p>
        </w:tc>
      </w:tr>
      <w:tr w14:paraId="477FA800">
        <w:tblPrEx>
          <w:tblCellMar>
            <w:top w:w="15" w:type="dxa"/>
            <w:left w:w="15" w:type="dxa"/>
            <w:bottom w:w="15" w:type="dxa"/>
            <w:right w:w="15" w:type="dxa"/>
          </w:tblCellMar>
        </w:tblPrEx>
        <w:trPr>
          <w:tblCellSpacing w:w="15" w:type="dxa"/>
        </w:trPr>
        <w:tc>
          <w:tcPr>
            <w:tcW w:w="1146" w:type="dxa"/>
          </w:tcPr>
          <w:p w14:paraId="267E8675">
            <w:pPr>
              <w:rPr>
                <w:rFonts w:cstheme="minorHAnsi"/>
                <w:sz w:val="20"/>
                <w:szCs w:val="20"/>
              </w:rPr>
            </w:pPr>
            <w:r>
              <w:rPr>
                <w:rFonts w:cstheme="minorHAnsi"/>
                <w:sz w:val="20"/>
                <w:szCs w:val="20"/>
              </w:rPr>
              <w:t>Model setup</w:t>
            </w:r>
          </w:p>
        </w:tc>
        <w:tc>
          <w:tcPr>
            <w:tcW w:w="1130" w:type="dxa"/>
            <w:vAlign w:val="center"/>
          </w:tcPr>
          <w:p w14:paraId="7A854103">
            <w:pPr>
              <w:rPr>
                <w:rFonts w:cstheme="minorHAnsi"/>
                <w:sz w:val="20"/>
                <w:szCs w:val="20"/>
              </w:rPr>
            </w:pPr>
            <w:r>
              <w:rPr>
                <w:rFonts w:cstheme="minorHAnsi"/>
                <w:sz w:val="20"/>
                <w:szCs w:val="20"/>
              </w:rPr>
              <w:t>WTP threshold (¥ per additional donor retained)</w:t>
            </w:r>
          </w:p>
        </w:tc>
        <w:tc>
          <w:tcPr>
            <w:tcW w:w="913" w:type="dxa"/>
            <w:vAlign w:val="center"/>
          </w:tcPr>
          <w:p w14:paraId="651C1862">
            <w:pPr>
              <w:rPr>
                <w:rFonts w:cstheme="minorHAnsi"/>
                <w:sz w:val="20"/>
                <w:szCs w:val="20"/>
              </w:rPr>
            </w:pPr>
            <w:r>
              <w:rPr>
                <w:rFonts w:eastAsia="Arial" w:cstheme="minorHAnsi"/>
                <w:sz w:val="20"/>
                <w:szCs w:val="20"/>
              </w:rPr>
              <w:t>λ</w:t>
            </w:r>
          </w:p>
        </w:tc>
        <w:tc>
          <w:tcPr>
            <w:tcW w:w="699" w:type="dxa"/>
            <w:vAlign w:val="center"/>
          </w:tcPr>
          <w:p w14:paraId="01E05108">
            <w:pPr>
              <w:rPr>
                <w:rFonts w:cstheme="minorHAnsi"/>
                <w:sz w:val="20"/>
                <w:szCs w:val="20"/>
              </w:rPr>
            </w:pPr>
            <w:r>
              <w:rPr>
                <w:rFonts w:eastAsia="Arial" w:cstheme="minorHAnsi"/>
                <w:sz w:val="20"/>
                <w:szCs w:val="20"/>
              </w:rPr>
              <w:t>50</w:t>
            </w:r>
          </w:p>
        </w:tc>
        <w:tc>
          <w:tcPr>
            <w:tcW w:w="0" w:type="auto"/>
            <w:vAlign w:val="center"/>
          </w:tcPr>
          <w:p w14:paraId="159142D3">
            <w:pPr>
              <w:rPr>
                <w:rFonts w:cstheme="minorHAnsi"/>
                <w:sz w:val="20"/>
                <w:szCs w:val="20"/>
              </w:rPr>
            </w:pPr>
            <w:r>
              <w:rPr>
                <w:rFonts w:eastAsia="Arial" w:cstheme="minorHAnsi"/>
                <w:sz w:val="20"/>
                <w:szCs w:val="20"/>
              </w:rPr>
              <w:t>Scenario range 0–100</w:t>
            </w:r>
          </w:p>
        </w:tc>
        <w:tc>
          <w:tcPr>
            <w:tcW w:w="1273" w:type="dxa"/>
            <w:vAlign w:val="center"/>
          </w:tcPr>
          <w:p w14:paraId="00BD64DC">
            <w:pPr>
              <w:rPr>
                <w:rFonts w:cstheme="minorHAnsi"/>
                <w:sz w:val="20"/>
                <w:szCs w:val="20"/>
              </w:rPr>
            </w:pPr>
            <w:r>
              <w:rPr>
                <w:rFonts w:eastAsia="Arial" w:cstheme="minorHAnsi"/>
                <w:sz w:val="20"/>
                <w:szCs w:val="20"/>
              </w:rPr>
              <w:t>Fixed for PSA; varied for CEAC</w:t>
            </w:r>
          </w:p>
        </w:tc>
        <w:tc>
          <w:tcPr>
            <w:tcW w:w="1725" w:type="dxa"/>
            <w:vAlign w:val="center"/>
          </w:tcPr>
          <w:p w14:paraId="7CD30BFB">
            <w:pPr>
              <w:rPr>
                <w:rFonts w:cstheme="minorHAnsi"/>
                <w:sz w:val="20"/>
                <w:szCs w:val="20"/>
              </w:rPr>
            </w:pPr>
            <w:r>
              <w:rPr>
                <w:rFonts w:eastAsia="Arial" w:cstheme="minorHAnsi"/>
                <w:sz w:val="20"/>
                <w:szCs w:val="20"/>
              </w:rPr>
              <w:t>Study design (Methods/Results)</w:t>
            </w:r>
          </w:p>
        </w:tc>
      </w:tr>
      <w:tr w14:paraId="2223D965">
        <w:tblPrEx>
          <w:tblCellMar>
            <w:top w:w="15" w:type="dxa"/>
            <w:left w:w="15" w:type="dxa"/>
            <w:bottom w:w="15" w:type="dxa"/>
            <w:right w:w="15" w:type="dxa"/>
          </w:tblCellMar>
        </w:tblPrEx>
        <w:trPr>
          <w:tblCellSpacing w:w="15" w:type="dxa"/>
        </w:trPr>
        <w:tc>
          <w:tcPr>
            <w:tcW w:w="1146" w:type="dxa"/>
          </w:tcPr>
          <w:p w14:paraId="13C3F3D8">
            <w:pPr>
              <w:rPr>
                <w:rFonts w:cstheme="minorHAnsi"/>
                <w:sz w:val="20"/>
                <w:szCs w:val="20"/>
              </w:rPr>
            </w:pPr>
            <w:r>
              <w:rPr>
                <w:rFonts w:cstheme="minorHAnsi"/>
                <w:sz w:val="20"/>
                <w:szCs w:val="20"/>
              </w:rPr>
              <w:t>Baseline retention</w:t>
            </w:r>
          </w:p>
        </w:tc>
        <w:tc>
          <w:tcPr>
            <w:tcW w:w="1130" w:type="dxa"/>
            <w:vAlign w:val="center"/>
          </w:tcPr>
          <w:p w14:paraId="075CEB22">
            <w:pPr>
              <w:rPr>
                <w:rFonts w:cstheme="minorHAnsi"/>
                <w:sz w:val="20"/>
                <w:szCs w:val="20"/>
              </w:rPr>
            </w:pPr>
            <w:r>
              <w:rPr>
                <w:rFonts w:eastAsia="Arial" w:cstheme="minorHAnsi"/>
                <w:sz w:val="20"/>
                <w:szCs w:val="20"/>
              </w:rPr>
              <w:t>Baseline 12-month retention (control)</w:t>
            </w:r>
          </w:p>
        </w:tc>
        <w:tc>
          <w:tcPr>
            <w:tcW w:w="913" w:type="dxa"/>
            <w:vAlign w:val="center"/>
          </w:tcPr>
          <w:p w14:paraId="12B536BE">
            <w:pPr>
              <w:rPr>
                <w:rFonts w:cstheme="minorHAnsi"/>
                <w:sz w:val="20"/>
                <w:szCs w:val="20"/>
              </w:rPr>
            </w:pPr>
            <w:r>
              <w:rPr>
                <w:rFonts w:eastAsia="Arial" w:cstheme="minorHAnsi"/>
                <w:sz w:val="20"/>
                <w:szCs w:val="20"/>
              </w:rPr>
              <w:t>p0</w:t>
            </w:r>
          </w:p>
        </w:tc>
        <w:tc>
          <w:tcPr>
            <w:tcW w:w="699" w:type="dxa"/>
            <w:vAlign w:val="center"/>
          </w:tcPr>
          <w:p w14:paraId="4D01E420">
            <w:pPr>
              <w:rPr>
                <w:rFonts w:cstheme="minorHAnsi"/>
                <w:sz w:val="20"/>
                <w:szCs w:val="20"/>
              </w:rPr>
            </w:pPr>
            <w:r>
              <w:rPr>
                <w:rFonts w:eastAsia="Arial" w:cstheme="minorHAnsi"/>
                <w:sz w:val="20"/>
                <w:szCs w:val="20"/>
              </w:rPr>
              <w:t>0.192</w:t>
            </w:r>
          </w:p>
        </w:tc>
        <w:tc>
          <w:tcPr>
            <w:tcW w:w="0" w:type="auto"/>
            <w:vAlign w:val="center"/>
          </w:tcPr>
          <w:p w14:paraId="5C9975F1">
            <w:pPr>
              <w:rPr>
                <w:rFonts w:cstheme="minorHAnsi"/>
                <w:sz w:val="20"/>
                <w:szCs w:val="20"/>
              </w:rPr>
            </w:pPr>
            <w:r>
              <w:rPr>
                <w:rFonts w:eastAsia="Arial" w:cstheme="minorHAnsi"/>
                <w:sz w:val="20"/>
                <w:szCs w:val="20"/>
              </w:rPr>
              <w:t>95% UI 0.115–0.241</w:t>
            </w:r>
          </w:p>
        </w:tc>
        <w:tc>
          <w:tcPr>
            <w:tcW w:w="1273" w:type="dxa"/>
            <w:vAlign w:val="center"/>
          </w:tcPr>
          <w:p w14:paraId="064E81FC">
            <w:pPr>
              <w:rPr>
                <w:rFonts w:cstheme="minorHAnsi"/>
                <w:sz w:val="20"/>
                <w:szCs w:val="20"/>
              </w:rPr>
            </w:pPr>
            <w:r>
              <w:rPr>
                <w:rFonts w:eastAsia="Arial" w:cstheme="minorHAnsi"/>
                <w:sz w:val="20"/>
                <w:szCs w:val="20"/>
              </w:rPr>
              <w:t>Beta</w:t>
            </w:r>
            <w:r>
              <w:rPr>
                <w:rFonts w:hint="eastAsia" w:cstheme="minorHAnsi"/>
                <w:sz w:val="20"/>
                <w:szCs w:val="20"/>
              </w:rPr>
              <w:t xml:space="preserve"> </w:t>
            </w:r>
            <w:r>
              <w:rPr>
                <w:rFonts w:eastAsia="Arial" w:cstheme="minorHAnsi"/>
                <w:sz w:val="20"/>
                <w:szCs w:val="20"/>
              </w:rPr>
              <w:t>(28.7, 120.8)</w:t>
            </w:r>
          </w:p>
        </w:tc>
        <w:tc>
          <w:tcPr>
            <w:tcW w:w="1725" w:type="dxa"/>
            <w:vAlign w:val="center"/>
          </w:tcPr>
          <w:p w14:paraId="0CDD5573">
            <w:pPr>
              <w:rPr>
                <w:rFonts w:hint="eastAsia" w:cstheme="minorHAnsi"/>
                <w:sz w:val="20"/>
                <w:szCs w:val="20"/>
              </w:rPr>
            </w:pPr>
            <w:r>
              <w:rPr>
                <w:rFonts w:eastAsia="Arial" w:cstheme="minorHAnsi"/>
                <w:sz w:val="20"/>
                <w:szCs w:val="20"/>
              </w:rPr>
              <w:t xml:space="preserve">17-centre cohort summary </w:t>
            </w:r>
            <w:r>
              <w:rPr>
                <w:rFonts w:cstheme="minorHAnsi"/>
                <w:sz w:val="20"/>
                <w:szCs w:val="20"/>
              </w:rPr>
              <w:fldChar w:fldCharType="begin"/>
            </w:r>
            <w:r>
              <w:rPr>
                <w:rFonts w:cstheme="minorHAnsi"/>
                <w:sz w:val="20"/>
                <w:szCs w:val="20"/>
              </w:rPr>
              <w:instrText xml:space="preserve"> ADDIN EN.CITE &lt;EndNote&gt;&lt;Cite&gt;&lt;Author&gt;Min&lt;/Author&gt;&lt;Year&gt;2024&lt;/Year&gt;&lt;RecNum&gt;940&lt;/RecNum&gt;&lt;DisplayText&gt;(Min et al., 2024)&lt;/DisplayText&gt;&lt;record&gt;&lt;rec-number&gt;940&lt;/rec-number&gt;&lt;foreign-keys&gt;&lt;key app="EN" db-id="dsf999xxkeraetetwatv59avzt9w00adesex" timestamp="1771787027"&gt;940&lt;/key&gt;&lt;/foreign-keys&gt;&lt;ref-type name="Journal Article"&gt;17&lt;/ref-type&gt;&lt;contributors&gt;&lt;authors&gt;&lt;author&gt;CHEN Min&lt;/author&gt;&lt;author&gt;HAN Wenli&lt;/author&gt;&lt;author&gt;HOU Linghua&lt;/author&gt;&lt;author&gt;HU Na&lt;/author&gt;&lt;author&gt;HUANG Xia&lt;/author&gt;&lt;author&gt;LI Wusheng&lt;/author&gt;&lt;author&gt;LI Ying&lt;/author&gt;&lt;author&gt;LIANG Huaqin&lt;/author&gt;&lt;author&gt;LU Changchun&lt;/author&gt;&lt;author&gt;WANG Lin&lt;/author&gt;&lt;author&gt;WU Nan&lt;/author&gt;&lt;author&gt;XU Hua&lt;/author&gt;&lt;author&gt;XU Jing&lt;/author&gt;&lt;author&gt;XU Xiaojun&lt;/author&gt;&lt;author&gt;XUE Shuanglin&lt;/author&gt;&lt;author&gt;ZHANG Heng&lt;/author&gt;&lt;author&gt;LIU Yanyan&lt;/author&gt;&lt;/authors&gt;&lt;/contributors&gt;&lt;titles&gt;&lt;title&gt;Retrospective Analysis of the Characteristics of Blood Donors from 17 Provincial-level Blood Centers&lt;/title&gt;&lt;secondary-title&gt;JOURNAL OF CLINICAL TRANSFUSION AND LABORATORY MEDICINE&lt;/secondary-title&gt;&lt;/titles&gt;&lt;periodical&gt;&lt;full-title&gt;JOURNAL OF CLINICAL TRANSFUSION AND LABORATORY MEDICINE&lt;/full-title&gt;&lt;/periodical&gt;&lt;pages&gt;491-498&lt;/pages&gt;&lt;volume&gt;26&lt;/volume&gt;&lt;number&gt;4&lt;/number&gt;&lt;dates&gt;&lt;year&gt;2024&lt;/year&gt;&lt;/dates&gt;&lt;urls&gt;&lt;related-urls&gt;&lt;url&gt;http://www.lcsxyjy.com/EN/10.3969/j.issn.1671-2587.2024.04.011&lt;/url&gt;&lt;/related-urls&gt;&lt;/urls&gt;&lt;electronic-resource-num&gt;10.3969/j.issn.1671-2587.2024.04.011&lt;/electronic-resource-num&gt;&lt;/record&gt;&lt;/Cite&gt;&lt;/EndNote&gt;</w:instrText>
            </w:r>
            <w:r>
              <w:rPr>
                <w:rFonts w:cstheme="minorHAnsi"/>
                <w:sz w:val="20"/>
                <w:szCs w:val="20"/>
              </w:rPr>
              <w:fldChar w:fldCharType="separate"/>
            </w:r>
            <w:r>
              <w:rPr>
                <w:rFonts w:cstheme="minorHAnsi"/>
                <w:sz w:val="20"/>
                <w:szCs w:val="20"/>
              </w:rPr>
              <w:t>(Min et al., 2024)</w:t>
            </w:r>
            <w:r>
              <w:rPr>
                <w:rFonts w:cstheme="minorHAnsi"/>
                <w:sz w:val="20"/>
                <w:szCs w:val="20"/>
              </w:rPr>
              <w:fldChar w:fldCharType="end"/>
            </w:r>
          </w:p>
        </w:tc>
      </w:tr>
      <w:tr w14:paraId="2AC4C475">
        <w:tblPrEx>
          <w:tblCellMar>
            <w:top w:w="15" w:type="dxa"/>
            <w:left w:w="15" w:type="dxa"/>
            <w:bottom w:w="15" w:type="dxa"/>
            <w:right w:w="15" w:type="dxa"/>
          </w:tblCellMar>
        </w:tblPrEx>
        <w:trPr>
          <w:tblCellSpacing w:w="15" w:type="dxa"/>
        </w:trPr>
        <w:tc>
          <w:tcPr>
            <w:tcW w:w="1146" w:type="dxa"/>
          </w:tcPr>
          <w:p w14:paraId="16A66797">
            <w:pPr>
              <w:rPr>
                <w:rFonts w:cstheme="minorHAnsi"/>
                <w:sz w:val="20"/>
                <w:szCs w:val="20"/>
              </w:rPr>
            </w:pPr>
            <w:r>
              <w:rPr>
                <w:rFonts w:cstheme="minorHAnsi"/>
                <w:sz w:val="20"/>
                <w:szCs w:val="20"/>
              </w:rPr>
              <w:t>Short-term effects</w:t>
            </w:r>
          </w:p>
        </w:tc>
        <w:tc>
          <w:tcPr>
            <w:tcW w:w="1130" w:type="dxa"/>
            <w:vAlign w:val="center"/>
          </w:tcPr>
          <w:p w14:paraId="08E0BDD6">
            <w:pPr>
              <w:rPr>
                <w:rFonts w:cstheme="minorHAnsi"/>
                <w:sz w:val="20"/>
                <w:szCs w:val="20"/>
              </w:rPr>
            </w:pPr>
            <w:r>
              <w:rPr>
                <w:rFonts w:eastAsia="Arial" w:cstheme="minorHAnsi"/>
                <w:sz w:val="20"/>
                <w:szCs w:val="20"/>
              </w:rPr>
              <w:t>VAS pain (control mean)</w:t>
            </w:r>
          </w:p>
        </w:tc>
        <w:tc>
          <w:tcPr>
            <w:tcW w:w="913" w:type="dxa"/>
            <w:vAlign w:val="center"/>
          </w:tcPr>
          <w:p w14:paraId="30DF7423">
            <w:pPr>
              <w:rPr>
                <w:rFonts w:cstheme="minorHAnsi"/>
                <w:sz w:val="20"/>
                <w:szCs w:val="20"/>
              </w:rPr>
            </w:pPr>
            <w:r>
              <w:rPr>
                <w:rFonts w:eastAsia="Arial" w:cstheme="minorHAnsi"/>
                <w:sz w:val="20"/>
                <w:szCs w:val="20"/>
              </w:rPr>
              <w:t>VAS_c</w:t>
            </w:r>
          </w:p>
        </w:tc>
        <w:tc>
          <w:tcPr>
            <w:tcW w:w="699" w:type="dxa"/>
            <w:vAlign w:val="center"/>
          </w:tcPr>
          <w:p w14:paraId="077741CD">
            <w:pPr>
              <w:rPr>
                <w:rFonts w:cstheme="minorHAnsi"/>
                <w:sz w:val="20"/>
                <w:szCs w:val="20"/>
              </w:rPr>
            </w:pPr>
            <w:r>
              <w:rPr>
                <w:rFonts w:eastAsia="Arial" w:cstheme="minorHAnsi"/>
                <w:sz w:val="20"/>
                <w:szCs w:val="20"/>
              </w:rPr>
              <w:t>3.85</w:t>
            </w:r>
          </w:p>
        </w:tc>
        <w:tc>
          <w:tcPr>
            <w:tcW w:w="0" w:type="auto"/>
            <w:vAlign w:val="center"/>
          </w:tcPr>
          <w:p w14:paraId="05241C35">
            <w:pPr>
              <w:rPr>
                <w:rFonts w:cstheme="minorHAnsi"/>
                <w:sz w:val="20"/>
                <w:szCs w:val="20"/>
              </w:rPr>
            </w:pPr>
            <w:r>
              <w:rPr>
                <w:rFonts w:eastAsia="Arial" w:cstheme="minorHAnsi"/>
                <w:sz w:val="20"/>
                <w:szCs w:val="20"/>
              </w:rPr>
              <w:t>Fixed</w:t>
            </w:r>
          </w:p>
        </w:tc>
        <w:tc>
          <w:tcPr>
            <w:tcW w:w="1273" w:type="dxa"/>
            <w:vAlign w:val="center"/>
          </w:tcPr>
          <w:p w14:paraId="555AE2B6">
            <w:pPr>
              <w:rPr>
                <w:rFonts w:cstheme="minorHAnsi"/>
                <w:sz w:val="20"/>
                <w:szCs w:val="20"/>
              </w:rPr>
            </w:pPr>
            <w:r>
              <w:rPr>
                <w:rFonts w:eastAsia="Arial" w:cstheme="minorHAnsi"/>
                <w:sz w:val="20"/>
                <w:szCs w:val="20"/>
              </w:rPr>
              <w:t>Fixed</w:t>
            </w:r>
          </w:p>
        </w:tc>
        <w:tc>
          <w:tcPr>
            <w:tcW w:w="1725" w:type="dxa"/>
            <w:vAlign w:val="center"/>
          </w:tcPr>
          <w:p w14:paraId="1AB84892">
            <w:pPr>
              <w:rPr>
                <w:rFonts w:hint="eastAsia" w:cstheme="minorHAnsi"/>
                <w:sz w:val="20"/>
                <w:szCs w:val="20"/>
              </w:rPr>
            </w:pPr>
            <w:r>
              <w:rPr>
                <w:rFonts w:eastAsia="Arial" w:cstheme="minorHAnsi"/>
                <w:sz w:val="20"/>
                <w:szCs w:val="20"/>
              </w:rPr>
              <w:t>Domestic multicentre RCT</w:t>
            </w:r>
            <w:r>
              <w:rPr>
                <w:rFonts w:hint="eastAsia" w:cstheme="minorHAnsi"/>
                <w:sz w:val="20"/>
                <w:szCs w:val="20"/>
              </w:rPr>
              <w:t xml:space="preserve"> </w:t>
            </w:r>
            <w:r>
              <w:rPr>
                <w:rFonts w:cstheme="minorHAnsi"/>
                <w:sz w:val="20"/>
                <w:szCs w:val="20"/>
              </w:rPr>
              <w:fldChar w:fldCharType="begin"/>
            </w:r>
            <w:r>
              <w:rPr>
                <w:rFonts w:cstheme="minorHAnsi"/>
                <w:sz w:val="20"/>
                <w:szCs w:val="20"/>
              </w:rPr>
              <w:instrText xml:space="preserve"> ADDIN EN.CITE &lt;EndNote&gt;&lt;Cite&gt;&lt;Author&gt;Zubing&lt;/Author&gt;&lt;Year&gt;2025&lt;/Year&gt;&lt;RecNum&gt;953&lt;/RecNum&gt;&lt;DisplayText&gt;(Zubing et al., 2025)&lt;/DisplayText&gt;&lt;record&gt;&lt;rec-number&gt;953&lt;/rec-number&gt;&lt;foreign-keys&gt;&lt;key app="EN" db-id="dsf999xxkeraetetwatv59avzt9w00adesex" timestamp="1771847147"&gt;953&lt;/key&gt;&lt;/foreign-keys&gt;&lt;ref-type name="Journal Article"&gt;17&lt;/ref-type&gt;&lt;contributors&gt;&lt;authors&gt;&lt;author&gt;Zhang Zubing&lt;/author&gt;&lt;author&gt;P. U. Song&lt;/author&gt;&lt;author&gt;Chen Xiaoping&lt;/author&gt;&lt;author&gt;L. I. Jie&lt;/author&gt;&lt;author&gt;Zhang Qingsong&lt;/author&gt;&lt;author&gt;Zhou Lina&lt;/author&gt;&lt;author&gt;W. E. N. Jianbo&lt;/author&gt;&lt;/authors&gt;&lt;/contributors&gt;&lt;titles&gt;&lt;title&gt;Development of Sterile Cold Spray and Pain Intervention in First - Time Blood and Plasma Donors&lt;/title&gt;&lt;secondary-title&gt;China Medical Devices&lt;/secondary-title&gt;&lt;/titles&gt;&lt;periodical&gt;&lt;full-title&gt;China Medical Devices&lt;/full-title&gt;&lt;/periodical&gt;&lt;pages&gt;27-32&lt;/pages&gt;&lt;volume&gt;40&lt;/volume&gt;&lt;number&gt;7&lt;/number&gt;&lt;dates&gt;&lt;year&gt;2025&lt;/year&gt;&lt;pub-dates&gt;&lt;date&gt;2025-07-10&lt;/date&gt;&lt;/pub-dates&gt;&lt;/dates&gt;&lt;isbn&gt;1674-1633&lt;/isbn&gt;&lt;urls&gt;&lt;related-urls&gt;&lt;url&gt;http://cs.china-cmd.org/zgylsb/EN/10.3969/j.issn.1674-1633.20241756&lt;/url&gt;&lt;/related-urls&gt;&lt;/urls&gt;&lt;electronic-resource-num&gt;10.3969/j.issn.1674-1633.20241756&lt;/electronic-resource-num&gt;&lt;/record&gt;&lt;/Cite&gt;&lt;/EndNote&gt;</w:instrText>
            </w:r>
            <w:r>
              <w:rPr>
                <w:rFonts w:cstheme="minorHAnsi"/>
                <w:sz w:val="20"/>
                <w:szCs w:val="20"/>
              </w:rPr>
              <w:fldChar w:fldCharType="separate"/>
            </w:r>
            <w:r>
              <w:rPr>
                <w:rFonts w:cstheme="minorHAnsi"/>
                <w:sz w:val="20"/>
                <w:szCs w:val="20"/>
              </w:rPr>
              <w:t>(Zubing et al., 2025)</w:t>
            </w:r>
            <w:r>
              <w:rPr>
                <w:rFonts w:cstheme="minorHAnsi"/>
                <w:sz w:val="20"/>
                <w:szCs w:val="20"/>
              </w:rPr>
              <w:fldChar w:fldCharType="end"/>
            </w:r>
          </w:p>
        </w:tc>
      </w:tr>
      <w:tr w14:paraId="145BF219">
        <w:tblPrEx>
          <w:tblCellMar>
            <w:top w:w="15" w:type="dxa"/>
            <w:left w:w="15" w:type="dxa"/>
            <w:bottom w:w="15" w:type="dxa"/>
            <w:right w:w="15" w:type="dxa"/>
          </w:tblCellMar>
        </w:tblPrEx>
        <w:trPr>
          <w:tblCellSpacing w:w="15" w:type="dxa"/>
        </w:trPr>
        <w:tc>
          <w:tcPr>
            <w:tcW w:w="1146" w:type="dxa"/>
          </w:tcPr>
          <w:p w14:paraId="3B21CE26">
            <w:pPr>
              <w:rPr>
                <w:rFonts w:cstheme="minorHAnsi"/>
                <w:sz w:val="20"/>
                <w:szCs w:val="20"/>
              </w:rPr>
            </w:pPr>
            <w:r>
              <w:rPr>
                <w:rFonts w:cstheme="minorHAnsi"/>
                <w:sz w:val="20"/>
                <w:szCs w:val="20"/>
              </w:rPr>
              <w:t>Short-term effects</w:t>
            </w:r>
          </w:p>
        </w:tc>
        <w:tc>
          <w:tcPr>
            <w:tcW w:w="1130" w:type="dxa"/>
            <w:vAlign w:val="center"/>
          </w:tcPr>
          <w:p w14:paraId="1AEE4AB8">
            <w:pPr>
              <w:rPr>
                <w:rFonts w:cstheme="minorHAnsi"/>
                <w:sz w:val="20"/>
                <w:szCs w:val="20"/>
              </w:rPr>
            </w:pPr>
            <w:r>
              <w:rPr>
                <w:rFonts w:eastAsia="Arial" w:cstheme="minorHAnsi"/>
                <w:sz w:val="20"/>
                <w:szCs w:val="20"/>
              </w:rPr>
              <w:t>VAS pain (intervention mean)</w:t>
            </w:r>
          </w:p>
        </w:tc>
        <w:tc>
          <w:tcPr>
            <w:tcW w:w="913" w:type="dxa"/>
            <w:vAlign w:val="center"/>
          </w:tcPr>
          <w:p w14:paraId="42B53030">
            <w:pPr>
              <w:rPr>
                <w:rFonts w:cstheme="minorHAnsi"/>
                <w:sz w:val="20"/>
                <w:szCs w:val="20"/>
              </w:rPr>
            </w:pPr>
            <w:r>
              <w:rPr>
                <w:rFonts w:eastAsia="Arial" w:cstheme="minorHAnsi"/>
                <w:sz w:val="20"/>
                <w:szCs w:val="20"/>
              </w:rPr>
              <w:t>VAS_i</w:t>
            </w:r>
          </w:p>
        </w:tc>
        <w:tc>
          <w:tcPr>
            <w:tcW w:w="699" w:type="dxa"/>
            <w:vAlign w:val="center"/>
          </w:tcPr>
          <w:p w14:paraId="3C0675E2">
            <w:pPr>
              <w:rPr>
                <w:rFonts w:cstheme="minorHAnsi"/>
                <w:sz w:val="20"/>
                <w:szCs w:val="20"/>
              </w:rPr>
            </w:pPr>
            <w:r>
              <w:rPr>
                <w:rFonts w:eastAsia="Arial" w:cstheme="minorHAnsi"/>
                <w:sz w:val="20"/>
                <w:szCs w:val="20"/>
              </w:rPr>
              <w:t>2.75</w:t>
            </w:r>
          </w:p>
        </w:tc>
        <w:tc>
          <w:tcPr>
            <w:tcW w:w="0" w:type="auto"/>
            <w:vAlign w:val="center"/>
          </w:tcPr>
          <w:p w14:paraId="5EE52DC6">
            <w:pPr>
              <w:rPr>
                <w:rFonts w:cstheme="minorHAnsi"/>
                <w:sz w:val="20"/>
                <w:szCs w:val="20"/>
              </w:rPr>
            </w:pPr>
            <w:r>
              <w:rPr>
                <w:rFonts w:eastAsia="Arial" w:cstheme="minorHAnsi"/>
                <w:sz w:val="20"/>
                <w:szCs w:val="20"/>
              </w:rPr>
              <w:t>Fixed</w:t>
            </w:r>
          </w:p>
        </w:tc>
        <w:tc>
          <w:tcPr>
            <w:tcW w:w="1273" w:type="dxa"/>
            <w:vAlign w:val="center"/>
          </w:tcPr>
          <w:p w14:paraId="1919FA7F">
            <w:pPr>
              <w:rPr>
                <w:rFonts w:cstheme="minorHAnsi"/>
                <w:sz w:val="20"/>
                <w:szCs w:val="20"/>
              </w:rPr>
            </w:pPr>
            <w:r>
              <w:rPr>
                <w:rFonts w:eastAsia="Arial" w:cstheme="minorHAnsi"/>
                <w:sz w:val="20"/>
                <w:szCs w:val="20"/>
              </w:rPr>
              <w:t>Fixed</w:t>
            </w:r>
          </w:p>
        </w:tc>
        <w:tc>
          <w:tcPr>
            <w:tcW w:w="1725" w:type="dxa"/>
            <w:vAlign w:val="center"/>
          </w:tcPr>
          <w:p w14:paraId="14AB8D64">
            <w:pPr>
              <w:rPr>
                <w:rFonts w:hint="eastAsia" w:cstheme="minorHAnsi"/>
                <w:sz w:val="20"/>
                <w:szCs w:val="20"/>
              </w:rPr>
            </w:pPr>
            <w:r>
              <w:rPr>
                <w:rFonts w:eastAsia="Arial" w:cstheme="minorHAnsi"/>
                <w:sz w:val="20"/>
                <w:szCs w:val="20"/>
              </w:rPr>
              <w:t>Domestic multicentre RCT</w:t>
            </w:r>
            <w:r>
              <w:rPr>
                <w:rFonts w:hint="eastAsia" w:cstheme="minorHAnsi"/>
                <w:sz w:val="20"/>
                <w:szCs w:val="20"/>
              </w:rPr>
              <w:t xml:space="preserve"> </w:t>
            </w:r>
            <w:r>
              <w:rPr>
                <w:rFonts w:cstheme="minorHAnsi"/>
                <w:sz w:val="20"/>
                <w:szCs w:val="20"/>
              </w:rPr>
              <w:fldChar w:fldCharType="begin"/>
            </w:r>
            <w:r>
              <w:rPr>
                <w:rFonts w:cstheme="minorHAnsi"/>
                <w:sz w:val="20"/>
                <w:szCs w:val="20"/>
              </w:rPr>
              <w:instrText xml:space="preserve"> ADDIN EN.CITE &lt;EndNote&gt;&lt;Cite&gt;&lt;Author&gt;Zubing&lt;/Author&gt;&lt;Year&gt;2025&lt;/Year&gt;&lt;RecNum&gt;953&lt;/RecNum&gt;&lt;DisplayText&gt;(Zubing et al., 2025)&lt;/DisplayText&gt;&lt;record&gt;&lt;rec-number&gt;953&lt;/rec-number&gt;&lt;foreign-keys&gt;&lt;key app="EN" db-id="dsf999xxkeraetetwatv59avzt9w00adesex" timestamp="1771847147"&gt;953&lt;/key&gt;&lt;/foreign-keys&gt;&lt;ref-type name="Journal Article"&gt;17&lt;/ref-type&gt;&lt;contributors&gt;&lt;authors&gt;&lt;author&gt;Zhang Zubing&lt;/author&gt;&lt;author&gt;P. U. Song&lt;/author&gt;&lt;author&gt;Chen Xiaoping&lt;/author&gt;&lt;author&gt;L. I. Jie&lt;/author&gt;&lt;author&gt;Zhang Qingsong&lt;/author&gt;&lt;author&gt;Zhou Lina&lt;/author&gt;&lt;author&gt;W. E. N. Jianbo&lt;/author&gt;&lt;/authors&gt;&lt;/contributors&gt;&lt;titles&gt;&lt;title&gt;Development of Sterile Cold Spray and Pain Intervention in First - Time Blood and Plasma Donors&lt;/title&gt;&lt;secondary-title&gt;China Medical Devices&lt;/secondary-title&gt;&lt;/titles&gt;&lt;periodical&gt;&lt;full-title&gt;China Medical Devices&lt;/full-title&gt;&lt;/periodical&gt;&lt;pages&gt;27-32&lt;/pages&gt;&lt;volume&gt;40&lt;/volume&gt;&lt;number&gt;7&lt;/number&gt;&lt;dates&gt;&lt;year&gt;2025&lt;/year&gt;&lt;pub-dates&gt;&lt;date&gt;2025-07-10&lt;/date&gt;&lt;/pub-dates&gt;&lt;/dates&gt;&lt;isbn&gt;1674-1633&lt;/isbn&gt;&lt;urls&gt;&lt;related-urls&gt;&lt;url&gt;http://cs.china-cmd.org/zgylsb/EN/10.3969/j.issn.1674-1633.20241756&lt;/url&gt;&lt;/related-urls&gt;&lt;/urls&gt;&lt;electronic-resource-num&gt;10.3969/j.issn.1674-1633.20241756&lt;/electronic-resource-num&gt;&lt;/record&gt;&lt;/Cite&gt;&lt;/EndNote&gt;</w:instrText>
            </w:r>
            <w:r>
              <w:rPr>
                <w:rFonts w:cstheme="minorHAnsi"/>
                <w:sz w:val="20"/>
                <w:szCs w:val="20"/>
              </w:rPr>
              <w:fldChar w:fldCharType="separate"/>
            </w:r>
            <w:r>
              <w:rPr>
                <w:rFonts w:cstheme="minorHAnsi"/>
                <w:sz w:val="20"/>
                <w:szCs w:val="20"/>
              </w:rPr>
              <w:t>(Zubing et al., 2025)</w:t>
            </w:r>
            <w:r>
              <w:rPr>
                <w:rFonts w:cstheme="minorHAnsi"/>
                <w:sz w:val="20"/>
                <w:szCs w:val="20"/>
              </w:rPr>
              <w:fldChar w:fldCharType="end"/>
            </w:r>
          </w:p>
        </w:tc>
      </w:tr>
      <w:tr w14:paraId="6506B137">
        <w:tblPrEx>
          <w:tblCellMar>
            <w:top w:w="15" w:type="dxa"/>
            <w:left w:w="15" w:type="dxa"/>
            <w:bottom w:w="15" w:type="dxa"/>
            <w:right w:w="15" w:type="dxa"/>
          </w:tblCellMar>
        </w:tblPrEx>
        <w:trPr>
          <w:tblCellSpacing w:w="15" w:type="dxa"/>
        </w:trPr>
        <w:tc>
          <w:tcPr>
            <w:tcW w:w="1146" w:type="dxa"/>
          </w:tcPr>
          <w:p w14:paraId="6D73688C">
            <w:pPr>
              <w:rPr>
                <w:rFonts w:cstheme="minorHAnsi"/>
                <w:sz w:val="20"/>
                <w:szCs w:val="20"/>
              </w:rPr>
            </w:pPr>
            <w:r>
              <w:rPr>
                <w:rFonts w:cstheme="minorHAnsi"/>
                <w:sz w:val="20"/>
                <w:szCs w:val="20"/>
              </w:rPr>
              <w:t>Short-term effects</w:t>
            </w:r>
          </w:p>
        </w:tc>
        <w:tc>
          <w:tcPr>
            <w:tcW w:w="1130" w:type="dxa"/>
            <w:vAlign w:val="center"/>
          </w:tcPr>
          <w:p w14:paraId="7F7EC2AF">
            <w:pPr>
              <w:rPr>
                <w:rFonts w:cstheme="minorHAnsi"/>
                <w:sz w:val="20"/>
                <w:szCs w:val="20"/>
              </w:rPr>
            </w:pPr>
            <w:r>
              <w:rPr>
                <w:rFonts w:eastAsia="Arial" w:cstheme="minorHAnsi"/>
                <w:sz w:val="20"/>
                <w:szCs w:val="20"/>
              </w:rPr>
              <w:t>BDAS anxiety (control mean)</w:t>
            </w:r>
          </w:p>
        </w:tc>
        <w:tc>
          <w:tcPr>
            <w:tcW w:w="913" w:type="dxa"/>
            <w:vAlign w:val="center"/>
          </w:tcPr>
          <w:p w14:paraId="3CFFAF48">
            <w:pPr>
              <w:rPr>
                <w:rFonts w:cstheme="minorHAnsi"/>
                <w:sz w:val="20"/>
                <w:szCs w:val="20"/>
              </w:rPr>
            </w:pPr>
            <w:r>
              <w:rPr>
                <w:rFonts w:eastAsia="Arial" w:cstheme="minorHAnsi"/>
                <w:sz w:val="20"/>
                <w:szCs w:val="20"/>
              </w:rPr>
              <w:t>BDAS_c</w:t>
            </w:r>
          </w:p>
        </w:tc>
        <w:tc>
          <w:tcPr>
            <w:tcW w:w="699" w:type="dxa"/>
            <w:vAlign w:val="center"/>
          </w:tcPr>
          <w:p w14:paraId="37F432CD">
            <w:pPr>
              <w:rPr>
                <w:rFonts w:cstheme="minorHAnsi"/>
                <w:sz w:val="20"/>
                <w:szCs w:val="20"/>
              </w:rPr>
            </w:pPr>
            <w:r>
              <w:rPr>
                <w:rFonts w:eastAsia="Arial" w:cstheme="minorHAnsi"/>
                <w:sz w:val="20"/>
                <w:szCs w:val="20"/>
              </w:rPr>
              <w:t>16.76</w:t>
            </w:r>
          </w:p>
        </w:tc>
        <w:tc>
          <w:tcPr>
            <w:tcW w:w="0" w:type="auto"/>
            <w:vAlign w:val="center"/>
          </w:tcPr>
          <w:p w14:paraId="2E4DAD8D">
            <w:pPr>
              <w:rPr>
                <w:rFonts w:cstheme="minorHAnsi"/>
                <w:sz w:val="20"/>
                <w:szCs w:val="20"/>
              </w:rPr>
            </w:pPr>
            <w:r>
              <w:rPr>
                <w:rFonts w:eastAsia="Arial" w:cstheme="minorHAnsi"/>
                <w:sz w:val="20"/>
                <w:szCs w:val="20"/>
              </w:rPr>
              <w:t>Fixed</w:t>
            </w:r>
          </w:p>
        </w:tc>
        <w:tc>
          <w:tcPr>
            <w:tcW w:w="1273" w:type="dxa"/>
            <w:vAlign w:val="center"/>
          </w:tcPr>
          <w:p w14:paraId="7507D435">
            <w:pPr>
              <w:rPr>
                <w:rFonts w:cstheme="minorHAnsi"/>
                <w:sz w:val="20"/>
                <w:szCs w:val="20"/>
              </w:rPr>
            </w:pPr>
            <w:r>
              <w:rPr>
                <w:rFonts w:eastAsia="Arial" w:cstheme="minorHAnsi"/>
                <w:sz w:val="20"/>
                <w:szCs w:val="20"/>
              </w:rPr>
              <w:t>Fixed</w:t>
            </w:r>
          </w:p>
        </w:tc>
        <w:tc>
          <w:tcPr>
            <w:tcW w:w="1725" w:type="dxa"/>
            <w:vAlign w:val="center"/>
          </w:tcPr>
          <w:p w14:paraId="4864FB3A">
            <w:pPr>
              <w:rPr>
                <w:rFonts w:hint="eastAsia" w:cstheme="minorHAnsi"/>
                <w:sz w:val="20"/>
                <w:szCs w:val="20"/>
              </w:rPr>
            </w:pPr>
            <w:r>
              <w:rPr>
                <w:rFonts w:eastAsia="Arial" w:cstheme="minorHAnsi"/>
                <w:sz w:val="20"/>
                <w:szCs w:val="20"/>
              </w:rPr>
              <w:t xml:space="preserve">Domestic multicentre RCT </w:t>
            </w:r>
            <w:r>
              <w:rPr>
                <w:rFonts w:eastAsia="Arial" w:cstheme="minorHAnsi"/>
                <w:sz w:val="20"/>
                <w:szCs w:val="20"/>
              </w:rPr>
              <w:fldChar w:fldCharType="begin"/>
            </w:r>
            <w:r>
              <w:rPr>
                <w:rFonts w:eastAsia="Arial" w:cstheme="minorHAnsi"/>
                <w:sz w:val="20"/>
                <w:szCs w:val="20"/>
              </w:rPr>
              <w:instrText xml:space="preserve"> ADDIN EN.CITE &lt;EndNote&gt;&lt;Cite&gt;&lt;Author&gt;Zubing&lt;/Author&gt;&lt;Year&gt;2025&lt;/Year&gt;&lt;RecNum&gt;953&lt;/RecNum&gt;&lt;DisplayText&gt;(Zubing et al., 2025)&lt;/DisplayText&gt;&lt;record&gt;&lt;rec-number&gt;953&lt;/rec-number&gt;&lt;foreign-keys&gt;&lt;key app="EN" db-id="dsf999xxkeraetetwatv59avzt9w00adesex" timestamp="1771847147"&gt;953&lt;/key&gt;&lt;/foreign-keys&gt;&lt;ref-type name="Journal Article"&gt;17&lt;/ref-type&gt;&lt;contributors&gt;&lt;authors&gt;&lt;author&gt;Zhang Zubing&lt;/author&gt;&lt;author&gt;P. U. Song&lt;/author&gt;&lt;author&gt;Chen Xiaoping&lt;/author&gt;&lt;author&gt;L. I. Jie&lt;/author&gt;&lt;author&gt;Zhang Qingsong&lt;/author&gt;&lt;author&gt;Zhou Lina&lt;/author&gt;&lt;author&gt;W. E. N. Jianbo&lt;/author&gt;&lt;/authors&gt;&lt;/contributors&gt;&lt;titles&gt;&lt;title&gt;Development of Sterile Cold Spray and Pain Intervention in First - Time Blood and Plasma Donors&lt;/title&gt;&lt;secondary-title&gt;China Medical Devices&lt;/secondary-title&gt;&lt;/titles&gt;&lt;periodical&gt;&lt;full-title&gt;China Medical Devices&lt;/full-title&gt;&lt;/periodical&gt;&lt;pages&gt;27-32&lt;/pages&gt;&lt;volume&gt;40&lt;/volume&gt;&lt;number&gt;7&lt;/number&gt;&lt;dates&gt;&lt;year&gt;2025&lt;/year&gt;&lt;pub-dates&gt;&lt;date&gt;2025-07-10&lt;/date&gt;&lt;/pub-dates&gt;&lt;/dates&gt;&lt;isbn&gt;1674-1633&lt;/isbn&gt;&lt;urls&gt;&lt;related-urls&gt;&lt;url&gt;http://cs.china-cmd.org/zgylsb/EN/10.3969/j.issn.1674-1633.20241756&lt;/url&gt;&lt;/related-urls&gt;&lt;/urls&gt;&lt;electronic-resource-num&gt;10.3969/j.issn.1674-1633.20241756&lt;/electronic-resource-num&gt;&lt;/record&gt;&lt;/Cite&gt;&lt;/EndNote&gt;</w:instrText>
            </w:r>
            <w:r>
              <w:rPr>
                <w:rFonts w:eastAsia="Arial" w:cstheme="minorHAnsi"/>
                <w:sz w:val="20"/>
                <w:szCs w:val="20"/>
              </w:rPr>
              <w:fldChar w:fldCharType="separate"/>
            </w:r>
            <w:r>
              <w:rPr>
                <w:rFonts w:eastAsia="Arial" w:cstheme="minorHAnsi"/>
                <w:sz w:val="20"/>
                <w:szCs w:val="20"/>
              </w:rPr>
              <w:t>(Zubing et al., 2025)</w:t>
            </w:r>
            <w:r>
              <w:rPr>
                <w:rFonts w:eastAsia="Arial" w:cstheme="minorHAnsi"/>
                <w:sz w:val="20"/>
                <w:szCs w:val="20"/>
              </w:rPr>
              <w:fldChar w:fldCharType="end"/>
            </w:r>
          </w:p>
        </w:tc>
      </w:tr>
      <w:tr w14:paraId="7C107379">
        <w:tblPrEx>
          <w:tblCellMar>
            <w:top w:w="15" w:type="dxa"/>
            <w:left w:w="15" w:type="dxa"/>
            <w:bottom w:w="15" w:type="dxa"/>
            <w:right w:w="15" w:type="dxa"/>
          </w:tblCellMar>
        </w:tblPrEx>
        <w:trPr>
          <w:tblCellSpacing w:w="15" w:type="dxa"/>
        </w:trPr>
        <w:tc>
          <w:tcPr>
            <w:tcW w:w="1146" w:type="dxa"/>
          </w:tcPr>
          <w:p w14:paraId="0CD2DDCC">
            <w:pPr>
              <w:rPr>
                <w:rFonts w:cstheme="minorHAnsi"/>
                <w:sz w:val="20"/>
                <w:szCs w:val="20"/>
              </w:rPr>
            </w:pPr>
            <w:r>
              <w:rPr>
                <w:rFonts w:cstheme="minorHAnsi"/>
                <w:sz w:val="20"/>
                <w:szCs w:val="20"/>
              </w:rPr>
              <w:t>Short-term effects</w:t>
            </w:r>
          </w:p>
        </w:tc>
        <w:tc>
          <w:tcPr>
            <w:tcW w:w="1130" w:type="dxa"/>
            <w:vAlign w:val="center"/>
          </w:tcPr>
          <w:p w14:paraId="10939D6D">
            <w:pPr>
              <w:rPr>
                <w:rFonts w:cstheme="minorHAnsi"/>
                <w:sz w:val="20"/>
                <w:szCs w:val="20"/>
              </w:rPr>
            </w:pPr>
            <w:r>
              <w:rPr>
                <w:rFonts w:eastAsia="Arial" w:cstheme="minorHAnsi"/>
                <w:sz w:val="20"/>
                <w:szCs w:val="20"/>
              </w:rPr>
              <w:t>BDAS anxiety (intervention mean)</w:t>
            </w:r>
          </w:p>
        </w:tc>
        <w:tc>
          <w:tcPr>
            <w:tcW w:w="913" w:type="dxa"/>
            <w:vAlign w:val="center"/>
          </w:tcPr>
          <w:p w14:paraId="0A0B0890">
            <w:pPr>
              <w:rPr>
                <w:rFonts w:cstheme="minorHAnsi"/>
                <w:sz w:val="20"/>
                <w:szCs w:val="20"/>
              </w:rPr>
            </w:pPr>
            <w:r>
              <w:rPr>
                <w:rFonts w:eastAsia="Arial" w:cstheme="minorHAnsi"/>
                <w:sz w:val="20"/>
                <w:szCs w:val="20"/>
              </w:rPr>
              <w:t>BDAS_i</w:t>
            </w:r>
          </w:p>
        </w:tc>
        <w:tc>
          <w:tcPr>
            <w:tcW w:w="699" w:type="dxa"/>
            <w:vAlign w:val="center"/>
          </w:tcPr>
          <w:p w14:paraId="645424FF">
            <w:pPr>
              <w:rPr>
                <w:rFonts w:cstheme="minorHAnsi"/>
                <w:sz w:val="20"/>
                <w:szCs w:val="20"/>
              </w:rPr>
            </w:pPr>
            <w:r>
              <w:rPr>
                <w:rFonts w:eastAsia="Arial" w:cstheme="minorHAnsi"/>
                <w:sz w:val="20"/>
                <w:szCs w:val="20"/>
              </w:rPr>
              <w:t>14.97</w:t>
            </w:r>
          </w:p>
        </w:tc>
        <w:tc>
          <w:tcPr>
            <w:tcW w:w="0" w:type="auto"/>
            <w:vAlign w:val="center"/>
          </w:tcPr>
          <w:p w14:paraId="0B1C3CAE">
            <w:pPr>
              <w:rPr>
                <w:rFonts w:cstheme="minorHAnsi"/>
                <w:sz w:val="20"/>
                <w:szCs w:val="20"/>
              </w:rPr>
            </w:pPr>
            <w:r>
              <w:rPr>
                <w:rFonts w:eastAsia="Arial" w:cstheme="minorHAnsi"/>
                <w:sz w:val="20"/>
                <w:szCs w:val="20"/>
              </w:rPr>
              <w:t>Fixed</w:t>
            </w:r>
          </w:p>
        </w:tc>
        <w:tc>
          <w:tcPr>
            <w:tcW w:w="1273" w:type="dxa"/>
            <w:vAlign w:val="center"/>
          </w:tcPr>
          <w:p w14:paraId="5550A438">
            <w:pPr>
              <w:rPr>
                <w:rFonts w:cstheme="minorHAnsi"/>
                <w:sz w:val="20"/>
                <w:szCs w:val="20"/>
              </w:rPr>
            </w:pPr>
            <w:r>
              <w:rPr>
                <w:rFonts w:eastAsia="Arial" w:cstheme="minorHAnsi"/>
                <w:sz w:val="20"/>
                <w:szCs w:val="20"/>
              </w:rPr>
              <w:t>Fixed</w:t>
            </w:r>
          </w:p>
        </w:tc>
        <w:tc>
          <w:tcPr>
            <w:tcW w:w="1725" w:type="dxa"/>
            <w:vAlign w:val="center"/>
          </w:tcPr>
          <w:p w14:paraId="11B8DD5A">
            <w:pPr>
              <w:rPr>
                <w:rFonts w:hint="eastAsia" w:cstheme="minorHAnsi"/>
                <w:sz w:val="20"/>
                <w:szCs w:val="20"/>
              </w:rPr>
            </w:pPr>
            <w:r>
              <w:rPr>
                <w:rFonts w:eastAsia="Arial" w:cstheme="minorHAnsi"/>
                <w:sz w:val="20"/>
                <w:szCs w:val="20"/>
              </w:rPr>
              <w:t xml:space="preserve">Domestic multicentre RCT </w:t>
            </w:r>
            <w:r>
              <w:rPr>
                <w:rFonts w:eastAsia="Arial" w:cstheme="minorHAnsi"/>
                <w:sz w:val="20"/>
                <w:szCs w:val="20"/>
              </w:rPr>
              <w:fldChar w:fldCharType="begin"/>
            </w:r>
            <w:r>
              <w:rPr>
                <w:rFonts w:eastAsia="Arial" w:cstheme="minorHAnsi"/>
                <w:sz w:val="20"/>
                <w:szCs w:val="20"/>
              </w:rPr>
              <w:instrText xml:space="preserve"> ADDIN EN.CITE &lt;EndNote&gt;&lt;Cite&gt;&lt;Author&gt;Zubing&lt;/Author&gt;&lt;Year&gt;2025&lt;/Year&gt;&lt;RecNum&gt;953&lt;/RecNum&gt;&lt;DisplayText&gt;(Zubing et al., 2025)&lt;/DisplayText&gt;&lt;record&gt;&lt;rec-number&gt;953&lt;/rec-number&gt;&lt;foreign-keys&gt;&lt;key app="EN" db-id="dsf999xxkeraetetwatv59avzt9w00adesex" timestamp="1771847147"&gt;953&lt;/key&gt;&lt;/foreign-keys&gt;&lt;ref-type name="Journal Article"&gt;17&lt;/ref-type&gt;&lt;contributors&gt;&lt;authors&gt;&lt;author&gt;Zhang Zubing&lt;/author&gt;&lt;author&gt;P. U. Song&lt;/author&gt;&lt;author&gt;Chen Xiaoping&lt;/author&gt;&lt;author&gt;L. I. Jie&lt;/author&gt;&lt;author&gt;Zhang Qingsong&lt;/author&gt;&lt;author&gt;Zhou Lina&lt;/author&gt;&lt;author&gt;W. E. N. Jianbo&lt;/author&gt;&lt;/authors&gt;&lt;/contributors&gt;&lt;titles&gt;&lt;title&gt;Development of Sterile Cold Spray and Pain Intervention in First - Time Blood and Plasma Donors&lt;/title&gt;&lt;secondary-title&gt;China Medical Devices&lt;/secondary-title&gt;&lt;/titles&gt;&lt;periodical&gt;&lt;full-title&gt;China Medical Devices&lt;/full-title&gt;&lt;/periodical&gt;&lt;pages&gt;27-32&lt;/pages&gt;&lt;volume&gt;40&lt;/volume&gt;&lt;number&gt;7&lt;/number&gt;&lt;dates&gt;&lt;year&gt;2025&lt;/year&gt;&lt;pub-dates&gt;&lt;date&gt;2025-07-10&lt;/date&gt;&lt;/pub-dates&gt;&lt;/dates&gt;&lt;isbn&gt;1674-1633&lt;/isbn&gt;&lt;urls&gt;&lt;related-urls&gt;&lt;url&gt;http://cs.china-cmd.org/zgylsb/EN/10.3969/j.issn.1674-1633.20241756&lt;/url&gt;&lt;/related-urls&gt;&lt;/urls&gt;&lt;electronic-resource-num&gt;10.3969/j.issn.1674-1633.20241756&lt;/electronic-resource-num&gt;&lt;/record&gt;&lt;/Cite&gt;&lt;/EndNote&gt;</w:instrText>
            </w:r>
            <w:r>
              <w:rPr>
                <w:rFonts w:eastAsia="Arial" w:cstheme="minorHAnsi"/>
                <w:sz w:val="20"/>
                <w:szCs w:val="20"/>
              </w:rPr>
              <w:fldChar w:fldCharType="separate"/>
            </w:r>
            <w:r>
              <w:rPr>
                <w:rFonts w:eastAsia="Arial" w:cstheme="minorHAnsi"/>
                <w:sz w:val="20"/>
                <w:szCs w:val="20"/>
              </w:rPr>
              <w:t>(Zubing et al., 2025)</w:t>
            </w:r>
            <w:r>
              <w:rPr>
                <w:rFonts w:eastAsia="Arial" w:cstheme="minorHAnsi"/>
                <w:sz w:val="20"/>
                <w:szCs w:val="20"/>
              </w:rPr>
              <w:fldChar w:fldCharType="end"/>
            </w:r>
          </w:p>
        </w:tc>
      </w:tr>
      <w:tr w14:paraId="7AB6A8BC">
        <w:tblPrEx>
          <w:tblCellMar>
            <w:top w:w="15" w:type="dxa"/>
            <w:left w:w="15" w:type="dxa"/>
            <w:bottom w:w="15" w:type="dxa"/>
            <w:right w:w="15" w:type="dxa"/>
          </w:tblCellMar>
        </w:tblPrEx>
        <w:trPr>
          <w:tblCellSpacing w:w="15" w:type="dxa"/>
        </w:trPr>
        <w:tc>
          <w:tcPr>
            <w:tcW w:w="1146" w:type="dxa"/>
          </w:tcPr>
          <w:p w14:paraId="6FB448D6">
            <w:pPr>
              <w:rPr>
                <w:rFonts w:cstheme="minorHAnsi"/>
                <w:sz w:val="20"/>
                <w:szCs w:val="20"/>
              </w:rPr>
            </w:pPr>
            <w:r>
              <w:rPr>
                <w:rFonts w:cstheme="minorHAnsi"/>
                <w:sz w:val="20"/>
                <w:szCs w:val="20"/>
              </w:rPr>
              <w:t>Short-term effects</w:t>
            </w:r>
          </w:p>
        </w:tc>
        <w:tc>
          <w:tcPr>
            <w:tcW w:w="1130" w:type="dxa"/>
            <w:vAlign w:val="center"/>
          </w:tcPr>
          <w:p w14:paraId="725B19B9">
            <w:pPr>
              <w:rPr>
                <w:rFonts w:cstheme="minorHAnsi"/>
                <w:sz w:val="20"/>
                <w:szCs w:val="20"/>
              </w:rPr>
            </w:pPr>
            <w:r>
              <w:rPr>
                <w:rFonts w:eastAsia="Arial" w:cstheme="minorHAnsi"/>
                <w:sz w:val="20"/>
                <w:szCs w:val="20"/>
              </w:rPr>
              <w:t>Cohen’s d for anxiety (BDAS)</w:t>
            </w:r>
          </w:p>
        </w:tc>
        <w:tc>
          <w:tcPr>
            <w:tcW w:w="913" w:type="dxa"/>
            <w:vAlign w:val="center"/>
          </w:tcPr>
          <w:p w14:paraId="2BF6C246">
            <w:pPr>
              <w:rPr>
                <w:rFonts w:cstheme="minorHAnsi"/>
                <w:sz w:val="20"/>
                <w:szCs w:val="20"/>
              </w:rPr>
            </w:pPr>
            <w:r>
              <w:rPr>
                <w:rFonts w:eastAsia="Arial" w:cstheme="minorHAnsi"/>
                <w:sz w:val="20"/>
                <w:szCs w:val="20"/>
              </w:rPr>
              <w:t>d_BDAS</w:t>
            </w:r>
          </w:p>
        </w:tc>
        <w:tc>
          <w:tcPr>
            <w:tcW w:w="699" w:type="dxa"/>
            <w:vAlign w:val="center"/>
          </w:tcPr>
          <w:p w14:paraId="3487B8D8">
            <w:pPr>
              <w:rPr>
                <w:rFonts w:cstheme="minorHAnsi"/>
                <w:sz w:val="20"/>
                <w:szCs w:val="20"/>
              </w:rPr>
            </w:pPr>
            <w:r>
              <w:rPr>
                <w:rFonts w:eastAsia="Arial" w:cstheme="minorHAnsi"/>
                <w:sz w:val="20"/>
                <w:szCs w:val="20"/>
              </w:rPr>
              <w:t>0.71</w:t>
            </w:r>
          </w:p>
        </w:tc>
        <w:tc>
          <w:tcPr>
            <w:tcW w:w="0" w:type="auto"/>
            <w:vAlign w:val="center"/>
          </w:tcPr>
          <w:p w14:paraId="55CAFFE6">
            <w:pPr>
              <w:rPr>
                <w:rFonts w:cstheme="minorHAnsi"/>
                <w:sz w:val="20"/>
                <w:szCs w:val="20"/>
              </w:rPr>
            </w:pPr>
            <w:r>
              <w:rPr>
                <w:rFonts w:eastAsia="Arial" w:cstheme="minorHAnsi"/>
                <w:sz w:val="20"/>
                <w:szCs w:val="20"/>
              </w:rPr>
              <w:t>SD ≈ 0.094</w:t>
            </w:r>
          </w:p>
        </w:tc>
        <w:tc>
          <w:tcPr>
            <w:tcW w:w="1273" w:type="dxa"/>
            <w:vAlign w:val="center"/>
          </w:tcPr>
          <w:p w14:paraId="67C7F4B1">
            <w:pPr>
              <w:rPr>
                <w:rFonts w:cstheme="minorHAnsi"/>
                <w:sz w:val="20"/>
                <w:szCs w:val="20"/>
              </w:rPr>
            </w:pPr>
            <w:r>
              <w:rPr>
                <w:rFonts w:eastAsia="Arial" w:cstheme="minorHAnsi"/>
                <w:sz w:val="20"/>
                <w:szCs w:val="20"/>
              </w:rPr>
              <w:t>Normal</w:t>
            </w:r>
            <w:r>
              <w:rPr>
                <w:rFonts w:hint="eastAsia" w:cstheme="minorHAnsi"/>
                <w:sz w:val="20"/>
                <w:szCs w:val="20"/>
              </w:rPr>
              <w:t xml:space="preserve"> </w:t>
            </w:r>
            <w:r>
              <w:rPr>
                <w:rFonts w:eastAsia="Arial" w:cstheme="minorHAnsi"/>
                <w:sz w:val="20"/>
                <w:szCs w:val="20"/>
              </w:rPr>
              <w:t>(0.71, 0.094)</w:t>
            </w:r>
          </w:p>
        </w:tc>
        <w:tc>
          <w:tcPr>
            <w:tcW w:w="1725" w:type="dxa"/>
            <w:vAlign w:val="center"/>
          </w:tcPr>
          <w:p w14:paraId="7D0317D8">
            <w:pPr>
              <w:rPr>
                <w:rFonts w:cstheme="minorHAnsi"/>
                <w:sz w:val="20"/>
                <w:szCs w:val="20"/>
              </w:rPr>
            </w:pPr>
            <w:r>
              <w:rPr>
                <w:rFonts w:eastAsia="Arial" w:cstheme="minorHAnsi"/>
                <w:sz w:val="20"/>
                <w:szCs w:val="20"/>
              </w:rPr>
              <w:t>Computed from trial means/SDs and n=240/group</w:t>
            </w:r>
          </w:p>
        </w:tc>
      </w:tr>
      <w:tr w14:paraId="260F6F6E">
        <w:tblPrEx>
          <w:tblCellMar>
            <w:top w:w="15" w:type="dxa"/>
            <w:left w:w="15" w:type="dxa"/>
            <w:bottom w:w="15" w:type="dxa"/>
            <w:right w:w="15" w:type="dxa"/>
          </w:tblCellMar>
        </w:tblPrEx>
        <w:trPr>
          <w:tblCellSpacing w:w="15" w:type="dxa"/>
        </w:trPr>
        <w:tc>
          <w:tcPr>
            <w:tcW w:w="1146" w:type="dxa"/>
          </w:tcPr>
          <w:p w14:paraId="5C4DDA59">
            <w:pPr>
              <w:rPr>
                <w:rFonts w:cstheme="minorHAnsi"/>
                <w:sz w:val="20"/>
                <w:szCs w:val="20"/>
              </w:rPr>
            </w:pPr>
            <w:r>
              <w:rPr>
                <w:rFonts w:cstheme="minorHAnsi"/>
                <w:sz w:val="20"/>
                <w:szCs w:val="20"/>
              </w:rPr>
              <w:t>Bridging parameters</w:t>
            </w:r>
          </w:p>
        </w:tc>
        <w:tc>
          <w:tcPr>
            <w:tcW w:w="1130" w:type="dxa"/>
            <w:vAlign w:val="center"/>
          </w:tcPr>
          <w:p w14:paraId="31BE6A7D">
            <w:pPr>
              <w:rPr>
                <w:rFonts w:cstheme="minorHAnsi"/>
                <w:sz w:val="20"/>
                <w:szCs w:val="20"/>
              </w:rPr>
            </w:pPr>
            <w:r>
              <w:rPr>
                <w:rFonts w:eastAsia="Arial" w:cstheme="minorHAnsi"/>
                <w:sz w:val="20"/>
                <w:szCs w:val="20"/>
              </w:rPr>
              <w:t>Anxiety-to-willingness coefficient</w:t>
            </w:r>
          </w:p>
        </w:tc>
        <w:tc>
          <w:tcPr>
            <w:tcW w:w="913" w:type="dxa"/>
            <w:vAlign w:val="center"/>
          </w:tcPr>
          <w:p w14:paraId="7108154C">
            <w:pPr>
              <w:rPr>
                <w:rFonts w:cstheme="minorHAnsi"/>
                <w:sz w:val="20"/>
                <w:szCs w:val="20"/>
              </w:rPr>
            </w:pPr>
            <w:r>
              <w:rPr>
                <w:rFonts w:eastAsia="Arial" w:cstheme="minorHAnsi"/>
                <w:sz w:val="20"/>
                <w:szCs w:val="20"/>
              </w:rPr>
              <w:t>β1</w:t>
            </w:r>
          </w:p>
        </w:tc>
        <w:tc>
          <w:tcPr>
            <w:tcW w:w="699" w:type="dxa"/>
            <w:vAlign w:val="center"/>
          </w:tcPr>
          <w:p w14:paraId="5E260748">
            <w:pPr>
              <w:rPr>
                <w:rFonts w:cstheme="minorHAnsi"/>
                <w:sz w:val="20"/>
                <w:szCs w:val="20"/>
              </w:rPr>
            </w:pPr>
            <w:r>
              <w:rPr>
                <w:rFonts w:eastAsia="Arial" w:cstheme="minorHAnsi"/>
                <w:sz w:val="20"/>
                <w:szCs w:val="20"/>
              </w:rPr>
              <w:t>-0.28</w:t>
            </w:r>
          </w:p>
        </w:tc>
        <w:tc>
          <w:tcPr>
            <w:tcW w:w="0" w:type="auto"/>
            <w:vAlign w:val="center"/>
          </w:tcPr>
          <w:p w14:paraId="73F24CF7">
            <w:pPr>
              <w:rPr>
                <w:rFonts w:cstheme="minorHAnsi"/>
                <w:sz w:val="20"/>
                <w:szCs w:val="20"/>
              </w:rPr>
            </w:pPr>
            <w:r>
              <w:rPr>
                <w:rFonts w:eastAsia="Arial" w:cstheme="minorHAnsi"/>
                <w:sz w:val="20"/>
                <w:szCs w:val="20"/>
              </w:rPr>
              <w:t>95% CrI -0.38 to -0.18</w:t>
            </w:r>
          </w:p>
        </w:tc>
        <w:tc>
          <w:tcPr>
            <w:tcW w:w="1273" w:type="dxa"/>
            <w:vAlign w:val="center"/>
          </w:tcPr>
          <w:p w14:paraId="317F8A94">
            <w:pPr>
              <w:rPr>
                <w:rFonts w:cstheme="minorHAnsi"/>
                <w:sz w:val="20"/>
                <w:szCs w:val="20"/>
              </w:rPr>
            </w:pPr>
            <w:r>
              <w:rPr>
                <w:rFonts w:eastAsia="Arial" w:cstheme="minorHAnsi"/>
                <w:sz w:val="20"/>
                <w:szCs w:val="20"/>
              </w:rPr>
              <w:t>Normal</w:t>
            </w:r>
            <w:r>
              <w:rPr>
                <w:rFonts w:hint="eastAsia" w:cstheme="minorHAnsi"/>
                <w:sz w:val="20"/>
                <w:szCs w:val="20"/>
              </w:rPr>
              <w:t xml:space="preserve"> </w:t>
            </w:r>
            <w:r>
              <w:rPr>
                <w:rFonts w:eastAsia="Arial" w:cstheme="minorHAnsi"/>
                <w:sz w:val="20"/>
                <w:szCs w:val="20"/>
              </w:rPr>
              <w:t>(-0.28, 0.051)</w:t>
            </w:r>
          </w:p>
        </w:tc>
        <w:tc>
          <w:tcPr>
            <w:tcW w:w="1725" w:type="dxa"/>
            <w:vAlign w:val="center"/>
          </w:tcPr>
          <w:p w14:paraId="04F42A82">
            <w:pPr>
              <w:rPr>
                <w:rFonts w:cstheme="minorHAnsi"/>
                <w:sz w:val="20"/>
                <w:szCs w:val="20"/>
              </w:rPr>
            </w:pPr>
            <w:r>
              <w:rPr>
                <w:rFonts w:eastAsia="Arial" w:cstheme="minorHAnsi"/>
                <w:sz w:val="20"/>
                <w:szCs w:val="20"/>
              </w:rPr>
              <w:t>Calibrated pathway coefficient (Methods/S1)</w:t>
            </w:r>
          </w:p>
        </w:tc>
      </w:tr>
      <w:tr w14:paraId="1906074F">
        <w:tblPrEx>
          <w:tblCellMar>
            <w:top w:w="15" w:type="dxa"/>
            <w:left w:w="15" w:type="dxa"/>
            <w:bottom w:w="15" w:type="dxa"/>
            <w:right w:w="15" w:type="dxa"/>
          </w:tblCellMar>
        </w:tblPrEx>
        <w:trPr>
          <w:tblCellSpacing w:w="15" w:type="dxa"/>
        </w:trPr>
        <w:tc>
          <w:tcPr>
            <w:tcW w:w="1146" w:type="dxa"/>
          </w:tcPr>
          <w:p w14:paraId="5BD0B323">
            <w:pPr>
              <w:rPr>
                <w:rFonts w:cstheme="minorHAnsi"/>
                <w:sz w:val="20"/>
                <w:szCs w:val="20"/>
              </w:rPr>
            </w:pPr>
            <w:r>
              <w:rPr>
                <w:rFonts w:cstheme="minorHAnsi"/>
                <w:sz w:val="20"/>
                <w:szCs w:val="20"/>
              </w:rPr>
              <w:t>Bridging parameters</w:t>
            </w:r>
          </w:p>
        </w:tc>
        <w:tc>
          <w:tcPr>
            <w:tcW w:w="1130" w:type="dxa"/>
            <w:vAlign w:val="center"/>
          </w:tcPr>
          <w:p w14:paraId="7075247F">
            <w:pPr>
              <w:rPr>
                <w:rFonts w:cstheme="minorHAnsi"/>
                <w:sz w:val="20"/>
                <w:szCs w:val="20"/>
              </w:rPr>
            </w:pPr>
            <w:r>
              <w:rPr>
                <w:rFonts w:eastAsia="Arial" w:cstheme="minorHAnsi"/>
                <w:sz w:val="20"/>
                <w:szCs w:val="20"/>
              </w:rPr>
              <w:t>Intention-to-behaviour coefficient</w:t>
            </w:r>
          </w:p>
        </w:tc>
        <w:tc>
          <w:tcPr>
            <w:tcW w:w="913" w:type="dxa"/>
            <w:vAlign w:val="center"/>
          </w:tcPr>
          <w:p w14:paraId="590613B9">
            <w:pPr>
              <w:rPr>
                <w:rFonts w:cstheme="minorHAnsi"/>
                <w:sz w:val="20"/>
                <w:szCs w:val="20"/>
              </w:rPr>
            </w:pPr>
            <w:r>
              <w:rPr>
                <w:rFonts w:eastAsia="Arial" w:cstheme="minorHAnsi"/>
                <w:sz w:val="20"/>
                <w:szCs w:val="20"/>
              </w:rPr>
              <w:t>β2</w:t>
            </w:r>
          </w:p>
        </w:tc>
        <w:tc>
          <w:tcPr>
            <w:tcW w:w="699" w:type="dxa"/>
            <w:vAlign w:val="center"/>
          </w:tcPr>
          <w:p w14:paraId="592F7626">
            <w:pPr>
              <w:rPr>
                <w:rFonts w:cstheme="minorHAnsi"/>
                <w:sz w:val="20"/>
                <w:szCs w:val="20"/>
              </w:rPr>
            </w:pPr>
            <w:r>
              <w:rPr>
                <w:rFonts w:eastAsia="Arial" w:cstheme="minorHAnsi"/>
                <w:sz w:val="20"/>
                <w:szCs w:val="20"/>
              </w:rPr>
              <w:t>0.52</w:t>
            </w:r>
          </w:p>
        </w:tc>
        <w:tc>
          <w:tcPr>
            <w:tcW w:w="0" w:type="auto"/>
            <w:vAlign w:val="center"/>
          </w:tcPr>
          <w:p w14:paraId="0CD476C2">
            <w:pPr>
              <w:rPr>
                <w:rFonts w:cstheme="minorHAnsi"/>
                <w:sz w:val="20"/>
                <w:szCs w:val="20"/>
              </w:rPr>
            </w:pPr>
            <w:r>
              <w:rPr>
                <w:rFonts w:eastAsia="Arial" w:cstheme="minorHAnsi"/>
                <w:sz w:val="20"/>
                <w:szCs w:val="20"/>
              </w:rPr>
              <w:t>95% CI 0.35 to 0.69</w:t>
            </w:r>
          </w:p>
        </w:tc>
        <w:tc>
          <w:tcPr>
            <w:tcW w:w="1273" w:type="dxa"/>
            <w:vAlign w:val="center"/>
          </w:tcPr>
          <w:p w14:paraId="4DDCB9FB">
            <w:pPr>
              <w:rPr>
                <w:rFonts w:cstheme="minorHAnsi"/>
                <w:sz w:val="20"/>
                <w:szCs w:val="20"/>
              </w:rPr>
            </w:pPr>
            <w:r>
              <w:rPr>
                <w:rFonts w:eastAsia="Arial" w:cstheme="minorHAnsi"/>
                <w:sz w:val="20"/>
                <w:szCs w:val="20"/>
              </w:rPr>
              <w:t>Normal</w:t>
            </w:r>
            <w:r>
              <w:rPr>
                <w:rFonts w:hint="eastAsia" w:cstheme="minorHAnsi"/>
                <w:sz w:val="20"/>
                <w:szCs w:val="20"/>
              </w:rPr>
              <w:t xml:space="preserve"> </w:t>
            </w:r>
            <w:r>
              <w:rPr>
                <w:rFonts w:eastAsia="Arial" w:cstheme="minorHAnsi"/>
                <w:sz w:val="20"/>
                <w:szCs w:val="20"/>
              </w:rPr>
              <w:t>(0.52, 0.087)</w:t>
            </w:r>
          </w:p>
        </w:tc>
        <w:tc>
          <w:tcPr>
            <w:tcW w:w="1725" w:type="dxa"/>
            <w:vAlign w:val="center"/>
          </w:tcPr>
          <w:p w14:paraId="27D7B34B">
            <w:pPr>
              <w:rPr>
                <w:rFonts w:cstheme="minorHAnsi"/>
                <w:sz w:val="20"/>
                <w:szCs w:val="20"/>
              </w:rPr>
            </w:pPr>
            <w:r>
              <w:rPr>
                <w:rFonts w:eastAsia="Arial" w:cstheme="minorHAnsi"/>
                <w:sz w:val="20"/>
                <w:szCs w:val="20"/>
              </w:rPr>
              <w:t>Literature-based coefficient (Methods/S1)</w:t>
            </w:r>
          </w:p>
        </w:tc>
      </w:tr>
      <w:tr w14:paraId="7DADECE1">
        <w:tblPrEx>
          <w:tblCellMar>
            <w:top w:w="15" w:type="dxa"/>
            <w:left w:w="15" w:type="dxa"/>
            <w:bottom w:w="15" w:type="dxa"/>
            <w:right w:w="15" w:type="dxa"/>
          </w:tblCellMar>
        </w:tblPrEx>
        <w:trPr>
          <w:tblCellSpacing w:w="15" w:type="dxa"/>
        </w:trPr>
        <w:tc>
          <w:tcPr>
            <w:tcW w:w="1146" w:type="dxa"/>
          </w:tcPr>
          <w:p w14:paraId="6DB66ED2">
            <w:pPr>
              <w:rPr>
                <w:rFonts w:cstheme="minorHAnsi"/>
                <w:sz w:val="20"/>
                <w:szCs w:val="20"/>
              </w:rPr>
            </w:pPr>
            <w:r>
              <w:rPr>
                <w:rFonts w:cstheme="minorHAnsi"/>
                <w:sz w:val="20"/>
                <w:szCs w:val="20"/>
              </w:rPr>
              <w:t>Bridging parameters</w:t>
            </w:r>
          </w:p>
        </w:tc>
        <w:tc>
          <w:tcPr>
            <w:tcW w:w="1130" w:type="dxa"/>
            <w:vAlign w:val="center"/>
          </w:tcPr>
          <w:p w14:paraId="0AC663EE">
            <w:pPr>
              <w:rPr>
                <w:rFonts w:cstheme="minorHAnsi"/>
                <w:sz w:val="20"/>
                <w:szCs w:val="20"/>
              </w:rPr>
            </w:pPr>
            <w:r>
              <w:rPr>
                <w:rFonts w:eastAsia="Arial" w:cstheme="minorHAnsi"/>
                <w:sz w:val="20"/>
                <w:szCs w:val="20"/>
              </w:rPr>
              <w:t>Cross-cultural scaling coefficient</w:t>
            </w:r>
          </w:p>
        </w:tc>
        <w:tc>
          <w:tcPr>
            <w:tcW w:w="913" w:type="dxa"/>
            <w:vAlign w:val="center"/>
          </w:tcPr>
          <w:p w14:paraId="77F45BD4">
            <w:pPr>
              <w:rPr>
                <w:rFonts w:cstheme="minorHAnsi"/>
                <w:sz w:val="20"/>
                <w:szCs w:val="20"/>
              </w:rPr>
            </w:pPr>
            <w:r>
              <w:rPr>
                <w:rFonts w:eastAsia="Arial" w:cstheme="minorHAnsi"/>
                <w:sz w:val="20"/>
                <w:szCs w:val="20"/>
              </w:rPr>
              <w:t>κ</w:t>
            </w:r>
          </w:p>
        </w:tc>
        <w:tc>
          <w:tcPr>
            <w:tcW w:w="699" w:type="dxa"/>
            <w:vAlign w:val="center"/>
          </w:tcPr>
          <w:p w14:paraId="7473C0F5">
            <w:pPr>
              <w:rPr>
                <w:rFonts w:cstheme="minorHAnsi"/>
                <w:sz w:val="20"/>
                <w:szCs w:val="20"/>
              </w:rPr>
            </w:pPr>
            <w:r>
              <w:rPr>
                <w:rFonts w:eastAsia="Arial" w:cstheme="minorHAnsi"/>
                <w:sz w:val="20"/>
                <w:szCs w:val="20"/>
              </w:rPr>
              <w:t>0.90</w:t>
            </w:r>
          </w:p>
        </w:tc>
        <w:tc>
          <w:tcPr>
            <w:tcW w:w="0" w:type="auto"/>
            <w:vAlign w:val="center"/>
          </w:tcPr>
          <w:p w14:paraId="17BE7B68">
            <w:pPr>
              <w:rPr>
                <w:rFonts w:cstheme="minorHAnsi"/>
                <w:sz w:val="20"/>
                <w:szCs w:val="20"/>
              </w:rPr>
            </w:pPr>
            <w:r>
              <w:rPr>
                <w:rFonts w:eastAsia="Arial" w:cstheme="minorHAnsi"/>
                <w:sz w:val="20"/>
                <w:szCs w:val="20"/>
              </w:rPr>
              <w:t>Sensitivity 0.85–0.95; bounds 0.5–1.5</w:t>
            </w:r>
          </w:p>
        </w:tc>
        <w:tc>
          <w:tcPr>
            <w:tcW w:w="1273" w:type="dxa"/>
            <w:vAlign w:val="center"/>
          </w:tcPr>
          <w:p w14:paraId="0190F6C3">
            <w:pPr>
              <w:rPr>
                <w:rFonts w:cstheme="minorHAnsi"/>
                <w:sz w:val="20"/>
                <w:szCs w:val="20"/>
              </w:rPr>
            </w:pPr>
            <w:r>
              <w:rPr>
                <w:rFonts w:eastAsia="Arial" w:cstheme="minorHAnsi"/>
                <w:sz w:val="20"/>
                <w:szCs w:val="20"/>
              </w:rPr>
              <w:t>Uniform</w:t>
            </w:r>
            <w:r>
              <w:rPr>
                <w:rFonts w:hint="eastAsia" w:cstheme="minorHAnsi"/>
                <w:sz w:val="20"/>
                <w:szCs w:val="20"/>
              </w:rPr>
              <w:t xml:space="preserve"> </w:t>
            </w:r>
            <w:r>
              <w:rPr>
                <w:rFonts w:eastAsia="Arial" w:cstheme="minorHAnsi"/>
                <w:sz w:val="20"/>
                <w:szCs w:val="20"/>
              </w:rPr>
              <w:t>(0.85, 0.95)</w:t>
            </w:r>
          </w:p>
        </w:tc>
        <w:tc>
          <w:tcPr>
            <w:tcW w:w="1725" w:type="dxa"/>
            <w:vAlign w:val="center"/>
          </w:tcPr>
          <w:p w14:paraId="3157503C">
            <w:pPr>
              <w:rPr>
                <w:rFonts w:cstheme="minorHAnsi"/>
                <w:sz w:val="20"/>
                <w:szCs w:val="20"/>
              </w:rPr>
            </w:pPr>
            <w:r>
              <w:rPr>
                <w:rFonts w:eastAsia="Arial" w:cstheme="minorHAnsi"/>
                <w:sz w:val="20"/>
                <w:szCs w:val="20"/>
              </w:rPr>
              <w:t>CNLS calibration result reported in original draft</w:t>
            </w:r>
          </w:p>
        </w:tc>
      </w:tr>
      <w:tr w14:paraId="259DDB70">
        <w:tblPrEx>
          <w:tblCellMar>
            <w:top w:w="15" w:type="dxa"/>
            <w:left w:w="15" w:type="dxa"/>
            <w:bottom w:w="15" w:type="dxa"/>
            <w:right w:w="15" w:type="dxa"/>
          </w:tblCellMar>
        </w:tblPrEx>
        <w:trPr>
          <w:tblCellSpacing w:w="15" w:type="dxa"/>
        </w:trPr>
        <w:tc>
          <w:tcPr>
            <w:tcW w:w="1146" w:type="dxa"/>
          </w:tcPr>
          <w:p w14:paraId="4D72022F">
            <w:pPr>
              <w:rPr>
                <w:rFonts w:cstheme="minorHAnsi"/>
                <w:sz w:val="20"/>
                <w:szCs w:val="20"/>
              </w:rPr>
            </w:pPr>
            <w:r>
              <w:rPr>
                <w:rFonts w:cstheme="minorHAnsi"/>
                <w:sz w:val="20"/>
                <w:szCs w:val="20"/>
              </w:rPr>
              <w:t>Bridging parameters</w:t>
            </w:r>
          </w:p>
        </w:tc>
        <w:tc>
          <w:tcPr>
            <w:tcW w:w="1130" w:type="dxa"/>
            <w:vAlign w:val="center"/>
          </w:tcPr>
          <w:p w14:paraId="29CAB565">
            <w:pPr>
              <w:rPr>
                <w:rFonts w:cstheme="minorHAnsi"/>
                <w:sz w:val="20"/>
                <w:szCs w:val="20"/>
              </w:rPr>
            </w:pPr>
            <w:r>
              <w:rPr>
                <w:rFonts w:eastAsia="Arial" w:cstheme="minorHAnsi"/>
                <w:sz w:val="20"/>
                <w:szCs w:val="20"/>
              </w:rPr>
              <w:t>Chinn conversion constant</w:t>
            </w:r>
          </w:p>
        </w:tc>
        <w:tc>
          <w:tcPr>
            <w:tcW w:w="913" w:type="dxa"/>
            <w:vAlign w:val="center"/>
          </w:tcPr>
          <w:p w14:paraId="609DA1E1">
            <w:pPr>
              <w:rPr>
                <w:rFonts w:cstheme="minorHAnsi"/>
                <w:sz w:val="20"/>
                <w:szCs w:val="20"/>
              </w:rPr>
            </w:pPr>
            <w:r>
              <w:rPr>
                <w:rFonts w:eastAsia="Arial" w:cstheme="minorHAnsi"/>
                <w:sz w:val="20"/>
                <w:szCs w:val="20"/>
              </w:rPr>
              <w:t>c</w:t>
            </w:r>
          </w:p>
        </w:tc>
        <w:tc>
          <w:tcPr>
            <w:tcW w:w="699" w:type="dxa"/>
            <w:vAlign w:val="center"/>
          </w:tcPr>
          <w:p w14:paraId="1A582BCD">
            <w:pPr>
              <w:rPr>
                <w:rFonts w:cstheme="minorHAnsi"/>
                <w:sz w:val="20"/>
                <w:szCs w:val="20"/>
              </w:rPr>
            </w:pPr>
            <w:r>
              <w:rPr>
                <w:rFonts w:eastAsia="Arial" w:cstheme="minorHAnsi"/>
                <w:sz w:val="20"/>
                <w:szCs w:val="20"/>
              </w:rPr>
              <w:t>1.814</w:t>
            </w:r>
          </w:p>
        </w:tc>
        <w:tc>
          <w:tcPr>
            <w:tcW w:w="0" w:type="auto"/>
            <w:vAlign w:val="center"/>
          </w:tcPr>
          <w:p w14:paraId="43952300">
            <w:pPr>
              <w:rPr>
                <w:rFonts w:cstheme="minorHAnsi"/>
                <w:sz w:val="20"/>
                <w:szCs w:val="20"/>
              </w:rPr>
            </w:pPr>
            <w:r>
              <w:rPr>
                <w:rFonts w:eastAsia="Arial" w:cstheme="minorHAnsi"/>
                <w:sz w:val="20"/>
                <w:szCs w:val="20"/>
              </w:rPr>
              <w:t>Fixed</w:t>
            </w:r>
          </w:p>
        </w:tc>
        <w:tc>
          <w:tcPr>
            <w:tcW w:w="1273" w:type="dxa"/>
            <w:vAlign w:val="center"/>
          </w:tcPr>
          <w:p w14:paraId="4B6C946F">
            <w:pPr>
              <w:rPr>
                <w:rFonts w:cstheme="minorHAnsi"/>
                <w:sz w:val="20"/>
                <w:szCs w:val="20"/>
              </w:rPr>
            </w:pPr>
            <w:r>
              <w:rPr>
                <w:rFonts w:eastAsia="Arial" w:cstheme="minorHAnsi"/>
                <w:sz w:val="20"/>
                <w:szCs w:val="20"/>
              </w:rPr>
              <w:t>Fixed</w:t>
            </w:r>
          </w:p>
        </w:tc>
        <w:tc>
          <w:tcPr>
            <w:tcW w:w="1725" w:type="dxa"/>
            <w:vAlign w:val="center"/>
          </w:tcPr>
          <w:p w14:paraId="1F875392">
            <w:pPr>
              <w:rPr>
                <w:rFonts w:cstheme="minorHAnsi"/>
                <w:sz w:val="20"/>
                <w:szCs w:val="20"/>
              </w:rPr>
            </w:pPr>
            <w:r>
              <w:rPr>
                <w:rFonts w:eastAsia="Arial" w:cstheme="minorHAnsi"/>
                <w:sz w:val="20"/>
                <w:szCs w:val="20"/>
              </w:rPr>
              <w:fldChar w:fldCharType="begin"/>
            </w:r>
            <w:r>
              <w:rPr>
                <w:rFonts w:eastAsia="Arial" w:cstheme="minorHAnsi"/>
                <w:sz w:val="20"/>
                <w:szCs w:val="20"/>
              </w:rPr>
              <w:instrText xml:space="preserve"> ADDIN EN.CITE &lt;EndNote&gt;&lt;Cite&gt;&lt;Author&gt;Chinn&lt;/Author&gt;&lt;Year&gt;2000&lt;/Year&gt;&lt;RecNum&gt;963&lt;/RecNum&gt;&lt;DisplayText&gt;(Chinn, 2000)&lt;/DisplayText&gt;&lt;record&gt;&lt;rec-number&gt;963&lt;/rec-number&gt;&lt;foreign-keys&gt;&lt;key app="EN" db-id="dsf999xxkeraetetwatv59avzt9w00adesex" timestamp="1772305281"&gt;963&lt;/key&gt;&lt;/foreign-keys&gt;&lt;ref-type name="Journal Article"&gt;17&lt;/ref-type&gt;&lt;contributors&gt;&lt;authors&gt;&lt;author&gt;Chinn, S.&lt;/author&gt;&lt;/authors&gt;&lt;/contributors&gt;&lt;auth-address&gt;Department of Public Health Sciences, King&amp;apos;s College, London, 5th floor, Capital House, 42 Weston Street, London SE1 3QD, UK. sue.chinn@kcl.ac.uk&lt;/auth-address&gt;&lt;titles&gt;&lt;title&gt;A simple method for converting an odds ratio to effect size for use in meta-analysis&lt;/title&gt;&lt;secondary-title&gt;Stat Med&lt;/secondary-title&gt;&lt;/titles&gt;&lt;periodical&gt;&lt;full-title&gt;Stat Med&lt;/full-title&gt;&lt;/periodical&gt;&lt;pages&gt;3127-31&lt;/pages&gt;&lt;volume&gt;19&lt;/volume&gt;&lt;number&gt;22&lt;/number&gt;&lt;keywords&gt;&lt;keyword&gt;Animals&lt;/keyword&gt;&lt;keyword&gt;Asthma/prevention &amp;amp; control&lt;/keyword&gt;&lt;keyword&gt;Dust/adverse effects&lt;/keyword&gt;&lt;keyword&gt;Humans&lt;/keyword&gt;&lt;keyword&gt;*Meta-Analysis as Topic&lt;/keyword&gt;&lt;keyword&gt;Mites&lt;/keyword&gt;&lt;keyword&gt;*Odds Ratio&lt;/keyword&gt;&lt;/keywords&gt;&lt;dates&gt;&lt;year&gt;2000&lt;/year&gt;&lt;pub-dates&gt;&lt;date&gt;Nov 30&lt;/date&gt;&lt;/pub-dates&gt;&lt;/dates&gt;&lt;isbn&gt;0277-6715 (Print)&amp;#xD;0277-6715&lt;/isbn&gt;&lt;accession-num&gt;11113947&lt;/accession-num&gt;&lt;urls&gt;&lt;/urls&gt;&lt;electronic-resource-num&gt;10.1002/1097-0258(20001130)19:22&amp;lt;3127::aid-sim784&amp;gt;3.0.co;2-m&lt;/electronic-resource-num&gt;&lt;remote-database-provider&gt;NLM&lt;/remote-database-provider&gt;&lt;language&gt;eng&lt;/language&gt;&lt;/record&gt;&lt;/Cite&gt;&lt;/EndNote&gt;</w:instrText>
            </w:r>
            <w:r>
              <w:rPr>
                <w:rFonts w:eastAsia="Arial" w:cstheme="minorHAnsi"/>
                <w:sz w:val="20"/>
                <w:szCs w:val="20"/>
              </w:rPr>
              <w:fldChar w:fldCharType="separate"/>
            </w:r>
            <w:r>
              <w:rPr>
                <w:rFonts w:eastAsia="Arial" w:cstheme="minorHAnsi"/>
                <w:sz w:val="20"/>
                <w:szCs w:val="20"/>
              </w:rPr>
              <w:t>(Chinn, 2000)</w:t>
            </w:r>
            <w:r>
              <w:rPr>
                <w:rFonts w:eastAsia="Arial" w:cstheme="minorHAnsi"/>
                <w:sz w:val="20"/>
                <w:szCs w:val="20"/>
              </w:rPr>
              <w:fldChar w:fldCharType="end"/>
            </w:r>
          </w:p>
        </w:tc>
      </w:tr>
      <w:tr w14:paraId="43F38429">
        <w:tblPrEx>
          <w:tblCellMar>
            <w:top w:w="15" w:type="dxa"/>
            <w:left w:w="15" w:type="dxa"/>
            <w:bottom w:w="15" w:type="dxa"/>
            <w:right w:w="15" w:type="dxa"/>
          </w:tblCellMar>
        </w:tblPrEx>
        <w:trPr>
          <w:tblCellSpacing w:w="15" w:type="dxa"/>
        </w:trPr>
        <w:tc>
          <w:tcPr>
            <w:tcW w:w="1146" w:type="dxa"/>
          </w:tcPr>
          <w:p w14:paraId="1438A92B">
            <w:pPr>
              <w:rPr>
                <w:rFonts w:cstheme="minorHAnsi"/>
                <w:sz w:val="20"/>
                <w:szCs w:val="20"/>
              </w:rPr>
            </w:pPr>
            <w:r>
              <w:rPr>
                <w:rFonts w:cstheme="minorHAnsi"/>
                <w:sz w:val="20"/>
                <w:szCs w:val="20"/>
              </w:rPr>
              <w:t>Derived parameters</w:t>
            </w:r>
          </w:p>
        </w:tc>
        <w:tc>
          <w:tcPr>
            <w:tcW w:w="1130" w:type="dxa"/>
            <w:vAlign w:val="center"/>
          </w:tcPr>
          <w:p w14:paraId="5CBE8214">
            <w:pPr>
              <w:rPr>
                <w:rFonts w:cstheme="minorHAnsi"/>
                <w:sz w:val="20"/>
                <w:szCs w:val="20"/>
              </w:rPr>
            </w:pPr>
            <w:r>
              <w:rPr>
                <w:rFonts w:eastAsia="Arial" w:cstheme="minorHAnsi"/>
                <w:sz w:val="20"/>
                <w:szCs w:val="20"/>
              </w:rPr>
              <w:t>OR for anxiety improvement</w:t>
            </w:r>
          </w:p>
        </w:tc>
        <w:tc>
          <w:tcPr>
            <w:tcW w:w="913" w:type="dxa"/>
            <w:vAlign w:val="center"/>
          </w:tcPr>
          <w:p w14:paraId="13912098">
            <w:pPr>
              <w:rPr>
                <w:rFonts w:cstheme="minorHAnsi"/>
                <w:sz w:val="20"/>
                <w:szCs w:val="20"/>
              </w:rPr>
            </w:pPr>
            <w:r>
              <w:rPr>
                <w:rFonts w:eastAsia="Arial" w:cstheme="minorHAnsi"/>
                <w:sz w:val="20"/>
                <w:szCs w:val="20"/>
              </w:rPr>
              <w:t>OR_anx</w:t>
            </w:r>
          </w:p>
        </w:tc>
        <w:tc>
          <w:tcPr>
            <w:tcW w:w="699" w:type="dxa"/>
            <w:vAlign w:val="center"/>
          </w:tcPr>
          <w:p w14:paraId="419C2D34">
            <w:pPr>
              <w:rPr>
                <w:rFonts w:cstheme="minorHAnsi"/>
                <w:sz w:val="20"/>
                <w:szCs w:val="20"/>
              </w:rPr>
            </w:pPr>
            <w:r>
              <w:rPr>
                <w:rFonts w:eastAsia="Arial" w:cstheme="minorHAnsi"/>
                <w:sz w:val="20"/>
                <w:szCs w:val="20"/>
              </w:rPr>
              <w:t>3.62</w:t>
            </w:r>
          </w:p>
        </w:tc>
        <w:tc>
          <w:tcPr>
            <w:tcW w:w="0" w:type="auto"/>
            <w:vAlign w:val="center"/>
          </w:tcPr>
          <w:p w14:paraId="1F7EF065">
            <w:pPr>
              <w:rPr>
                <w:rFonts w:cstheme="minorHAnsi"/>
                <w:sz w:val="20"/>
                <w:szCs w:val="20"/>
              </w:rPr>
            </w:pPr>
            <w:r>
              <w:rPr>
                <w:rFonts w:eastAsia="Arial" w:cstheme="minorHAnsi"/>
                <w:sz w:val="20"/>
                <w:szCs w:val="20"/>
              </w:rPr>
              <w:t>Derived</w:t>
            </w:r>
          </w:p>
        </w:tc>
        <w:tc>
          <w:tcPr>
            <w:tcW w:w="1273" w:type="dxa"/>
            <w:vAlign w:val="center"/>
          </w:tcPr>
          <w:p w14:paraId="63D917A0">
            <w:pPr>
              <w:rPr>
                <w:rFonts w:cstheme="minorHAnsi"/>
                <w:sz w:val="20"/>
                <w:szCs w:val="20"/>
              </w:rPr>
            </w:pPr>
            <w:r>
              <w:rPr>
                <w:rFonts w:eastAsia="Arial" w:cstheme="minorHAnsi"/>
                <w:sz w:val="20"/>
                <w:szCs w:val="20"/>
              </w:rPr>
              <w:t>Derived</w:t>
            </w:r>
          </w:p>
        </w:tc>
        <w:tc>
          <w:tcPr>
            <w:tcW w:w="1725" w:type="dxa"/>
            <w:vAlign w:val="center"/>
          </w:tcPr>
          <w:p w14:paraId="1A6C332A">
            <w:pPr>
              <w:rPr>
                <w:rFonts w:cstheme="minorHAnsi"/>
                <w:sz w:val="20"/>
                <w:szCs w:val="20"/>
              </w:rPr>
            </w:pPr>
            <w:r>
              <w:rPr>
                <w:rFonts w:eastAsia="Arial" w:cstheme="minorHAnsi"/>
                <w:sz w:val="20"/>
                <w:szCs w:val="20"/>
              </w:rPr>
              <w:t>OR_anx = exp(d_BDAS × c)</w:t>
            </w:r>
          </w:p>
        </w:tc>
      </w:tr>
      <w:tr w14:paraId="6FA75BF1">
        <w:tblPrEx>
          <w:tblCellMar>
            <w:top w:w="15" w:type="dxa"/>
            <w:left w:w="15" w:type="dxa"/>
            <w:bottom w:w="15" w:type="dxa"/>
            <w:right w:w="15" w:type="dxa"/>
          </w:tblCellMar>
        </w:tblPrEx>
        <w:trPr>
          <w:tblCellSpacing w:w="15" w:type="dxa"/>
        </w:trPr>
        <w:tc>
          <w:tcPr>
            <w:tcW w:w="1146" w:type="dxa"/>
          </w:tcPr>
          <w:p w14:paraId="37801322">
            <w:pPr>
              <w:rPr>
                <w:rFonts w:cstheme="minorHAnsi"/>
                <w:sz w:val="20"/>
                <w:szCs w:val="20"/>
              </w:rPr>
            </w:pPr>
            <w:r>
              <w:rPr>
                <w:rFonts w:cstheme="minorHAnsi"/>
                <w:sz w:val="20"/>
                <w:szCs w:val="20"/>
              </w:rPr>
              <w:t>Derived parameters</w:t>
            </w:r>
          </w:p>
        </w:tc>
        <w:tc>
          <w:tcPr>
            <w:tcW w:w="1130" w:type="dxa"/>
            <w:vAlign w:val="center"/>
          </w:tcPr>
          <w:p w14:paraId="476AD658">
            <w:pPr>
              <w:rPr>
                <w:rFonts w:cstheme="minorHAnsi"/>
                <w:sz w:val="20"/>
                <w:szCs w:val="20"/>
              </w:rPr>
            </w:pPr>
            <w:r>
              <w:rPr>
                <w:rFonts w:eastAsia="Arial" w:cstheme="minorHAnsi"/>
                <w:sz w:val="20"/>
                <w:szCs w:val="20"/>
              </w:rPr>
              <w:t>Serial indirect effect</w:t>
            </w:r>
          </w:p>
        </w:tc>
        <w:tc>
          <w:tcPr>
            <w:tcW w:w="913" w:type="dxa"/>
            <w:vAlign w:val="center"/>
          </w:tcPr>
          <w:p w14:paraId="68ADC363">
            <w:pPr>
              <w:rPr>
                <w:rFonts w:cstheme="minorHAnsi"/>
                <w:sz w:val="20"/>
                <w:szCs w:val="20"/>
              </w:rPr>
            </w:pPr>
            <w:r>
              <w:rPr>
                <w:rFonts w:eastAsia="Arial" w:cstheme="minorHAnsi"/>
                <w:sz w:val="20"/>
                <w:szCs w:val="20"/>
              </w:rPr>
              <w:t>β_total</w:t>
            </w:r>
          </w:p>
        </w:tc>
        <w:tc>
          <w:tcPr>
            <w:tcW w:w="699" w:type="dxa"/>
            <w:vAlign w:val="center"/>
          </w:tcPr>
          <w:p w14:paraId="6D2D8980">
            <w:pPr>
              <w:rPr>
                <w:rFonts w:cstheme="minorHAnsi"/>
                <w:sz w:val="20"/>
                <w:szCs w:val="20"/>
              </w:rPr>
            </w:pPr>
            <w:r>
              <w:rPr>
                <w:rFonts w:eastAsia="Arial" w:cstheme="minorHAnsi"/>
                <w:sz w:val="20"/>
                <w:szCs w:val="20"/>
              </w:rPr>
              <w:t>Derived</w:t>
            </w:r>
          </w:p>
        </w:tc>
        <w:tc>
          <w:tcPr>
            <w:tcW w:w="0" w:type="auto"/>
            <w:vAlign w:val="center"/>
          </w:tcPr>
          <w:p w14:paraId="0700D9DB">
            <w:pPr>
              <w:rPr>
                <w:rFonts w:cstheme="minorHAnsi"/>
                <w:sz w:val="20"/>
                <w:szCs w:val="20"/>
              </w:rPr>
            </w:pPr>
            <w:r>
              <w:rPr>
                <w:rFonts w:eastAsia="Arial" w:cstheme="minorHAnsi"/>
                <w:sz w:val="20"/>
                <w:szCs w:val="20"/>
              </w:rPr>
              <w:t>Derived</w:t>
            </w:r>
          </w:p>
        </w:tc>
        <w:tc>
          <w:tcPr>
            <w:tcW w:w="1273" w:type="dxa"/>
            <w:vAlign w:val="center"/>
          </w:tcPr>
          <w:p w14:paraId="46B25ED4">
            <w:pPr>
              <w:rPr>
                <w:rFonts w:cstheme="minorHAnsi"/>
                <w:sz w:val="20"/>
                <w:szCs w:val="20"/>
              </w:rPr>
            </w:pPr>
            <w:r>
              <w:rPr>
                <w:rFonts w:eastAsia="Arial" w:cstheme="minorHAnsi"/>
                <w:sz w:val="20"/>
                <w:szCs w:val="20"/>
              </w:rPr>
              <w:t>Derived</w:t>
            </w:r>
          </w:p>
        </w:tc>
        <w:tc>
          <w:tcPr>
            <w:tcW w:w="1725" w:type="dxa"/>
            <w:vAlign w:val="center"/>
          </w:tcPr>
          <w:p w14:paraId="43ECD4AA">
            <w:pPr>
              <w:rPr>
                <w:rFonts w:cstheme="minorHAnsi"/>
                <w:sz w:val="20"/>
                <w:szCs w:val="20"/>
              </w:rPr>
            </w:pPr>
            <w:r>
              <w:rPr>
                <w:rFonts w:eastAsia="Arial" w:cstheme="minorHAnsi"/>
                <w:sz w:val="20"/>
                <w:szCs w:val="20"/>
              </w:rPr>
              <w:t>β_total = (-β1) × β2</w:t>
            </w:r>
          </w:p>
        </w:tc>
      </w:tr>
      <w:tr w14:paraId="734A558D">
        <w:tblPrEx>
          <w:tblCellMar>
            <w:top w:w="15" w:type="dxa"/>
            <w:left w:w="15" w:type="dxa"/>
            <w:bottom w:w="15" w:type="dxa"/>
            <w:right w:w="15" w:type="dxa"/>
          </w:tblCellMar>
        </w:tblPrEx>
        <w:trPr>
          <w:tblCellSpacing w:w="15" w:type="dxa"/>
        </w:trPr>
        <w:tc>
          <w:tcPr>
            <w:tcW w:w="1146" w:type="dxa"/>
          </w:tcPr>
          <w:p w14:paraId="2CDABD7B">
            <w:pPr>
              <w:rPr>
                <w:rFonts w:cstheme="minorHAnsi"/>
                <w:sz w:val="20"/>
                <w:szCs w:val="20"/>
              </w:rPr>
            </w:pPr>
            <w:r>
              <w:rPr>
                <w:rFonts w:cstheme="minorHAnsi"/>
                <w:sz w:val="20"/>
                <w:szCs w:val="20"/>
              </w:rPr>
              <w:t>Derived parameters</w:t>
            </w:r>
          </w:p>
        </w:tc>
        <w:tc>
          <w:tcPr>
            <w:tcW w:w="1130" w:type="dxa"/>
            <w:vAlign w:val="center"/>
          </w:tcPr>
          <w:p w14:paraId="5EA3DDBD">
            <w:pPr>
              <w:rPr>
                <w:rFonts w:cstheme="minorHAnsi"/>
                <w:sz w:val="20"/>
                <w:szCs w:val="20"/>
              </w:rPr>
            </w:pPr>
            <w:r>
              <w:rPr>
                <w:rFonts w:eastAsia="Arial" w:cstheme="minorHAnsi"/>
                <w:sz w:val="20"/>
                <w:szCs w:val="20"/>
              </w:rPr>
              <w:t>12-month retention relative risk</w:t>
            </w:r>
          </w:p>
        </w:tc>
        <w:tc>
          <w:tcPr>
            <w:tcW w:w="913" w:type="dxa"/>
            <w:vAlign w:val="center"/>
          </w:tcPr>
          <w:p w14:paraId="4F7E957E">
            <w:pPr>
              <w:rPr>
                <w:rFonts w:cstheme="minorHAnsi"/>
                <w:sz w:val="20"/>
                <w:szCs w:val="20"/>
              </w:rPr>
            </w:pPr>
            <w:r>
              <w:rPr>
                <w:rFonts w:eastAsia="Arial" w:cstheme="minorHAnsi"/>
                <w:sz w:val="20"/>
                <w:szCs w:val="20"/>
              </w:rPr>
              <w:t>RR</w:t>
            </w:r>
          </w:p>
        </w:tc>
        <w:tc>
          <w:tcPr>
            <w:tcW w:w="699" w:type="dxa"/>
            <w:vAlign w:val="center"/>
          </w:tcPr>
          <w:p w14:paraId="4639E9F3">
            <w:pPr>
              <w:rPr>
                <w:rFonts w:cstheme="minorHAnsi"/>
                <w:sz w:val="20"/>
                <w:szCs w:val="20"/>
              </w:rPr>
            </w:pPr>
            <w:r>
              <w:rPr>
                <w:rFonts w:eastAsia="Arial" w:cstheme="minorHAnsi"/>
                <w:sz w:val="20"/>
                <w:szCs w:val="20"/>
              </w:rPr>
              <w:t>1.21</w:t>
            </w:r>
          </w:p>
        </w:tc>
        <w:tc>
          <w:tcPr>
            <w:tcW w:w="0" w:type="auto"/>
            <w:vAlign w:val="center"/>
          </w:tcPr>
          <w:p w14:paraId="36D0EDB0">
            <w:pPr>
              <w:rPr>
                <w:rFonts w:cstheme="minorHAnsi"/>
                <w:sz w:val="20"/>
                <w:szCs w:val="20"/>
              </w:rPr>
            </w:pPr>
            <w:r>
              <w:rPr>
                <w:rFonts w:eastAsia="Arial" w:cstheme="minorHAnsi"/>
                <w:sz w:val="20"/>
                <w:szCs w:val="20"/>
              </w:rPr>
              <w:t>95% range 1.08–1.35</w:t>
            </w:r>
          </w:p>
        </w:tc>
        <w:tc>
          <w:tcPr>
            <w:tcW w:w="1273" w:type="dxa"/>
            <w:vAlign w:val="center"/>
          </w:tcPr>
          <w:p w14:paraId="083B4DAF">
            <w:pPr>
              <w:rPr>
                <w:rFonts w:cstheme="minorHAnsi"/>
                <w:sz w:val="20"/>
                <w:szCs w:val="20"/>
              </w:rPr>
            </w:pPr>
            <w:r>
              <w:rPr>
                <w:rFonts w:eastAsia="Arial" w:cstheme="minorHAnsi"/>
                <w:sz w:val="20"/>
                <w:szCs w:val="20"/>
              </w:rPr>
              <w:t>Derived from β1, β2, and d_BDAS</w:t>
            </w:r>
          </w:p>
        </w:tc>
        <w:tc>
          <w:tcPr>
            <w:tcW w:w="1725" w:type="dxa"/>
            <w:vAlign w:val="center"/>
          </w:tcPr>
          <w:p w14:paraId="661FF6C2">
            <w:pPr>
              <w:rPr>
                <w:rFonts w:cstheme="minorHAnsi"/>
                <w:sz w:val="20"/>
                <w:szCs w:val="20"/>
              </w:rPr>
            </w:pPr>
            <w:r>
              <w:rPr>
                <w:rFonts w:eastAsia="Arial" w:cstheme="minorHAnsi"/>
                <w:sz w:val="20"/>
                <w:szCs w:val="20"/>
              </w:rPr>
              <w:t>RR = exp[β_total × ln(OR_anx)]</w:t>
            </w:r>
          </w:p>
        </w:tc>
      </w:tr>
      <w:tr w14:paraId="6FFBE1F9">
        <w:tblPrEx>
          <w:tblCellMar>
            <w:top w:w="15" w:type="dxa"/>
            <w:left w:w="15" w:type="dxa"/>
            <w:bottom w:w="15" w:type="dxa"/>
            <w:right w:w="15" w:type="dxa"/>
          </w:tblCellMar>
        </w:tblPrEx>
        <w:trPr>
          <w:tblCellSpacing w:w="15" w:type="dxa"/>
        </w:trPr>
        <w:tc>
          <w:tcPr>
            <w:tcW w:w="1146" w:type="dxa"/>
          </w:tcPr>
          <w:p w14:paraId="28F540CB">
            <w:pPr>
              <w:rPr>
                <w:rFonts w:cstheme="minorHAnsi"/>
                <w:sz w:val="20"/>
                <w:szCs w:val="20"/>
              </w:rPr>
            </w:pPr>
            <w:r>
              <w:rPr>
                <w:rFonts w:cstheme="minorHAnsi"/>
                <w:sz w:val="20"/>
                <w:szCs w:val="20"/>
              </w:rPr>
              <w:t>Markov structure</w:t>
            </w:r>
          </w:p>
        </w:tc>
        <w:tc>
          <w:tcPr>
            <w:tcW w:w="1130" w:type="dxa"/>
            <w:vAlign w:val="center"/>
          </w:tcPr>
          <w:p w14:paraId="63C37CE4">
            <w:pPr>
              <w:rPr>
                <w:rFonts w:cstheme="minorHAnsi"/>
                <w:sz w:val="20"/>
                <w:szCs w:val="20"/>
              </w:rPr>
            </w:pPr>
            <w:r>
              <w:rPr>
                <w:rFonts w:eastAsia="Arial" w:cstheme="minorHAnsi"/>
                <w:sz w:val="20"/>
                <w:szCs w:val="20"/>
              </w:rPr>
              <w:t>Dormant tunnel states</w:t>
            </w:r>
          </w:p>
        </w:tc>
        <w:tc>
          <w:tcPr>
            <w:tcW w:w="913" w:type="dxa"/>
            <w:vAlign w:val="center"/>
          </w:tcPr>
          <w:p w14:paraId="5D9B2C2A">
            <w:pPr>
              <w:rPr>
                <w:rFonts w:cstheme="minorHAnsi"/>
                <w:sz w:val="20"/>
                <w:szCs w:val="20"/>
              </w:rPr>
            </w:pPr>
            <w:r>
              <w:rPr>
                <w:rFonts w:eastAsia="Arial" w:cstheme="minorHAnsi"/>
                <w:sz w:val="20"/>
                <w:szCs w:val="20"/>
              </w:rPr>
              <w:t>D1–D12</w:t>
            </w:r>
          </w:p>
        </w:tc>
        <w:tc>
          <w:tcPr>
            <w:tcW w:w="699" w:type="dxa"/>
            <w:vAlign w:val="center"/>
          </w:tcPr>
          <w:p w14:paraId="24FA3255">
            <w:pPr>
              <w:rPr>
                <w:rFonts w:cstheme="minorHAnsi"/>
                <w:sz w:val="20"/>
                <w:szCs w:val="20"/>
              </w:rPr>
            </w:pPr>
            <w:r>
              <w:rPr>
                <w:rFonts w:eastAsia="Arial" w:cstheme="minorHAnsi"/>
                <w:sz w:val="20"/>
                <w:szCs w:val="20"/>
              </w:rPr>
              <w:t>12 states</w:t>
            </w:r>
          </w:p>
        </w:tc>
        <w:tc>
          <w:tcPr>
            <w:tcW w:w="0" w:type="auto"/>
            <w:vAlign w:val="center"/>
          </w:tcPr>
          <w:p w14:paraId="2D69B003">
            <w:pPr>
              <w:rPr>
                <w:rFonts w:cstheme="minorHAnsi"/>
                <w:sz w:val="20"/>
                <w:szCs w:val="20"/>
              </w:rPr>
            </w:pPr>
            <w:r>
              <w:rPr>
                <w:rFonts w:eastAsia="Arial" w:cstheme="minorHAnsi"/>
                <w:sz w:val="20"/>
                <w:szCs w:val="20"/>
              </w:rPr>
              <w:t>Fixed</w:t>
            </w:r>
          </w:p>
        </w:tc>
        <w:tc>
          <w:tcPr>
            <w:tcW w:w="1273" w:type="dxa"/>
            <w:vAlign w:val="center"/>
          </w:tcPr>
          <w:p w14:paraId="4A92215B">
            <w:pPr>
              <w:rPr>
                <w:rFonts w:cstheme="minorHAnsi"/>
                <w:sz w:val="20"/>
                <w:szCs w:val="20"/>
              </w:rPr>
            </w:pPr>
            <w:r>
              <w:rPr>
                <w:rFonts w:eastAsia="Arial" w:cstheme="minorHAnsi"/>
                <w:sz w:val="20"/>
                <w:szCs w:val="20"/>
              </w:rPr>
              <w:t>Fixed</w:t>
            </w:r>
          </w:p>
        </w:tc>
        <w:tc>
          <w:tcPr>
            <w:tcW w:w="1725" w:type="dxa"/>
            <w:vAlign w:val="center"/>
          </w:tcPr>
          <w:p w14:paraId="631677B9">
            <w:pPr>
              <w:rPr>
                <w:rFonts w:cstheme="minorHAnsi"/>
                <w:sz w:val="20"/>
                <w:szCs w:val="20"/>
              </w:rPr>
            </w:pPr>
            <w:r>
              <w:rPr>
                <w:rFonts w:eastAsia="Arial" w:cstheme="minorHAnsi"/>
                <w:sz w:val="20"/>
                <w:szCs w:val="20"/>
              </w:rPr>
              <w:t>Model definition (Methods)</w:t>
            </w:r>
          </w:p>
        </w:tc>
      </w:tr>
      <w:tr w14:paraId="64FBA274">
        <w:tblPrEx>
          <w:tblCellMar>
            <w:top w:w="15" w:type="dxa"/>
            <w:left w:w="15" w:type="dxa"/>
            <w:bottom w:w="15" w:type="dxa"/>
            <w:right w:w="15" w:type="dxa"/>
          </w:tblCellMar>
        </w:tblPrEx>
        <w:trPr>
          <w:tblCellSpacing w:w="15" w:type="dxa"/>
        </w:trPr>
        <w:tc>
          <w:tcPr>
            <w:tcW w:w="1146" w:type="dxa"/>
          </w:tcPr>
          <w:p w14:paraId="0B254B68">
            <w:pPr>
              <w:rPr>
                <w:rFonts w:cstheme="minorHAnsi"/>
                <w:sz w:val="20"/>
                <w:szCs w:val="20"/>
              </w:rPr>
            </w:pPr>
            <w:r>
              <w:rPr>
                <w:rFonts w:cstheme="minorHAnsi"/>
                <w:sz w:val="20"/>
                <w:szCs w:val="20"/>
              </w:rPr>
              <w:t>Markov structure</w:t>
            </w:r>
          </w:p>
        </w:tc>
        <w:tc>
          <w:tcPr>
            <w:tcW w:w="1130" w:type="dxa"/>
            <w:vAlign w:val="center"/>
          </w:tcPr>
          <w:p w14:paraId="30CA7E71">
            <w:pPr>
              <w:rPr>
                <w:rFonts w:cstheme="minorHAnsi"/>
                <w:sz w:val="20"/>
                <w:szCs w:val="20"/>
              </w:rPr>
            </w:pPr>
            <w:r>
              <w:rPr>
                <w:rFonts w:eastAsia="Arial" w:cstheme="minorHAnsi"/>
                <w:sz w:val="20"/>
                <w:szCs w:val="20"/>
              </w:rPr>
              <w:t>Weibull shape</w:t>
            </w:r>
          </w:p>
        </w:tc>
        <w:tc>
          <w:tcPr>
            <w:tcW w:w="913" w:type="dxa"/>
            <w:vAlign w:val="center"/>
          </w:tcPr>
          <w:p w14:paraId="63618E97">
            <w:pPr>
              <w:rPr>
                <w:rFonts w:cstheme="minorHAnsi"/>
                <w:sz w:val="20"/>
                <w:szCs w:val="20"/>
              </w:rPr>
            </w:pPr>
            <w:r>
              <w:rPr>
                <w:rFonts w:eastAsia="Arial" w:cstheme="minorHAnsi"/>
                <w:sz w:val="20"/>
                <w:szCs w:val="20"/>
              </w:rPr>
              <w:t>k</w:t>
            </w:r>
          </w:p>
        </w:tc>
        <w:tc>
          <w:tcPr>
            <w:tcW w:w="699" w:type="dxa"/>
            <w:vAlign w:val="center"/>
          </w:tcPr>
          <w:p w14:paraId="30A81305">
            <w:pPr>
              <w:rPr>
                <w:rFonts w:cstheme="minorHAnsi"/>
                <w:sz w:val="20"/>
                <w:szCs w:val="20"/>
              </w:rPr>
            </w:pPr>
            <w:r>
              <w:rPr>
                <w:rFonts w:eastAsia="Arial" w:cstheme="minorHAnsi"/>
                <w:sz w:val="20"/>
                <w:szCs w:val="20"/>
              </w:rPr>
              <w:t>1.8</w:t>
            </w:r>
          </w:p>
        </w:tc>
        <w:tc>
          <w:tcPr>
            <w:tcW w:w="0" w:type="auto"/>
            <w:vAlign w:val="center"/>
          </w:tcPr>
          <w:p w14:paraId="3AEE6A54">
            <w:pPr>
              <w:rPr>
                <w:rFonts w:cstheme="minorHAnsi"/>
                <w:sz w:val="20"/>
                <w:szCs w:val="20"/>
              </w:rPr>
            </w:pPr>
            <w:r>
              <w:rPr>
                <w:rFonts w:eastAsia="Arial" w:cstheme="minorHAnsi"/>
                <w:sz w:val="20"/>
                <w:szCs w:val="20"/>
              </w:rPr>
              <w:t>Fixed</w:t>
            </w:r>
          </w:p>
        </w:tc>
        <w:tc>
          <w:tcPr>
            <w:tcW w:w="1273" w:type="dxa"/>
            <w:vAlign w:val="center"/>
          </w:tcPr>
          <w:p w14:paraId="6771E53D">
            <w:pPr>
              <w:rPr>
                <w:rFonts w:cstheme="minorHAnsi"/>
                <w:sz w:val="20"/>
                <w:szCs w:val="20"/>
              </w:rPr>
            </w:pPr>
            <w:r>
              <w:rPr>
                <w:rFonts w:eastAsia="Arial" w:cstheme="minorHAnsi"/>
                <w:sz w:val="20"/>
                <w:szCs w:val="20"/>
              </w:rPr>
              <w:t>Fixed</w:t>
            </w:r>
          </w:p>
        </w:tc>
        <w:tc>
          <w:tcPr>
            <w:tcW w:w="1725" w:type="dxa"/>
            <w:vAlign w:val="center"/>
          </w:tcPr>
          <w:p w14:paraId="1774555E">
            <w:pPr>
              <w:rPr>
                <w:rFonts w:hint="eastAsia" w:cstheme="minorHAnsi"/>
                <w:sz w:val="20"/>
                <w:szCs w:val="20"/>
              </w:rPr>
            </w:pPr>
            <w:r>
              <w:rPr>
                <w:rFonts w:cstheme="minorHAnsi"/>
                <w:sz w:val="20"/>
                <w:szCs w:val="20"/>
              </w:rPr>
              <w:fldChar w:fldCharType="begin">
                <w:fldData xml:space="preserve">PEVuZE5vdGU+PENpdGU+PEF1dGhvcj5MaTwvQXV0aG9yPjxZZWFyPjIwMjE8L1llYXI+PFJlY051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L2N1c3RvbTE+PGN1c3RvbTI+UE1DODY0NTU4NDwvY3VzdG9tMj48ZWxlY3Ryb25pYy1yZXNvdXJj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PEVuZE5vdGU+PENpdGU+PEF1dGhvcj5MaTwvQXV0aG9yPjxZZWFyPjIwMjE8L1llYXI+PFJlY051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L2N1c3RvbTE+PGN1c3RvbTI+UE1DODY0NTU4NDwvY3VzdG9tMj48ZWxlY3Ryb25pYy1yZXNvdXJj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</w:fldData>
              </w:fldChar>
            </w:r>
            <w:r>
              <w:rPr>
                <w:rFonts w:cstheme="minorHAnsi"/>
                <w:sz w:val="20"/>
                <w:szCs w:val="20"/>
              </w:rPr>
              <w:instrText xml:space="preserve"> ADDIN EN.CITE.DATA </w:instrText>
            </w:r>
            <w:r>
              <w:rPr>
                <w:rFonts w:cstheme="minorHAnsi"/>
                <w:sz w:val="20"/>
                <w:szCs w:val="20"/>
              </w:rPr>
              <w:fldChar w:fldCharType="end"/>
            </w:r>
            <w:r>
              <w:rPr>
                <w:rFonts w:cstheme="minorHAnsi"/>
                <w:sz w:val="20"/>
                <w:szCs w:val="20"/>
              </w:rPr>
              <w:fldChar w:fldCharType="separate"/>
            </w:r>
            <w:r>
              <w:rPr>
                <w:rFonts w:cstheme="minorHAnsi"/>
                <w:sz w:val="20"/>
                <w:szCs w:val="20"/>
              </w:rPr>
              <w:t>(Li et al., 2021; Weidmann et al., 2012)</w:t>
            </w:r>
            <w:r>
              <w:rPr>
                <w:rFonts w:cstheme="minorHAnsi"/>
                <w:sz w:val="20"/>
                <w:szCs w:val="20"/>
              </w:rPr>
              <w:fldChar w:fldCharType="end"/>
            </w:r>
          </w:p>
        </w:tc>
      </w:tr>
      <w:tr w14:paraId="0FD12DB0">
        <w:tblPrEx>
          <w:tblCellMar>
            <w:top w:w="15" w:type="dxa"/>
            <w:left w:w="15" w:type="dxa"/>
            <w:bottom w:w="15" w:type="dxa"/>
            <w:right w:w="15" w:type="dxa"/>
          </w:tblCellMar>
        </w:tblPrEx>
        <w:trPr>
          <w:tblCellSpacing w:w="15" w:type="dxa"/>
        </w:trPr>
        <w:tc>
          <w:tcPr>
            <w:tcW w:w="1146" w:type="dxa"/>
          </w:tcPr>
          <w:p w14:paraId="0DD7DD52">
            <w:pPr>
              <w:rPr>
                <w:rFonts w:cstheme="minorHAnsi"/>
                <w:sz w:val="20"/>
                <w:szCs w:val="20"/>
              </w:rPr>
            </w:pPr>
            <w:r>
              <w:rPr>
                <w:rFonts w:cstheme="minorHAnsi"/>
                <w:sz w:val="20"/>
                <w:szCs w:val="20"/>
              </w:rPr>
              <w:t>Markov structure</w:t>
            </w:r>
          </w:p>
        </w:tc>
        <w:tc>
          <w:tcPr>
            <w:tcW w:w="1130" w:type="dxa"/>
            <w:vAlign w:val="center"/>
          </w:tcPr>
          <w:p w14:paraId="2D524A76">
            <w:pPr>
              <w:rPr>
                <w:rFonts w:cstheme="minorHAnsi"/>
                <w:sz w:val="20"/>
                <w:szCs w:val="20"/>
              </w:rPr>
            </w:pPr>
            <w:r>
              <w:rPr>
                <w:rFonts w:eastAsia="Arial" w:cstheme="minorHAnsi"/>
                <w:sz w:val="20"/>
                <w:szCs w:val="20"/>
              </w:rPr>
              <w:t>Weibull scale</w:t>
            </w:r>
          </w:p>
        </w:tc>
        <w:tc>
          <w:tcPr>
            <w:tcW w:w="913" w:type="dxa"/>
            <w:vAlign w:val="center"/>
          </w:tcPr>
          <w:p w14:paraId="48FF6922">
            <w:pPr>
              <w:rPr>
                <w:rFonts w:cstheme="minorHAnsi"/>
                <w:sz w:val="20"/>
                <w:szCs w:val="20"/>
              </w:rPr>
            </w:pPr>
            <w:r>
              <w:rPr>
                <w:rFonts w:eastAsia="Arial" w:cstheme="minorHAnsi"/>
                <w:sz w:val="20"/>
                <w:szCs w:val="20"/>
              </w:rPr>
              <w:t>λ_w</w:t>
            </w:r>
          </w:p>
        </w:tc>
        <w:tc>
          <w:tcPr>
            <w:tcW w:w="699" w:type="dxa"/>
            <w:vAlign w:val="center"/>
          </w:tcPr>
          <w:p w14:paraId="09711625">
            <w:pPr>
              <w:rPr>
                <w:rFonts w:cstheme="minorHAnsi"/>
                <w:sz w:val="20"/>
                <w:szCs w:val="20"/>
              </w:rPr>
            </w:pPr>
            <w:r>
              <w:rPr>
                <w:rFonts w:eastAsia="Arial" w:cstheme="minorHAnsi"/>
                <w:sz w:val="20"/>
                <w:szCs w:val="20"/>
              </w:rPr>
              <w:t>0.15</w:t>
            </w:r>
          </w:p>
        </w:tc>
        <w:tc>
          <w:tcPr>
            <w:tcW w:w="0" w:type="auto"/>
            <w:vAlign w:val="center"/>
          </w:tcPr>
          <w:p w14:paraId="526B4648">
            <w:pPr>
              <w:rPr>
                <w:rFonts w:cstheme="minorHAnsi"/>
                <w:sz w:val="20"/>
                <w:szCs w:val="20"/>
              </w:rPr>
            </w:pPr>
            <w:r>
              <w:rPr>
                <w:rFonts w:eastAsia="Arial" w:cstheme="minorHAnsi"/>
                <w:sz w:val="20"/>
                <w:szCs w:val="20"/>
              </w:rPr>
              <w:t>Fixed</w:t>
            </w:r>
          </w:p>
        </w:tc>
        <w:tc>
          <w:tcPr>
            <w:tcW w:w="1273" w:type="dxa"/>
            <w:vAlign w:val="center"/>
          </w:tcPr>
          <w:p w14:paraId="787424E0">
            <w:pPr>
              <w:rPr>
                <w:rFonts w:cstheme="minorHAnsi"/>
                <w:sz w:val="20"/>
                <w:szCs w:val="20"/>
              </w:rPr>
            </w:pPr>
            <w:r>
              <w:rPr>
                <w:rFonts w:eastAsia="Arial" w:cstheme="minorHAnsi"/>
                <w:sz w:val="20"/>
                <w:szCs w:val="20"/>
              </w:rPr>
              <w:t>Fixed</w:t>
            </w:r>
          </w:p>
        </w:tc>
        <w:tc>
          <w:tcPr>
            <w:tcW w:w="1725" w:type="dxa"/>
            <w:vAlign w:val="center"/>
          </w:tcPr>
          <w:p w14:paraId="1AB794B9">
            <w:pPr>
              <w:rPr>
                <w:rFonts w:cstheme="minorHAnsi"/>
                <w:sz w:val="20"/>
                <w:szCs w:val="20"/>
              </w:rPr>
            </w:pPr>
            <w:r>
              <w:rPr>
                <w:rFonts w:cstheme="minorHAnsi"/>
                <w:sz w:val="20"/>
                <w:szCs w:val="20"/>
              </w:rPr>
              <w:fldChar w:fldCharType="begin">
                <w:fldData xml:space="preserve">PEVuZE5vdGU+PENpdGU+PEF1dGhvcj5MaTwvQXV0aG9yPjxZZWFyPjIwMjE8L1llYXI+PFJlY051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L2N1c3RvbTE+PGN1c3RvbTI+UE1DODY0NTU4NDwvY3VzdG9tMj48ZWxlY3Ryb25pYy1yZXNvdXJj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PEVuZE5vdGU+PENpdGU+PEF1dGhvcj5MaTwvQXV0aG9yPjxZZWFyPjIwMjE8L1llYXI+PFJlY051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L2N1c3RvbTE+PGN1c3RvbTI+UE1DODY0NTU4NDwvY3VzdG9tMj48ZWxlY3Ryb25pYy1yZXNvdXJj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</w:fldData>
              </w:fldChar>
            </w:r>
            <w:r>
              <w:rPr>
                <w:rFonts w:cstheme="minorHAnsi"/>
                <w:sz w:val="20"/>
                <w:szCs w:val="20"/>
              </w:rPr>
              <w:instrText xml:space="preserve"> ADDIN EN.CITE.DATA </w:instrText>
            </w:r>
            <w:r>
              <w:rPr>
                <w:rFonts w:cstheme="minorHAnsi"/>
                <w:sz w:val="20"/>
                <w:szCs w:val="20"/>
              </w:rPr>
              <w:fldChar w:fldCharType="end"/>
            </w:r>
            <w:r>
              <w:rPr>
                <w:rFonts w:cstheme="minorHAnsi"/>
                <w:sz w:val="20"/>
                <w:szCs w:val="20"/>
              </w:rPr>
              <w:fldChar w:fldCharType="separate"/>
            </w:r>
            <w:r>
              <w:rPr>
                <w:rFonts w:cstheme="minorHAnsi"/>
                <w:sz w:val="20"/>
                <w:szCs w:val="20"/>
              </w:rPr>
              <w:t>(Li et al., 2021; Weidmann et al., 2012)</w:t>
            </w:r>
            <w:r>
              <w:rPr>
                <w:rFonts w:cstheme="minorHAnsi"/>
                <w:sz w:val="20"/>
                <w:szCs w:val="20"/>
              </w:rPr>
              <w:fldChar w:fldCharType="end"/>
            </w:r>
          </w:p>
        </w:tc>
      </w:tr>
    </w:tbl>
    <w:p w14:paraId="0BE589F0">
      <w:pPr>
        <w:rPr>
          <w:rFonts w:eastAsia="Arial" w:cstheme="minorHAnsi"/>
        </w:rPr>
      </w:pPr>
      <w:r>
        <w:rPr>
          <w:rFonts w:eastAsia="Arial" w:cstheme="minorHAnsi"/>
        </w:rPr>
        <w:t>Supplementary Table S2 lists non-cost model inputs, base-case values, uncertainty ranges, probabilistic sensitivity analysis (PSA) distributions, and data sources. Incremental cost inputs are reported separately in Supplementary Table S1.No discounting was applied because the analytic horizon was 12 months.</w:t>
      </w:r>
    </w:p>
    <w:p w14:paraId="50CAC95C">
      <w:r>
        <w:rPr>
          <w:b/>
        </w:rPr>
        <w:t xml:space="preserve">Notes. </w:t>
      </w:r>
      <w:r>
        <w:t>The Beta distribution for p0 was chosen to approximate a mean of 0.192 and an uncertainty width comparable to 0.115–0.241. If you prefer to preserve the reported bounds exactly, this can be replaced with a triangular distribution Triangular</w:t>
      </w:r>
      <w:r>
        <w:rPr>
          <w:rFonts w:hint="eastAsia"/>
        </w:rPr>
        <w:t xml:space="preserve"> </w:t>
      </w:r>
      <w:r>
        <w:t>(0.115, 0.192, 0.241). The approximate SD for Cohen’s d uses n=240/group: var(d) = (n1+n2)/(n1·n2) + d²/[2(n1+n2−2)]. Cost inputs are reported separately in Supplementary Table S1.</w:t>
      </w:r>
    </w:p>
    <w:p w14:paraId="7A734BE0"/>
    <w:p w14:paraId="0F97D0B5">
      <w:pPr>
        <w:rPr>
          <w:b/>
          <w:bCs/>
        </w:rPr>
      </w:pPr>
      <w:r>
        <w:rPr>
          <w:rFonts w:hint="eastAsia"/>
          <w:b/>
          <w:bCs/>
        </w:rPr>
        <w:t xml:space="preserve">Table S3. </w:t>
      </w:r>
      <w:r>
        <w:rPr>
          <w:b/>
          <w:bCs/>
        </w:rPr>
        <w:t>Estimated recruitment cost per blood donor derived from publicly available budget reports of 23 blood centres in China (2023–202</w:t>
      </w:r>
      <w:r>
        <w:rPr>
          <w:rFonts w:hint="eastAsia"/>
          <w:b/>
          <w:bCs/>
          <w:lang w:val="en-US" w:eastAsia="zh-CN"/>
        </w:rPr>
        <w:t>6</w:t>
      </w:r>
      <w:r>
        <w:rPr>
          <w:b/>
          <w:bCs/>
        </w:rPr>
        <w:t>)</w:t>
      </w:r>
      <w:bookmarkStart w:id="0" w:name="_GoBack"/>
      <w:bookmarkEnd w:id="0"/>
    </w:p>
    <w:tbl>
      <w:tblPr>
        <w:tblStyle w:val="16"/>
        <w:tblW w:w="0" w:type="auto"/>
        <w:tblCellSpacing w:w="15" w:type="dxa"/>
        <w:tblInd w:w="0" w:type="dxa"/>
        <w:tblLayout w:type="autofit"/>
        <w:tblCellMar>
          <w:top w:w="15" w:type="dxa"/>
          <w:left w:w="15" w:type="dxa"/>
          <w:bottom w:w="15" w:type="dxa"/>
          <w:right w:w="15" w:type="dxa"/>
        </w:tblCellMar>
      </w:tblPr>
      <w:tblGrid>
        <w:gridCol w:w="1335"/>
        <w:gridCol w:w="1240"/>
        <w:gridCol w:w="942"/>
        <w:gridCol w:w="1094"/>
        <w:gridCol w:w="1031"/>
        <w:gridCol w:w="1232"/>
        <w:gridCol w:w="1522"/>
      </w:tblGrid>
      <w:tr w14:paraId="42ABF996">
        <w:tblPrEx>
          <w:tblCellMar>
            <w:top w:w="15" w:type="dxa"/>
            <w:left w:w="15" w:type="dxa"/>
            <w:bottom w:w="15" w:type="dxa"/>
            <w:right w:w="15" w:type="dxa"/>
          </w:tblCellMar>
        </w:tblPrEx>
        <w:trPr>
          <w:tblCellSpacing w:w="15" w:type="dxa"/>
        </w:trPr>
        <w:tc>
          <w:tcPr>
            <w:tcW w:w="1290" w:type="dxa"/>
            <w:tcBorders>
              <w:top w:val="single" w:color="CCCCCC" w:sz="12" w:space="0"/>
              <w:left w:val="nil"/>
              <w:bottom w:val="nil"/>
              <w:right w:val="nil"/>
            </w:tcBorders>
            <w:vAlign w:val="center"/>
          </w:tcPr>
          <w:p w14:paraId="62E8192B">
            <w:pPr>
              <w:jc w:val="center"/>
              <w:rPr>
                <w:rFonts w:cstheme="minorHAnsi"/>
                <w:b/>
                <w:bCs/>
                <w:sz w:val="20"/>
                <w:szCs w:val="20"/>
              </w:rPr>
            </w:pPr>
            <w:r>
              <w:rPr>
                <w:rFonts w:eastAsia="宋体" w:cstheme="minorHAnsi"/>
                <w:b/>
                <w:bCs/>
                <w:kern w:val="0"/>
                <w:sz w:val="20"/>
                <w:szCs w:val="20"/>
                <w:lang w:bidi="ar"/>
              </w:rPr>
              <w:t>Name of Blood Centre/Blood Station</w:t>
            </w:r>
          </w:p>
        </w:tc>
        <w:tc>
          <w:tcPr>
            <w:tcW w:w="1210" w:type="dxa"/>
            <w:tcBorders>
              <w:top w:val="single" w:color="CCCCCC" w:sz="12" w:space="0"/>
              <w:left w:val="nil"/>
              <w:bottom w:val="nil"/>
              <w:right w:val="nil"/>
            </w:tcBorders>
            <w:vAlign w:val="center"/>
          </w:tcPr>
          <w:p w14:paraId="7D1A7EA7">
            <w:pPr>
              <w:jc w:val="center"/>
              <w:rPr>
                <w:rFonts w:cstheme="minorHAnsi"/>
                <w:b/>
                <w:bCs/>
                <w:sz w:val="20"/>
                <w:szCs w:val="20"/>
              </w:rPr>
            </w:pPr>
            <w:r>
              <w:rPr>
                <w:rFonts w:eastAsia="宋体" w:cstheme="minorHAnsi"/>
                <w:b/>
                <w:bCs/>
                <w:kern w:val="0"/>
                <w:sz w:val="20"/>
                <w:szCs w:val="20"/>
                <w:lang w:bidi="ar"/>
              </w:rPr>
              <w:t>Province/City</w:t>
            </w:r>
          </w:p>
        </w:tc>
        <w:tc>
          <w:tcPr>
            <w:tcW w:w="913" w:type="dxa"/>
            <w:tcBorders>
              <w:top w:val="single" w:color="CCCCCC" w:sz="12" w:space="0"/>
              <w:left w:val="nil"/>
              <w:bottom w:val="nil"/>
              <w:right w:val="nil"/>
            </w:tcBorders>
            <w:vAlign w:val="center"/>
          </w:tcPr>
          <w:p w14:paraId="7C79CC6B">
            <w:pPr>
              <w:jc w:val="center"/>
              <w:rPr>
                <w:rFonts w:cstheme="minorHAnsi"/>
                <w:b/>
                <w:bCs/>
                <w:sz w:val="20"/>
                <w:szCs w:val="20"/>
              </w:rPr>
            </w:pPr>
            <w:r>
              <w:rPr>
                <w:rFonts w:eastAsia="宋体" w:cstheme="minorHAnsi"/>
                <w:b/>
                <w:bCs/>
                <w:kern w:val="0"/>
                <w:sz w:val="20"/>
                <w:szCs w:val="20"/>
                <w:lang w:bidi="ar"/>
              </w:rPr>
              <w:t>Year</w:t>
            </w:r>
          </w:p>
        </w:tc>
        <w:tc>
          <w:tcPr>
            <w:tcW w:w="1028" w:type="dxa"/>
            <w:tcBorders>
              <w:top w:val="single" w:color="CCCCCC" w:sz="12" w:space="0"/>
              <w:left w:val="nil"/>
              <w:bottom w:val="nil"/>
              <w:right w:val="nil"/>
            </w:tcBorders>
            <w:vAlign w:val="center"/>
          </w:tcPr>
          <w:p w14:paraId="4F0B88F1">
            <w:pPr>
              <w:snapToGrid w:val="0"/>
              <w:jc w:val="center"/>
              <w:rPr>
                <w:rFonts w:eastAsia="宋体" w:cstheme="minorHAnsi"/>
                <w:b/>
                <w:bCs/>
                <w:kern w:val="0"/>
                <w:sz w:val="20"/>
                <w:szCs w:val="20"/>
                <w:lang w:bidi="ar"/>
              </w:rPr>
            </w:pPr>
            <w:r>
              <w:rPr>
                <w:rFonts w:eastAsia="宋体" w:cstheme="minorHAnsi"/>
                <w:b/>
                <w:bCs/>
                <w:kern w:val="0"/>
                <w:sz w:val="20"/>
                <w:szCs w:val="20"/>
                <w:lang w:bidi="ar"/>
              </w:rPr>
              <w:t xml:space="preserve">Special Recruitment Budget </w:t>
            </w:r>
          </w:p>
          <w:p w14:paraId="67A41988">
            <w:pPr>
              <w:jc w:val="center"/>
              <w:rPr>
                <w:rFonts w:cstheme="minorHAnsi"/>
                <w:b/>
                <w:bCs/>
                <w:sz w:val="20"/>
                <w:szCs w:val="20"/>
              </w:rPr>
            </w:pPr>
            <w:r>
              <w:rPr>
                <w:rFonts w:eastAsia="宋体" w:cstheme="minorHAnsi"/>
                <w:b/>
                <w:bCs/>
                <w:kern w:val="0"/>
                <w:sz w:val="20"/>
                <w:szCs w:val="20"/>
                <w:lang w:bidi="ar"/>
              </w:rPr>
              <w:t>(</w:t>
            </w:r>
            <w:r>
              <w:rPr>
                <w:rFonts w:cstheme="minorHAnsi"/>
                <w:b/>
                <w:bCs/>
                <w:sz w:val="20"/>
                <w:szCs w:val="20"/>
              </w:rPr>
              <w:t>¥</w:t>
            </w:r>
            <w:r>
              <w:rPr>
                <w:rFonts w:eastAsia="宋体" w:cstheme="minorHAnsi"/>
                <w:b/>
                <w:bCs/>
                <w:kern w:val="0"/>
                <w:sz w:val="20"/>
                <w:szCs w:val="20"/>
                <w:lang w:bidi="ar"/>
              </w:rPr>
              <w:t>10,000)</w:t>
            </w:r>
          </w:p>
        </w:tc>
        <w:tc>
          <w:tcPr>
            <w:tcW w:w="0" w:type="auto"/>
            <w:tcBorders>
              <w:top w:val="single" w:color="CCCCCC" w:sz="12" w:space="0"/>
              <w:left w:val="nil"/>
              <w:bottom w:val="nil"/>
              <w:right w:val="nil"/>
            </w:tcBorders>
            <w:vAlign w:val="center"/>
          </w:tcPr>
          <w:p w14:paraId="244F5455">
            <w:pPr>
              <w:snapToGrid w:val="0"/>
              <w:jc w:val="center"/>
              <w:rPr>
                <w:rFonts w:eastAsia="宋体" w:cstheme="minorHAnsi"/>
                <w:b/>
                <w:bCs/>
                <w:kern w:val="0"/>
                <w:sz w:val="20"/>
                <w:szCs w:val="20"/>
                <w:lang w:bidi="ar"/>
              </w:rPr>
            </w:pPr>
            <w:r>
              <w:rPr>
                <w:rFonts w:eastAsia="宋体" w:cstheme="minorHAnsi"/>
                <w:b/>
                <w:bCs/>
                <w:kern w:val="0"/>
                <w:sz w:val="20"/>
                <w:szCs w:val="20"/>
                <w:lang w:bidi="ar"/>
              </w:rPr>
              <w:t xml:space="preserve">Annual Planned Number of Blood Donors </w:t>
            </w:r>
          </w:p>
          <w:p w14:paraId="1D746F91">
            <w:pPr>
              <w:jc w:val="center"/>
              <w:rPr>
                <w:rFonts w:cstheme="minorHAnsi"/>
                <w:b/>
                <w:bCs/>
                <w:sz w:val="20"/>
                <w:szCs w:val="20"/>
              </w:rPr>
            </w:pPr>
            <w:r>
              <w:rPr>
                <w:rFonts w:eastAsia="宋体" w:cstheme="minorHAnsi"/>
                <w:b/>
                <w:bCs/>
                <w:kern w:val="0"/>
                <w:sz w:val="20"/>
                <w:szCs w:val="20"/>
                <w:lang w:bidi="ar"/>
              </w:rPr>
              <w:t>(10,000 person-times)</w:t>
            </w:r>
          </w:p>
        </w:tc>
        <w:tc>
          <w:tcPr>
            <w:tcW w:w="0" w:type="auto"/>
            <w:tcBorders>
              <w:top w:val="single" w:color="CCCCCC" w:sz="12" w:space="0"/>
              <w:left w:val="nil"/>
              <w:bottom w:val="nil"/>
              <w:right w:val="nil"/>
            </w:tcBorders>
            <w:vAlign w:val="center"/>
          </w:tcPr>
          <w:p w14:paraId="4CB6BFFA">
            <w:pPr>
              <w:snapToGrid w:val="0"/>
              <w:jc w:val="center"/>
              <w:rPr>
                <w:rFonts w:eastAsia="宋体" w:cstheme="minorHAnsi"/>
                <w:b/>
                <w:bCs/>
                <w:kern w:val="0"/>
                <w:sz w:val="20"/>
                <w:szCs w:val="20"/>
                <w:lang w:bidi="ar"/>
              </w:rPr>
            </w:pPr>
            <w:r>
              <w:rPr>
                <w:rFonts w:eastAsia="宋体" w:cstheme="minorHAnsi"/>
                <w:b/>
                <w:bCs/>
                <w:kern w:val="0"/>
                <w:sz w:val="20"/>
                <w:szCs w:val="20"/>
                <w:lang w:bidi="ar"/>
              </w:rPr>
              <w:t xml:space="preserve">Per Capita Recruitment Cost </w:t>
            </w:r>
          </w:p>
          <w:p w14:paraId="16E8DC81">
            <w:pPr>
              <w:jc w:val="center"/>
              <w:rPr>
                <w:rFonts w:cstheme="minorHAnsi"/>
                <w:b/>
                <w:bCs/>
                <w:sz w:val="20"/>
                <w:szCs w:val="20"/>
              </w:rPr>
            </w:pPr>
            <w:r>
              <w:rPr>
                <w:rFonts w:eastAsia="宋体" w:cstheme="minorHAnsi"/>
                <w:b/>
                <w:bCs/>
                <w:kern w:val="0"/>
                <w:sz w:val="20"/>
                <w:szCs w:val="20"/>
                <w:lang w:bidi="ar"/>
              </w:rPr>
              <w:t>(</w:t>
            </w:r>
            <w:r>
              <w:rPr>
                <w:b/>
                <w:bCs/>
                <w:sz w:val="20"/>
                <w:szCs w:val="20"/>
              </w:rPr>
              <w:t>¥</w:t>
            </w:r>
            <w:r>
              <w:rPr>
                <w:rFonts w:eastAsia="宋体" w:cstheme="minorHAnsi"/>
                <w:b/>
                <w:bCs/>
                <w:kern w:val="0"/>
                <w:sz w:val="20"/>
                <w:szCs w:val="20"/>
                <w:lang w:bidi="ar"/>
              </w:rPr>
              <w:t>/person)</w:t>
            </w:r>
          </w:p>
        </w:tc>
        <w:tc>
          <w:tcPr>
            <w:tcW w:w="0" w:type="auto"/>
            <w:tcBorders>
              <w:top w:val="single" w:color="CCCCCC" w:sz="12" w:space="0"/>
              <w:left w:val="nil"/>
              <w:bottom w:val="nil"/>
              <w:right w:val="nil"/>
            </w:tcBorders>
            <w:vAlign w:val="center"/>
          </w:tcPr>
          <w:p w14:paraId="7E5FF7A2">
            <w:pPr>
              <w:jc w:val="center"/>
              <w:rPr>
                <w:rFonts w:cstheme="minorHAnsi"/>
                <w:b/>
                <w:bCs/>
                <w:sz w:val="20"/>
                <w:szCs w:val="20"/>
              </w:rPr>
            </w:pPr>
            <w:r>
              <w:rPr>
                <w:rFonts w:eastAsia="宋体" w:cstheme="minorHAnsi"/>
                <w:b/>
                <w:bCs/>
                <w:kern w:val="0"/>
                <w:sz w:val="20"/>
                <w:szCs w:val="20"/>
                <w:lang w:bidi="ar"/>
              </w:rPr>
              <w:t>Regional Type</w:t>
            </w:r>
          </w:p>
        </w:tc>
      </w:tr>
      <w:tr w14:paraId="2A3913AF">
        <w:tblPrEx>
          <w:tblCellMar>
            <w:top w:w="15" w:type="dxa"/>
            <w:left w:w="15" w:type="dxa"/>
            <w:bottom w:w="15" w:type="dxa"/>
            <w:right w:w="15" w:type="dxa"/>
          </w:tblCellMar>
        </w:tblPrEx>
        <w:trPr>
          <w:tblCellSpacing w:w="15" w:type="dxa"/>
        </w:trPr>
        <w:tc>
          <w:tcPr>
            <w:tcW w:w="1290" w:type="dxa"/>
            <w:tcBorders>
              <w:top w:val="single" w:color="CCCCCC" w:sz="4" w:space="0"/>
              <w:left w:val="nil"/>
              <w:bottom w:val="nil"/>
              <w:right w:val="nil"/>
            </w:tcBorders>
            <w:vAlign w:val="center"/>
          </w:tcPr>
          <w:p w14:paraId="5A92D385">
            <w:pPr>
              <w:jc w:val="center"/>
              <w:rPr>
                <w:rFonts w:cstheme="minorHAnsi"/>
                <w:sz w:val="20"/>
                <w:szCs w:val="20"/>
              </w:rPr>
            </w:pPr>
            <w:r>
              <w:rPr>
                <w:rFonts w:eastAsia="宋体" w:cstheme="minorHAnsi"/>
                <w:kern w:val="0"/>
                <w:sz w:val="20"/>
                <w:szCs w:val="20"/>
                <w:lang w:bidi="ar"/>
              </w:rPr>
              <w:t>Shanghai Blood Centre</w:t>
            </w:r>
          </w:p>
        </w:tc>
        <w:tc>
          <w:tcPr>
            <w:tcW w:w="1210" w:type="dxa"/>
            <w:tcBorders>
              <w:top w:val="single" w:color="CCCCCC" w:sz="4" w:space="0"/>
              <w:left w:val="nil"/>
              <w:bottom w:val="nil"/>
              <w:right w:val="nil"/>
            </w:tcBorders>
            <w:vAlign w:val="center"/>
          </w:tcPr>
          <w:p w14:paraId="4DC981F6">
            <w:pPr>
              <w:jc w:val="center"/>
              <w:rPr>
                <w:rFonts w:cstheme="minorHAnsi"/>
                <w:sz w:val="20"/>
                <w:szCs w:val="20"/>
              </w:rPr>
            </w:pPr>
            <w:r>
              <w:rPr>
                <w:rFonts w:eastAsia="宋体" w:cstheme="minorHAnsi"/>
                <w:kern w:val="0"/>
                <w:sz w:val="20"/>
                <w:szCs w:val="20"/>
                <w:lang w:bidi="ar"/>
              </w:rPr>
              <w:t>Shanghai</w:t>
            </w:r>
          </w:p>
        </w:tc>
        <w:tc>
          <w:tcPr>
            <w:tcW w:w="913" w:type="dxa"/>
            <w:tcBorders>
              <w:top w:val="single" w:color="CCCCCC" w:sz="4" w:space="0"/>
              <w:left w:val="nil"/>
              <w:bottom w:val="nil"/>
              <w:right w:val="nil"/>
            </w:tcBorders>
            <w:vAlign w:val="center"/>
          </w:tcPr>
          <w:p w14:paraId="468BA2BE">
            <w:pPr>
              <w:jc w:val="center"/>
              <w:rPr>
                <w:rFonts w:cstheme="minorHAnsi"/>
                <w:sz w:val="20"/>
                <w:szCs w:val="20"/>
              </w:rPr>
            </w:pPr>
            <w:r>
              <w:rPr>
                <w:rFonts w:eastAsia="宋体" w:cstheme="minorHAnsi"/>
                <w:kern w:val="0"/>
                <w:sz w:val="20"/>
                <w:szCs w:val="20"/>
                <w:lang w:bidi="ar"/>
              </w:rPr>
              <w:t>2025</w:t>
            </w:r>
          </w:p>
        </w:tc>
        <w:tc>
          <w:tcPr>
            <w:tcW w:w="1028" w:type="dxa"/>
            <w:tcBorders>
              <w:top w:val="single" w:color="CCCCCC" w:sz="4" w:space="0"/>
              <w:left w:val="nil"/>
              <w:bottom w:val="nil"/>
              <w:right w:val="nil"/>
            </w:tcBorders>
            <w:vAlign w:val="center"/>
          </w:tcPr>
          <w:p w14:paraId="75EF2DD5">
            <w:pPr>
              <w:jc w:val="center"/>
              <w:rPr>
                <w:rFonts w:cstheme="minorHAnsi"/>
                <w:sz w:val="20"/>
                <w:szCs w:val="20"/>
              </w:rPr>
            </w:pPr>
            <w:r>
              <w:rPr>
                <w:rFonts w:eastAsia="宋体" w:cstheme="minorHAnsi"/>
                <w:kern w:val="0"/>
                <w:sz w:val="20"/>
                <w:szCs w:val="20"/>
                <w:lang w:bidi="ar"/>
              </w:rPr>
              <w:t>5772.98</w:t>
            </w:r>
          </w:p>
        </w:tc>
        <w:tc>
          <w:tcPr>
            <w:tcW w:w="0" w:type="auto"/>
            <w:tcBorders>
              <w:top w:val="single" w:color="CCCCCC" w:sz="4" w:space="0"/>
              <w:left w:val="nil"/>
              <w:bottom w:val="nil"/>
              <w:right w:val="nil"/>
            </w:tcBorders>
            <w:vAlign w:val="center"/>
          </w:tcPr>
          <w:p w14:paraId="73BE4A46">
            <w:pPr>
              <w:jc w:val="center"/>
              <w:rPr>
                <w:rFonts w:cstheme="minorHAnsi"/>
                <w:sz w:val="20"/>
                <w:szCs w:val="20"/>
              </w:rPr>
            </w:pPr>
            <w:r>
              <w:rPr>
                <w:rFonts w:eastAsia="宋体" w:cstheme="minorHAnsi"/>
                <w:kern w:val="0"/>
                <w:sz w:val="20"/>
                <w:szCs w:val="20"/>
                <w:lang w:bidi="ar"/>
              </w:rPr>
              <w:t>30.38</w:t>
            </w:r>
          </w:p>
        </w:tc>
        <w:tc>
          <w:tcPr>
            <w:tcW w:w="0" w:type="auto"/>
            <w:tcBorders>
              <w:top w:val="single" w:color="CCCCCC" w:sz="4" w:space="0"/>
              <w:left w:val="nil"/>
              <w:bottom w:val="nil"/>
              <w:right w:val="nil"/>
            </w:tcBorders>
            <w:vAlign w:val="center"/>
          </w:tcPr>
          <w:p w14:paraId="6634500B">
            <w:pPr>
              <w:jc w:val="center"/>
              <w:rPr>
                <w:rFonts w:cstheme="minorHAnsi"/>
                <w:sz w:val="20"/>
                <w:szCs w:val="20"/>
              </w:rPr>
            </w:pPr>
            <w:r>
              <w:rPr>
                <w:rFonts w:eastAsia="宋体" w:cstheme="minorHAnsi"/>
                <w:kern w:val="0"/>
                <w:sz w:val="20"/>
                <w:szCs w:val="20"/>
                <w:lang w:bidi="ar"/>
              </w:rPr>
              <w:t>190</w:t>
            </w:r>
          </w:p>
        </w:tc>
        <w:tc>
          <w:tcPr>
            <w:tcW w:w="0" w:type="auto"/>
            <w:tcBorders>
              <w:top w:val="single" w:color="CCCCCC" w:sz="4" w:space="0"/>
              <w:left w:val="nil"/>
              <w:bottom w:val="nil"/>
              <w:right w:val="nil"/>
            </w:tcBorders>
            <w:vAlign w:val="center"/>
          </w:tcPr>
          <w:p w14:paraId="7FEFB67F">
            <w:pPr>
              <w:jc w:val="center"/>
              <w:rPr>
                <w:rFonts w:cstheme="minorHAnsi"/>
                <w:sz w:val="20"/>
                <w:szCs w:val="20"/>
              </w:rPr>
            </w:pPr>
            <w:r>
              <w:rPr>
                <w:rFonts w:eastAsia="宋体" w:cstheme="minorHAnsi"/>
                <w:kern w:val="0"/>
                <w:sz w:val="20"/>
                <w:szCs w:val="20"/>
                <w:lang w:bidi="ar"/>
              </w:rPr>
              <w:t>Eastern Municipality Directly Under the Central Government</w:t>
            </w:r>
          </w:p>
        </w:tc>
      </w:tr>
      <w:tr w14:paraId="75581F53">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6AB4E9A1">
            <w:pPr>
              <w:jc w:val="center"/>
              <w:rPr>
                <w:rFonts w:cstheme="minorHAnsi"/>
                <w:sz w:val="20"/>
                <w:szCs w:val="20"/>
              </w:rPr>
            </w:pPr>
            <w:r>
              <w:rPr>
                <w:rFonts w:eastAsia="宋体" w:cstheme="minorHAnsi"/>
                <w:kern w:val="0"/>
                <w:sz w:val="20"/>
                <w:szCs w:val="20"/>
                <w:lang w:bidi="ar"/>
              </w:rPr>
              <w:t>Jiangsu Blood Centre</w:t>
            </w:r>
          </w:p>
        </w:tc>
        <w:tc>
          <w:tcPr>
            <w:tcW w:w="1210" w:type="dxa"/>
            <w:tcBorders>
              <w:top w:val="nil"/>
              <w:left w:val="nil"/>
              <w:bottom w:val="nil"/>
              <w:right w:val="nil"/>
            </w:tcBorders>
            <w:vAlign w:val="center"/>
          </w:tcPr>
          <w:p w14:paraId="3973A326">
            <w:pPr>
              <w:jc w:val="center"/>
              <w:rPr>
                <w:rFonts w:cstheme="minorHAnsi"/>
                <w:sz w:val="20"/>
                <w:szCs w:val="20"/>
              </w:rPr>
            </w:pPr>
            <w:r>
              <w:rPr>
                <w:rFonts w:eastAsia="宋体" w:cstheme="minorHAnsi"/>
                <w:kern w:val="0"/>
                <w:sz w:val="20"/>
                <w:szCs w:val="20"/>
                <w:lang w:bidi="ar"/>
              </w:rPr>
              <w:t>Jiangsu</w:t>
            </w:r>
          </w:p>
        </w:tc>
        <w:tc>
          <w:tcPr>
            <w:tcW w:w="913" w:type="dxa"/>
            <w:tcBorders>
              <w:top w:val="nil"/>
              <w:left w:val="nil"/>
              <w:bottom w:val="nil"/>
              <w:right w:val="nil"/>
            </w:tcBorders>
            <w:vAlign w:val="center"/>
          </w:tcPr>
          <w:p w14:paraId="2446C498">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49F0C240">
            <w:pPr>
              <w:jc w:val="center"/>
              <w:rPr>
                <w:rFonts w:cstheme="minorHAnsi"/>
                <w:sz w:val="20"/>
                <w:szCs w:val="20"/>
              </w:rPr>
            </w:pPr>
            <w:r>
              <w:rPr>
                <w:rFonts w:eastAsia="宋体" w:cstheme="minorHAnsi"/>
                <w:kern w:val="0"/>
                <w:sz w:val="20"/>
                <w:szCs w:val="20"/>
                <w:lang w:bidi="ar"/>
              </w:rPr>
              <w:t>1893.60</w:t>
            </w:r>
          </w:p>
        </w:tc>
        <w:tc>
          <w:tcPr>
            <w:tcW w:w="0" w:type="auto"/>
            <w:tcBorders>
              <w:top w:val="nil"/>
              <w:left w:val="nil"/>
              <w:bottom w:val="nil"/>
              <w:right w:val="nil"/>
            </w:tcBorders>
            <w:vAlign w:val="center"/>
          </w:tcPr>
          <w:p w14:paraId="3458F295">
            <w:pPr>
              <w:jc w:val="center"/>
              <w:rPr>
                <w:rFonts w:cstheme="minorHAnsi"/>
                <w:sz w:val="20"/>
                <w:szCs w:val="20"/>
              </w:rPr>
            </w:pPr>
            <w:r>
              <w:rPr>
                <w:rFonts w:eastAsia="宋体" w:cstheme="minorHAnsi"/>
                <w:kern w:val="0"/>
                <w:sz w:val="20"/>
                <w:szCs w:val="20"/>
                <w:lang w:bidi="ar"/>
              </w:rPr>
              <w:t>9.71</w:t>
            </w:r>
          </w:p>
        </w:tc>
        <w:tc>
          <w:tcPr>
            <w:tcW w:w="0" w:type="auto"/>
            <w:tcBorders>
              <w:top w:val="nil"/>
              <w:left w:val="nil"/>
              <w:bottom w:val="nil"/>
              <w:right w:val="nil"/>
            </w:tcBorders>
            <w:vAlign w:val="center"/>
          </w:tcPr>
          <w:p w14:paraId="535F1618">
            <w:pPr>
              <w:jc w:val="center"/>
              <w:rPr>
                <w:rFonts w:cstheme="minorHAnsi"/>
                <w:sz w:val="20"/>
                <w:szCs w:val="20"/>
              </w:rPr>
            </w:pPr>
            <w:r>
              <w:rPr>
                <w:rFonts w:eastAsia="宋体" w:cstheme="minorHAnsi"/>
                <w:kern w:val="0"/>
                <w:sz w:val="20"/>
                <w:szCs w:val="20"/>
                <w:lang w:bidi="ar"/>
              </w:rPr>
              <w:t>195</w:t>
            </w:r>
          </w:p>
        </w:tc>
        <w:tc>
          <w:tcPr>
            <w:tcW w:w="0" w:type="auto"/>
            <w:tcBorders>
              <w:top w:val="nil"/>
              <w:left w:val="nil"/>
              <w:bottom w:val="nil"/>
              <w:right w:val="nil"/>
            </w:tcBorders>
            <w:vAlign w:val="center"/>
          </w:tcPr>
          <w:p w14:paraId="01DF7A01">
            <w:pPr>
              <w:jc w:val="center"/>
              <w:rPr>
                <w:rFonts w:cstheme="minorHAnsi"/>
                <w:sz w:val="20"/>
                <w:szCs w:val="20"/>
              </w:rPr>
            </w:pPr>
            <w:r>
              <w:rPr>
                <w:rFonts w:eastAsia="宋体" w:cstheme="minorHAnsi"/>
                <w:kern w:val="0"/>
                <w:sz w:val="20"/>
                <w:szCs w:val="20"/>
                <w:lang w:bidi="ar"/>
              </w:rPr>
              <w:t>Eastern Province</w:t>
            </w:r>
          </w:p>
        </w:tc>
      </w:tr>
      <w:tr w14:paraId="1B8345D3">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0B69E60">
            <w:pPr>
              <w:jc w:val="center"/>
              <w:rPr>
                <w:rFonts w:cstheme="minorHAnsi"/>
                <w:sz w:val="20"/>
                <w:szCs w:val="20"/>
              </w:rPr>
            </w:pPr>
            <w:r>
              <w:rPr>
                <w:rFonts w:eastAsia="宋体" w:cstheme="minorHAnsi"/>
                <w:kern w:val="0"/>
                <w:sz w:val="20"/>
                <w:szCs w:val="20"/>
                <w:lang w:bidi="ar"/>
              </w:rPr>
              <w:t>Wuhan Blood Centre</w:t>
            </w:r>
          </w:p>
        </w:tc>
        <w:tc>
          <w:tcPr>
            <w:tcW w:w="1210" w:type="dxa"/>
            <w:tcBorders>
              <w:top w:val="nil"/>
              <w:left w:val="nil"/>
              <w:bottom w:val="nil"/>
              <w:right w:val="nil"/>
            </w:tcBorders>
            <w:vAlign w:val="center"/>
          </w:tcPr>
          <w:p w14:paraId="08E6B6F3">
            <w:pPr>
              <w:jc w:val="center"/>
              <w:rPr>
                <w:rFonts w:cstheme="minorHAnsi"/>
                <w:sz w:val="20"/>
                <w:szCs w:val="20"/>
              </w:rPr>
            </w:pPr>
            <w:r>
              <w:rPr>
                <w:rFonts w:eastAsia="宋体" w:cstheme="minorHAnsi"/>
                <w:kern w:val="0"/>
                <w:sz w:val="20"/>
                <w:szCs w:val="20"/>
                <w:lang w:bidi="ar"/>
              </w:rPr>
              <w:t>Hubei</w:t>
            </w:r>
          </w:p>
        </w:tc>
        <w:tc>
          <w:tcPr>
            <w:tcW w:w="913" w:type="dxa"/>
            <w:tcBorders>
              <w:top w:val="nil"/>
              <w:left w:val="nil"/>
              <w:bottom w:val="nil"/>
              <w:right w:val="nil"/>
            </w:tcBorders>
            <w:vAlign w:val="center"/>
          </w:tcPr>
          <w:p w14:paraId="1605353D">
            <w:pPr>
              <w:jc w:val="center"/>
              <w:rPr>
                <w:rFonts w:cstheme="minorHAnsi"/>
                <w:sz w:val="20"/>
                <w:szCs w:val="20"/>
              </w:rPr>
            </w:pPr>
            <w:r>
              <w:rPr>
                <w:rFonts w:eastAsia="宋体" w:cstheme="minorHAnsi"/>
                <w:kern w:val="0"/>
                <w:sz w:val="20"/>
                <w:szCs w:val="20"/>
                <w:lang w:bidi="ar"/>
              </w:rPr>
              <w:t>2024</w:t>
            </w:r>
          </w:p>
        </w:tc>
        <w:tc>
          <w:tcPr>
            <w:tcW w:w="1028" w:type="dxa"/>
            <w:tcBorders>
              <w:top w:val="nil"/>
              <w:left w:val="nil"/>
              <w:bottom w:val="nil"/>
              <w:right w:val="nil"/>
            </w:tcBorders>
            <w:vAlign w:val="center"/>
          </w:tcPr>
          <w:p w14:paraId="60D81809">
            <w:pPr>
              <w:jc w:val="center"/>
              <w:rPr>
                <w:rFonts w:cstheme="minorHAnsi"/>
                <w:sz w:val="20"/>
                <w:szCs w:val="20"/>
              </w:rPr>
            </w:pPr>
            <w:r>
              <w:rPr>
                <w:rFonts w:eastAsia="宋体" w:cstheme="minorHAnsi"/>
                <w:kern w:val="0"/>
                <w:sz w:val="20"/>
                <w:szCs w:val="20"/>
                <w:lang w:bidi="ar"/>
              </w:rPr>
              <w:t>4393.62</w:t>
            </w:r>
          </w:p>
        </w:tc>
        <w:tc>
          <w:tcPr>
            <w:tcW w:w="0" w:type="auto"/>
            <w:tcBorders>
              <w:top w:val="nil"/>
              <w:left w:val="nil"/>
              <w:bottom w:val="nil"/>
              <w:right w:val="nil"/>
            </w:tcBorders>
            <w:vAlign w:val="center"/>
          </w:tcPr>
          <w:p w14:paraId="5D1EF7EB">
            <w:pPr>
              <w:jc w:val="center"/>
              <w:rPr>
                <w:rFonts w:cstheme="minorHAnsi"/>
                <w:sz w:val="20"/>
                <w:szCs w:val="20"/>
              </w:rPr>
            </w:pPr>
            <w:r>
              <w:rPr>
                <w:rFonts w:eastAsia="宋体" w:cstheme="minorHAnsi"/>
                <w:kern w:val="0"/>
                <w:sz w:val="20"/>
                <w:szCs w:val="20"/>
                <w:lang w:bidi="ar"/>
              </w:rPr>
              <w:t>22.53</w:t>
            </w:r>
          </w:p>
        </w:tc>
        <w:tc>
          <w:tcPr>
            <w:tcW w:w="0" w:type="auto"/>
            <w:tcBorders>
              <w:top w:val="nil"/>
              <w:left w:val="nil"/>
              <w:bottom w:val="nil"/>
              <w:right w:val="nil"/>
            </w:tcBorders>
            <w:vAlign w:val="center"/>
          </w:tcPr>
          <w:p w14:paraId="0819ECBC">
            <w:pPr>
              <w:jc w:val="center"/>
              <w:rPr>
                <w:rFonts w:cstheme="minorHAnsi"/>
                <w:sz w:val="20"/>
                <w:szCs w:val="20"/>
              </w:rPr>
            </w:pPr>
            <w:r>
              <w:rPr>
                <w:rFonts w:eastAsia="宋体" w:cstheme="minorHAnsi"/>
                <w:kern w:val="0"/>
                <w:sz w:val="20"/>
                <w:szCs w:val="20"/>
                <w:lang w:bidi="ar"/>
              </w:rPr>
              <w:t>195</w:t>
            </w:r>
          </w:p>
        </w:tc>
        <w:tc>
          <w:tcPr>
            <w:tcW w:w="0" w:type="auto"/>
            <w:tcBorders>
              <w:top w:val="nil"/>
              <w:left w:val="nil"/>
              <w:bottom w:val="nil"/>
              <w:right w:val="nil"/>
            </w:tcBorders>
            <w:vAlign w:val="center"/>
          </w:tcPr>
          <w:p w14:paraId="659B8D29">
            <w:pPr>
              <w:jc w:val="center"/>
              <w:rPr>
                <w:rFonts w:cstheme="minorHAnsi"/>
                <w:sz w:val="20"/>
                <w:szCs w:val="20"/>
              </w:rPr>
            </w:pPr>
            <w:r>
              <w:rPr>
                <w:rFonts w:eastAsia="宋体" w:cstheme="minorHAnsi"/>
                <w:kern w:val="0"/>
                <w:sz w:val="20"/>
                <w:szCs w:val="20"/>
                <w:lang w:bidi="ar"/>
              </w:rPr>
              <w:t>Central Provincial Capital</w:t>
            </w:r>
          </w:p>
        </w:tc>
      </w:tr>
      <w:tr w14:paraId="7B2F1385">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161A60A9">
            <w:pPr>
              <w:jc w:val="center"/>
              <w:rPr>
                <w:rFonts w:cstheme="minorHAnsi"/>
                <w:sz w:val="20"/>
                <w:szCs w:val="20"/>
              </w:rPr>
            </w:pPr>
            <w:r>
              <w:rPr>
                <w:rFonts w:eastAsia="宋体" w:cstheme="minorHAnsi"/>
                <w:kern w:val="0"/>
                <w:sz w:val="20"/>
                <w:szCs w:val="20"/>
                <w:lang w:bidi="ar"/>
              </w:rPr>
              <w:t>Chengdu Blood Centre</w:t>
            </w:r>
          </w:p>
        </w:tc>
        <w:tc>
          <w:tcPr>
            <w:tcW w:w="1210" w:type="dxa"/>
            <w:tcBorders>
              <w:top w:val="nil"/>
              <w:left w:val="nil"/>
              <w:bottom w:val="nil"/>
              <w:right w:val="nil"/>
            </w:tcBorders>
            <w:vAlign w:val="center"/>
          </w:tcPr>
          <w:p w14:paraId="0CFADEEE">
            <w:pPr>
              <w:jc w:val="center"/>
              <w:rPr>
                <w:rFonts w:cstheme="minorHAnsi"/>
                <w:sz w:val="20"/>
                <w:szCs w:val="20"/>
              </w:rPr>
            </w:pPr>
            <w:r>
              <w:rPr>
                <w:rFonts w:eastAsia="宋体" w:cstheme="minorHAnsi"/>
                <w:kern w:val="0"/>
                <w:sz w:val="20"/>
                <w:szCs w:val="20"/>
                <w:lang w:bidi="ar"/>
              </w:rPr>
              <w:t>Sichuan</w:t>
            </w:r>
          </w:p>
        </w:tc>
        <w:tc>
          <w:tcPr>
            <w:tcW w:w="913" w:type="dxa"/>
            <w:tcBorders>
              <w:top w:val="nil"/>
              <w:left w:val="nil"/>
              <w:bottom w:val="nil"/>
              <w:right w:val="nil"/>
            </w:tcBorders>
            <w:vAlign w:val="center"/>
          </w:tcPr>
          <w:p w14:paraId="0F471865">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357F9C8E">
            <w:pPr>
              <w:jc w:val="center"/>
              <w:rPr>
                <w:rFonts w:cstheme="minorHAnsi"/>
                <w:sz w:val="20"/>
                <w:szCs w:val="20"/>
              </w:rPr>
            </w:pPr>
            <w:r>
              <w:rPr>
                <w:rFonts w:eastAsia="宋体" w:cstheme="minorHAnsi"/>
                <w:kern w:val="0"/>
                <w:sz w:val="20"/>
                <w:szCs w:val="20"/>
                <w:lang w:bidi="ar"/>
              </w:rPr>
              <w:t>5365.82</w:t>
            </w:r>
          </w:p>
        </w:tc>
        <w:tc>
          <w:tcPr>
            <w:tcW w:w="0" w:type="auto"/>
            <w:tcBorders>
              <w:top w:val="nil"/>
              <w:left w:val="nil"/>
              <w:bottom w:val="nil"/>
              <w:right w:val="nil"/>
            </w:tcBorders>
            <w:vAlign w:val="center"/>
          </w:tcPr>
          <w:p w14:paraId="7BA5C076">
            <w:pPr>
              <w:jc w:val="center"/>
              <w:rPr>
                <w:rFonts w:cstheme="minorHAnsi"/>
                <w:sz w:val="20"/>
                <w:szCs w:val="20"/>
              </w:rPr>
            </w:pPr>
            <w:r>
              <w:rPr>
                <w:rFonts w:eastAsia="宋体" w:cstheme="minorHAnsi"/>
                <w:kern w:val="0"/>
                <w:sz w:val="20"/>
                <w:szCs w:val="20"/>
                <w:lang w:bidi="ar"/>
              </w:rPr>
              <w:t>27.52</w:t>
            </w:r>
          </w:p>
        </w:tc>
        <w:tc>
          <w:tcPr>
            <w:tcW w:w="0" w:type="auto"/>
            <w:tcBorders>
              <w:top w:val="nil"/>
              <w:left w:val="nil"/>
              <w:bottom w:val="nil"/>
              <w:right w:val="nil"/>
            </w:tcBorders>
            <w:vAlign w:val="center"/>
          </w:tcPr>
          <w:p w14:paraId="20D556A5">
            <w:pPr>
              <w:jc w:val="center"/>
              <w:rPr>
                <w:rFonts w:cstheme="minorHAnsi"/>
                <w:sz w:val="20"/>
                <w:szCs w:val="20"/>
              </w:rPr>
            </w:pPr>
            <w:r>
              <w:rPr>
                <w:rFonts w:eastAsia="宋体" w:cstheme="minorHAnsi"/>
                <w:kern w:val="0"/>
                <w:sz w:val="20"/>
                <w:szCs w:val="20"/>
                <w:lang w:bidi="ar"/>
              </w:rPr>
              <w:t>195</w:t>
            </w:r>
          </w:p>
        </w:tc>
        <w:tc>
          <w:tcPr>
            <w:tcW w:w="0" w:type="auto"/>
            <w:tcBorders>
              <w:top w:val="nil"/>
              <w:left w:val="nil"/>
              <w:bottom w:val="nil"/>
              <w:right w:val="nil"/>
            </w:tcBorders>
            <w:vAlign w:val="center"/>
          </w:tcPr>
          <w:p w14:paraId="3369C172">
            <w:pPr>
              <w:jc w:val="center"/>
              <w:rPr>
                <w:rFonts w:cstheme="minorHAnsi"/>
                <w:sz w:val="20"/>
                <w:szCs w:val="20"/>
              </w:rPr>
            </w:pPr>
            <w:r>
              <w:rPr>
                <w:rFonts w:eastAsia="宋体" w:cstheme="minorHAnsi"/>
                <w:kern w:val="0"/>
                <w:sz w:val="20"/>
                <w:szCs w:val="20"/>
                <w:lang w:bidi="ar"/>
              </w:rPr>
              <w:t>Western Provincial Capital</w:t>
            </w:r>
          </w:p>
        </w:tc>
      </w:tr>
      <w:tr w14:paraId="7E1AD295">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80CBEBD">
            <w:pPr>
              <w:jc w:val="center"/>
              <w:rPr>
                <w:rFonts w:cstheme="minorHAnsi"/>
                <w:sz w:val="20"/>
                <w:szCs w:val="20"/>
              </w:rPr>
            </w:pPr>
            <w:r>
              <w:rPr>
                <w:rFonts w:eastAsia="宋体" w:cstheme="minorHAnsi"/>
                <w:kern w:val="0"/>
                <w:sz w:val="20"/>
                <w:szCs w:val="20"/>
                <w:lang w:bidi="ar"/>
              </w:rPr>
              <w:t>Zhejiang Blood Centre</w:t>
            </w:r>
          </w:p>
        </w:tc>
        <w:tc>
          <w:tcPr>
            <w:tcW w:w="1210" w:type="dxa"/>
            <w:tcBorders>
              <w:top w:val="nil"/>
              <w:left w:val="nil"/>
              <w:bottom w:val="nil"/>
              <w:right w:val="nil"/>
            </w:tcBorders>
            <w:vAlign w:val="center"/>
          </w:tcPr>
          <w:p w14:paraId="7BFE4860">
            <w:pPr>
              <w:jc w:val="center"/>
              <w:rPr>
                <w:rFonts w:cstheme="minorHAnsi"/>
                <w:sz w:val="20"/>
                <w:szCs w:val="20"/>
              </w:rPr>
            </w:pPr>
            <w:r>
              <w:rPr>
                <w:rFonts w:eastAsia="宋体" w:cstheme="minorHAnsi"/>
                <w:kern w:val="0"/>
                <w:sz w:val="20"/>
                <w:szCs w:val="20"/>
                <w:lang w:bidi="ar"/>
              </w:rPr>
              <w:t>Zhejiang</w:t>
            </w:r>
          </w:p>
        </w:tc>
        <w:tc>
          <w:tcPr>
            <w:tcW w:w="913" w:type="dxa"/>
            <w:tcBorders>
              <w:top w:val="nil"/>
              <w:left w:val="nil"/>
              <w:bottom w:val="nil"/>
              <w:right w:val="nil"/>
            </w:tcBorders>
            <w:vAlign w:val="center"/>
          </w:tcPr>
          <w:p w14:paraId="652B8468">
            <w:pPr>
              <w:jc w:val="center"/>
              <w:rPr>
                <w:rFonts w:cstheme="minorHAnsi"/>
                <w:sz w:val="20"/>
                <w:szCs w:val="20"/>
              </w:rPr>
            </w:pPr>
            <w:r>
              <w:rPr>
                <w:rFonts w:eastAsia="宋体" w:cstheme="minorHAnsi"/>
                <w:kern w:val="0"/>
                <w:sz w:val="20"/>
                <w:szCs w:val="20"/>
                <w:lang w:bidi="ar"/>
              </w:rPr>
              <w:t>2026</w:t>
            </w:r>
          </w:p>
        </w:tc>
        <w:tc>
          <w:tcPr>
            <w:tcW w:w="1028" w:type="dxa"/>
            <w:tcBorders>
              <w:top w:val="nil"/>
              <w:left w:val="nil"/>
              <w:bottom w:val="nil"/>
              <w:right w:val="nil"/>
            </w:tcBorders>
            <w:vAlign w:val="center"/>
          </w:tcPr>
          <w:p w14:paraId="51837B99">
            <w:pPr>
              <w:jc w:val="center"/>
              <w:rPr>
                <w:rFonts w:cstheme="minorHAnsi"/>
                <w:sz w:val="20"/>
                <w:szCs w:val="20"/>
              </w:rPr>
            </w:pPr>
            <w:r>
              <w:rPr>
                <w:rFonts w:eastAsia="宋体" w:cstheme="minorHAnsi"/>
                <w:kern w:val="0"/>
                <w:sz w:val="20"/>
                <w:szCs w:val="20"/>
                <w:lang w:bidi="ar"/>
              </w:rPr>
              <w:t>6141.13</w:t>
            </w:r>
          </w:p>
        </w:tc>
        <w:tc>
          <w:tcPr>
            <w:tcW w:w="0" w:type="auto"/>
            <w:tcBorders>
              <w:top w:val="nil"/>
              <w:left w:val="nil"/>
              <w:bottom w:val="nil"/>
              <w:right w:val="nil"/>
            </w:tcBorders>
            <w:vAlign w:val="center"/>
          </w:tcPr>
          <w:p w14:paraId="3C29730D">
            <w:pPr>
              <w:jc w:val="center"/>
              <w:rPr>
                <w:rFonts w:cstheme="minorHAnsi"/>
                <w:sz w:val="20"/>
                <w:szCs w:val="20"/>
              </w:rPr>
            </w:pPr>
            <w:r>
              <w:rPr>
                <w:rFonts w:eastAsia="宋体" w:cstheme="minorHAnsi"/>
                <w:kern w:val="0"/>
                <w:sz w:val="20"/>
                <w:szCs w:val="20"/>
                <w:lang w:bidi="ar"/>
              </w:rPr>
              <w:t>34.12</w:t>
            </w:r>
          </w:p>
        </w:tc>
        <w:tc>
          <w:tcPr>
            <w:tcW w:w="0" w:type="auto"/>
            <w:tcBorders>
              <w:top w:val="nil"/>
              <w:left w:val="nil"/>
              <w:bottom w:val="nil"/>
              <w:right w:val="nil"/>
            </w:tcBorders>
            <w:vAlign w:val="center"/>
          </w:tcPr>
          <w:p w14:paraId="1D2F84BA">
            <w:pPr>
              <w:jc w:val="center"/>
              <w:rPr>
                <w:rFonts w:cstheme="minorHAnsi"/>
                <w:sz w:val="20"/>
                <w:szCs w:val="20"/>
              </w:rPr>
            </w:pPr>
            <w:r>
              <w:rPr>
                <w:rFonts w:eastAsia="宋体" w:cstheme="minorHAnsi"/>
                <w:kern w:val="0"/>
                <w:sz w:val="20"/>
                <w:szCs w:val="20"/>
                <w:lang w:bidi="ar"/>
              </w:rPr>
              <w:t>180</w:t>
            </w:r>
          </w:p>
        </w:tc>
        <w:tc>
          <w:tcPr>
            <w:tcW w:w="0" w:type="auto"/>
            <w:tcBorders>
              <w:top w:val="nil"/>
              <w:left w:val="nil"/>
              <w:bottom w:val="nil"/>
              <w:right w:val="nil"/>
            </w:tcBorders>
            <w:vAlign w:val="center"/>
          </w:tcPr>
          <w:p w14:paraId="4303A697">
            <w:pPr>
              <w:jc w:val="center"/>
              <w:rPr>
                <w:rFonts w:cstheme="minorHAnsi"/>
                <w:sz w:val="20"/>
                <w:szCs w:val="20"/>
              </w:rPr>
            </w:pPr>
            <w:r>
              <w:rPr>
                <w:rFonts w:eastAsia="宋体" w:cstheme="minorHAnsi"/>
                <w:kern w:val="0"/>
                <w:sz w:val="20"/>
                <w:szCs w:val="20"/>
                <w:lang w:bidi="ar"/>
              </w:rPr>
              <w:t>Eastern Province</w:t>
            </w:r>
          </w:p>
        </w:tc>
      </w:tr>
      <w:tr w14:paraId="302B29FE">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660D9543">
            <w:pPr>
              <w:jc w:val="center"/>
              <w:rPr>
                <w:rFonts w:cstheme="minorHAnsi"/>
                <w:sz w:val="20"/>
                <w:szCs w:val="20"/>
              </w:rPr>
            </w:pPr>
            <w:r>
              <w:rPr>
                <w:rFonts w:eastAsia="宋体" w:cstheme="minorHAnsi"/>
                <w:kern w:val="0"/>
                <w:sz w:val="20"/>
                <w:szCs w:val="20"/>
                <w:lang w:bidi="ar"/>
              </w:rPr>
              <w:t>Chongqing Blood Centre</w:t>
            </w:r>
          </w:p>
        </w:tc>
        <w:tc>
          <w:tcPr>
            <w:tcW w:w="1210" w:type="dxa"/>
            <w:tcBorders>
              <w:top w:val="nil"/>
              <w:left w:val="nil"/>
              <w:bottom w:val="nil"/>
              <w:right w:val="nil"/>
            </w:tcBorders>
            <w:vAlign w:val="center"/>
          </w:tcPr>
          <w:p w14:paraId="3224245A">
            <w:pPr>
              <w:jc w:val="center"/>
              <w:rPr>
                <w:rFonts w:cstheme="minorHAnsi"/>
                <w:sz w:val="20"/>
                <w:szCs w:val="20"/>
              </w:rPr>
            </w:pPr>
            <w:r>
              <w:rPr>
                <w:rFonts w:eastAsia="宋体" w:cstheme="minorHAnsi"/>
                <w:kern w:val="0"/>
                <w:sz w:val="20"/>
                <w:szCs w:val="20"/>
                <w:lang w:bidi="ar"/>
              </w:rPr>
              <w:t>Chongqing</w:t>
            </w:r>
          </w:p>
        </w:tc>
        <w:tc>
          <w:tcPr>
            <w:tcW w:w="913" w:type="dxa"/>
            <w:tcBorders>
              <w:top w:val="nil"/>
              <w:left w:val="nil"/>
              <w:bottom w:val="nil"/>
              <w:right w:val="nil"/>
            </w:tcBorders>
            <w:vAlign w:val="center"/>
          </w:tcPr>
          <w:p w14:paraId="2F935196">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41ADA682">
            <w:pPr>
              <w:jc w:val="center"/>
              <w:rPr>
                <w:rFonts w:cstheme="minorHAnsi"/>
                <w:sz w:val="20"/>
                <w:szCs w:val="20"/>
              </w:rPr>
            </w:pPr>
            <w:r>
              <w:rPr>
                <w:rFonts w:eastAsia="宋体" w:cstheme="minorHAnsi"/>
                <w:kern w:val="0"/>
                <w:sz w:val="20"/>
                <w:szCs w:val="20"/>
                <w:lang w:bidi="ar"/>
              </w:rPr>
              <w:t>6397.63</w:t>
            </w:r>
          </w:p>
        </w:tc>
        <w:tc>
          <w:tcPr>
            <w:tcW w:w="0" w:type="auto"/>
            <w:tcBorders>
              <w:top w:val="nil"/>
              <w:left w:val="nil"/>
              <w:bottom w:val="nil"/>
              <w:right w:val="nil"/>
            </w:tcBorders>
            <w:vAlign w:val="center"/>
          </w:tcPr>
          <w:p w14:paraId="3DD999DA">
            <w:pPr>
              <w:jc w:val="center"/>
              <w:rPr>
                <w:rFonts w:cstheme="minorHAnsi"/>
                <w:sz w:val="20"/>
                <w:szCs w:val="20"/>
              </w:rPr>
            </w:pPr>
            <w:r>
              <w:rPr>
                <w:rFonts w:eastAsia="宋体" w:cstheme="minorHAnsi"/>
                <w:kern w:val="0"/>
                <w:sz w:val="20"/>
                <w:szCs w:val="20"/>
                <w:lang w:bidi="ar"/>
              </w:rPr>
              <w:t>37.19</w:t>
            </w:r>
          </w:p>
        </w:tc>
        <w:tc>
          <w:tcPr>
            <w:tcW w:w="0" w:type="auto"/>
            <w:tcBorders>
              <w:top w:val="nil"/>
              <w:left w:val="nil"/>
              <w:bottom w:val="nil"/>
              <w:right w:val="nil"/>
            </w:tcBorders>
            <w:vAlign w:val="center"/>
          </w:tcPr>
          <w:p w14:paraId="5FF004C1">
            <w:pPr>
              <w:jc w:val="center"/>
              <w:rPr>
                <w:rFonts w:cstheme="minorHAnsi"/>
                <w:sz w:val="20"/>
                <w:szCs w:val="20"/>
              </w:rPr>
            </w:pPr>
            <w:r>
              <w:rPr>
                <w:rFonts w:eastAsia="宋体" w:cstheme="minorHAnsi"/>
                <w:kern w:val="0"/>
                <w:sz w:val="20"/>
                <w:szCs w:val="20"/>
                <w:lang w:bidi="ar"/>
              </w:rPr>
              <w:t>172</w:t>
            </w:r>
          </w:p>
        </w:tc>
        <w:tc>
          <w:tcPr>
            <w:tcW w:w="0" w:type="auto"/>
            <w:tcBorders>
              <w:top w:val="nil"/>
              <w:left w:val="nil"/>
              <w:bottom w:val="nil"/>
              <w:right w:val="nil"/>
            </w:tcBorders>
            <w:vAlign w:val="center"/>
          </w:tcPr>
          <w:p w14:paraId="15F341AC">
            <w:pPr>
              <w:jc w:val="center"/>
              <w:rPr>
                <w:rFonts w:cstheme="minorHAnsi"/>
                <w:sz w:val="20"/>
                <w:szCs w:val="20"/>
              </w:rPr>
            </w:pPr>
            <w:r>
              <w:rPr>
                <w:rFonts w:eastAsia="宋体" w:cstheme="minorHAnsi"/>
                <w:kern w:val="0"/>
                <w:sz w:val="20"/>
                <w:szCs w:val="20"/>
                <w:lang w:bidi="ar"/>
              </w:rPr>
              <w:t>Western Municipality Directly Under the Central Government</w:t>
            </w:r>
          </w:p>
        </w:tc>
      </w:tr>
      <w:tr w14:paraId="79180C10">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02F6CC32">
            <w:pPr>
              <w:jc w:val="center"/>
              <w:rPr>
                <w:rFonts w:cstheme="minorHAnsi"/>
                <w:sz w:val="20"/>
                <w:szCs w:val="20"/>
              </w:rPr>
            </w:pPr>
            <w:r>
              <w:rPr>
                <w:rFonts w:eastAsia="宋体" w:cstheme="minorHAnsi"/>
                <w:kern w:val="0"/>
                <w:sz w:val="20"/>
                <w:szCs w:val="20"/>
                <w:lang w:bidi="ar"/>
              </w:rPr>
              <w:t>Shenyang Central Blood Station</w:t>
            </w:r>
          </w:p>
        </w:tc>
        <w:tc>
          <w:tcPr>
            <w:tcW w:w="1210" w:type="dxa"/>
            <w:tcBorders>
              <w:top w:val="nil"/>
              <w:left w:val="nil"/>
              <w:bottom w:val="nil"/>
              <w:right w:val="nil"/>
            </w:tcBorders>
            <w:vAlign w:val="center"/>
          </w:tcPr>
          <w:p w14:paraId="51044240">
            <w:pPr>
              <w:jc w:val="center"/>
              <w:rPr>
                <w:rFonts w:cstheme="minorHAnsi"/>
                <w:sz w:val="20"/>
                <w:szCs w:val="20"/>
              </w:rPr>
            </w:pPr>
            <w:r>
              <w:rPr>
                <w:rFonts w:eastAsia="宋体" w:cstheme="minorHAnsi"/>
                <w:kern w:val="0"/>
                <w:sz w:val="20"/>
                <w:szCs w:val="20"/>
                <w:lang w:bidi="ar"/>
              </w:rPr>
              <w:t>Liaoning</w:t>
            </w:r>
          </w:p>
        </w:tc>
        <w:tc>
          <w:tcPr>
            <w:tcW w:w="913" w:type="dxa"/>
            <w:tcBorders>
              <w:top w:val="nil"/>
              <w:left w:val="nil"/>
              <w:bottom w:val="nil"/>
              <w:right w:val="nil"/>
            </w:tcBorders>
            <w:vAlign w:val="center"/>
          </w:tcPr>
          <w:p w14:paraId="2B6E71E9">
            <w:pPr>
              <w:jc w:val="center"/>
              <w:rPr>
                <w:rFonts w:cstheme="minorHAnsi"/>
                <w:sz w:val="20"/>
                <w:szCs w:val="20"/>
              </w:rPr>
            </w:pPr>
            <w:r>
              <w:rPr>
                <w:rFonts w:eastAsia="宋体" w:cstheme="minorHAnsi"/>
                <w:kern w:val="0"/>
                <w:sz w:val="20"/>
                <w:szCs w:val="20"/>
                <w:lang w:bidi="ar"/>
              </w:rPr>
              <w:t>2023</w:t>
            </w:r>
          </w:p>
        </w:tc>
        <w:tc>
          <w:tcPr>
            <w:tcW w:w="1028" w:type="dxa"/>
            <w:tcBorders>
              <w:top w:val="nil"/>
              <w:left w:val="nil"/>
              <w:bottom w:val="nil"/>
              <w:right w:val="nil"/>
            </w:tcBorders>
            <w:vAlign w:val="center"/>
          </w:tcPr>
          <w:p w14:paraId="4714CE43">
            <w:pPr>
              <w:jc w:val="center"/>
              <w:rPr>
                <w:rFonts w:cstheme="minorHAnsi"/>
                <w:sz w:val="20"/>
                <w:szCs w:val="20"/>
              </w:rPr>
            </w:pPr>
            <w:r>
              <w:rPr>
                <w:rFonts w:eastAsia="宋体" w:cstheme="minorHAnsi"/>
                <w:kern w:val="0"/>
                <w:sz w:val="20"/>
                <w:szCs w:val="20"/>
                <w:lang w:bidi="ar"/>
              </w:rPr>
              <w:t>1718.20</w:t>
            </w:r>
          </w:p>
        </w:tc>
        <w:tc>
          <w:tcPr>
            <w:tcW w:w="0" w:type="auto"/>
            <w:tcBorders>
              <w:top w:val="nil"/>
              <w:left w:val="nil"/>
              <w:bottom w:val="nil"/>
              <w:right w:val="nil"/>
            </w:tcBorders>
            <w:vAlign w:val="center"/>
          </w:tcPr>
          <w:p w14:paraId="0439B949">
            <w:pPr>
              <w:jc w:val="center"/>
              <w:rPr>
                <w:rFonts w:cstheme="minorHAnsi"/>
                <w:sz w:val="20"/>
                <w:szCs w:val="20"/>
              </w:rPr>
            </w:pPr>
            <w:r>
              <w:rPr>
                <w:rFonts w:eastAsia="宋体" w:cstheme="minorHAnsi"/>
                <w:kern w:val="0"/>
                <w:sz w:val="20"/>
                <w:szCs w:val="20"/>
                <w:lang w:bidi="ar"/>
              </w:rPr>
              <w:t>10.11</w:t>
            </w:r>
          </w:p>
        </w:tc>
        <w:tc>
          <w:tcPr>
            <w:tcW w:w="0" w:type="auto"/>
            <w:tcBorders>
              <w:top w:val="nil"/>
              <w:left w:val="nil"/>
              <w:bottom w:val="nil"/>
              <w:right w:val="nil"/>
            </w:tcBorders>
            <w:vAlign w:val="center"/>
          </w:tcPr>
          <w:p w14:paraId="3585C9F0">
            <w:pPr>
              <w:jc w:val="center"/>
              <w:rPr>
                <w:rFonts w:cstheme="minorHAnsi"/>
                <w:sz w:val="20"/>
                <w:szCs w:val="20"/>
              </w:rPr>
            </w:pPr>
            <w:r>
              <w:rPr>
                <w:rFonts w:eastAsia="宋体" w:cstheme="minorHAnsi"/>
                <w:kern w:val="0"/>
                <w:sz w:val="20"/>
                <w:szCs w:val="20"/>
                <w:lang w:bidi="ar"/>
              </w:rPr>
              <w:t>170</w:t>
            </w:r>
          </w:p>
        </w:tc>
        <w:tc>
          <w:tcPr>
            <w:tcW w:w="0" w:type="auto"/>
            <w:tcBorders>
              <w:top w:val="nil"/>
              <w:left w:val="nil"/>
              <w:bottom w:val="nil"/>
              <w:right w:val="nil"/>
            </w:tcBorders>
            <w:vAlign w:val="center"/>
          </w:tcPr>
          <w:p w14:paraId="68A0BA4D">
            <w:pPr>
              <w:jc w:val="center"/>
              <w:rPr>
                <w:rFonts w:cstheme="minorHAnsi"/>
                <w:sz w:val="20"/>
                <w:szCs w:val="20"/>
              </w:rPr>
            </w:pPr>
            <w:r>
              <w:rPr>
                <w:rFonts w:eastAsia="宋体" w:cstheme="minorHAnsi"/>
                <w:kern w:val="0"/>
                <w:sz w:val="20"/>
                <w:szCs w:val="20"/>
                <w:lang w:bidi="ar"/>
              </w:rPr>
              <w:t>Northeast Provincial Capital</w:t>
            </w:r>
          </w:p>
        </w:tc>
      </w:tr>
      <w:tr w14:paraId="3EF3C4F5">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2A93B7D4">
            <w:pPr>
              <w:jc w:val="center"/>
              <w:rPr>
                <w:rFonts w:cstheme="minorHAnsi"/>
                <w:sz w:val="20"/>
                <w:szCs w:val="20"/>
              </w:rPr>
            </w:pPr>
            <w:r>
              <w:rPr>
                <w:rFonts w:eastAsia="宋体" w:cstheme="minorHAnsi"/>
                <w:kern w:val="0"/>
                <w:sz w:val="20"/>
                <w:szCs w:val="20"/>
                <w:lang w:bidi="ar"/>
              </w:rPr>
              <w:t>Quanzhou Central Blood Station</w:t>
            </w:r>
          </w:p>
        </w:tc>
        <w:tc>
          <w:tcPr>
            <w:tcW w:w="1210" w:type="dxa"/>
            <w:tcBorders>
              <w:top w:val="nil"/>
              <w:left w:val="nil"/>
              <w:bottom w:val="nil"/>
              <w:right w:val="nil"/>
            </w:tcBorders>
            <w:vAlign w:val="center"/>
          </w:tcPr>
          <w:p w14:paraId="7FFFF6C9">
            <w:pPr>
              <w:jc w:val="center"/>
              <w:rPr>
                <w:rFonts w:cstheme="minorHAnsi"/>
                <w:sz w:val="20"/>
                <w:szCs w:val="20"/>
              </w:rPr>
            </w:pPr>
            <w:r>
              <w:rPr>
                <w:rFonts w:eastAsia="宋体" w:cstheme="minorHAnsi"/>
                <w:kern w:val="0"/>
                <w:sz w:val="20"/>
                <w:szCs w:val="20"/>
                <w:lang w:bidi="ar"/>
              </w:rPr>
              <w:t>Fujian</w:t>
            </w:r>
          </w:p>
        </w:tc>
        <w:tc>
          <w:tcPr>
            <w:tcW w:w="913" w:type="dxa"/>
            <w:tcBorders>
              <w:top w:val="nil"/>
              <w:left w:val="nil"/>
              <w:bottom w:val="nil"/>
              <w:right w:val="nil"/>
            </w:tcBorders>
            <w:vAlign w:val="center"/>
          </w:tcPr>
          <w:p w14:paraId="19AB74C2">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61AAF424">
            <w:pPr>
              <w:jc w:val="center"/>
              <w:rPr>
                <w:rFonts w:cstheme="minorHAnsi"/>
                <w:sz w:val="20"/>
                <w:szCs w:val="20"/>
              </w:rPr>
            </w:pPr>
            <w:r>
              <w:rPr>
                <w:rFonts w:eastAsia="宋体" w:cstheme="minorHAnsi"/>
                <w:kern w:val="0"/>
                <w:sz w:val="20"/>
                <w:szCs w:val="20"/>
                <w:lang w:bidi="ar"/>
              </w:rPr>
              <w:t>1442.80</w:t>
            </w:r>
          </w:p>
        </w:tc>
        <w:tc>
          <w:tcPr>
            <w:tcW w:w="0" w:type="auto"/>
            <w:tcBorders>
              <w:top w:val="nil"/>
              <w:left w:val="nil"/>
              <w:bottom w:val="nil"/>
              <w:right w:val="nil"/>
            </w:tcBorders>
            <w:vAlign w:val="center"/>
          </w:tcPr>
          <w:p w14:paraId="7664F5B9">
            <w:pPr>
              <w:jc w:val="center"/>
              <w:rPr>
                <w:rFonts w:cstheme="minorHAnsi"/>
                <w:sz w:val="20"/>
                <w:szCs w:val="20"/>
              </w:rPr>
            </w:pPr>
            <w:r>
              <w:rPr>
                <w:rFonts w:eastAsia="宋体" w:cstheme="minorHAnsi"/>
                <w:kern w:val="0"/>
                <w:sz w:val="20"/>
                <w:szCs w:val="20"/>
                <w:lang w:bidi="ar"/>
              </w:rPr>
              <w:t>8.24</w:t>
            </w:r>
          </w:p>
        </w:tc>
        <w:tc>
          <w:tcPr>
            <w:tcW w:w="0" w:type="auto"/>
            <w:tcBorders>
              <w:top w:val="nil"/>
              <w:left w:val="nil"/>
              <w:bottom w:val="nil"/>
              <w:right w:val="nil"/>
            </w:tcBorders>
            <w:vAlign w:val="center"/>
          </w:tcPr>
          <w:p w14:paraId="1A33A296">
            <w:pPr>
              <w:jc w:val="center"/>
              <w:rPr>
                <w:rFonts w:cstheme="minorHAnsi"/>
                <w:sz w:val="20"/>
                <w:szCs w:val="20"/>
              </w:rPr>
            </w:pPr>
            <w:r>
              <w:rPr>
                <w:rFonts w:eastAsia="宋体" w:cstheme="minorHAnsi"/>
                <w:kern w:val="0"/>
                <w:sz w:val="20"/>
                <w:szCs w:val="20"/>
                <w:lang w:bidi="ar"/>
              </w:rPr>
              <w:t>175</w:t>
            </w:r>
          </w:p>
        </w:tc>
        <w:tc>
          <w:tcPr>
            <w:tcW w:w="0" w:type="auto"/>
            <w:tcBorders>
              <w:top w:val="nil"/>
              <w:left w:val="nil"/>
              <w:bottom w:val="nil"/>
              <w:right w:val="nil"/>
            </w:tcBorders>
            <w:vAlign w:val="center"/>
          </w:tcPr>
          <w:p w14:paraId="49F10904">
            <w:pPr>
              <w:jc w:val="center"/>
              <w:rPr>
                <w:rFonts w:cstheme="minorHAnsi"/>
                <w:sz w:val="20"/>
                <w:szCs w:val="20"/>
              </w:rPr>
            </w:pPr>
            <w:r>
              <w:rPr>
                <w:rFonts w:eastAsia="宋体" w:cstheme="minorHAnsi"/>
                <w:kern w:val="0"/>
                <w:sz w:val="20"/>
                <w:szCs w:val="20"/>
                <w:lang w:bidi="ar"/>
              </w:rPr>
              <w:t>Eastern Prefecture-level City</w:t>
            </w:r>
          </w:p>
        </w:tc>
      </w:tr>
      <w:tr w14:paraId="6BD87ECB">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28D7B110">
            <w:pPr>
              <w:jc w:val="center"/>
              <w:rPr>
                <w:rFonts w:cstheme="minorHAnsi"/>
                <w:sz w:val="20"/>
                <w:szCs w:val="20"/>
              </w:rPr>
            </w:pPr>
            <w:r>
              <w:rPr>
                <w:rFonts w:eastAsia="宋体" w:cstheme="minorHAnsi"/>
                <w:kern w:val="0"/>
                <w:sz w:val="20"/>
                <w:szCs w:val="20"/>
                <w:lang w:bidi="ar"/>
              </w:rPr>
              <w:t>Hainan Blood Centre</w:t>
            </w:r>
          </w:p>
        </w:tc>
        <w:tc>
          <w:tcPr>
            <w:tcW w:w="1210" w:type="dxa"/>
            <w:tcBorders>
              <w:top w:val="nil"/>
              <w:left w:val="nil"/>
              <w:bottom w:val="nil"/>
              <w:right w:val="nil"/>
            </w:tcBorders>
            <w:vAlign w:val="center"/>
          </w:tcPr>
          <w:p w14:paraId="75B08648">
            <w:pPr>
              <w:jc w:val="center"/>
              <w:rPr>
                <w:rFonts w:cstheme="minorHAnsi"/>
                <w:sz w:val="20"/>
                <w:szCs w:val="20"/>
              </w:rPr>
            </w:pPr>
            <w:r>
              <w:rPr>
                <w:rFonts w:eastAsia="宋体" w:cstheme="minorHAnsi"/>
                <w:kern w:val="0"/>
                <w:sz w:val="20"/>
                <w:szCs w:val="20"/>
                <w:lang w:bidi="ar"/>
              </w:rPr>
              <w:t>Hainan</w:t>
            </w:r>
          </w:p>
        </w:tc>
        <w:tc>
          <w:tcPr>
            <w:tcW w:w="913" w:type="dxa"/>
            <w:tcBorders>
              <w:top w:val="nil"/>
              <w:left w:val="nil"/>
              <w:bottom w:val="nil"/>
              <w:right w:val="nil"/>
            </w:tcBorders>
            <w:vAlign w:val="center"/>
          </w:tcPr>
          <w:p w14:paraId="101C5F56">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2B821E5D">
            <w:pPr>
              <w:jc w:val="center"/>
              <w:rPr>
                <w:rFonts w:cstheme="minorHAnsi"/>
                <w:sz w:val="20"/>
                <w:szCs w:val="20"/>
              </w:rPr>
            </w:pPr>
            <w:r>
              <w:rPr>
                <w:rFonts w:eastAsia="宋体" w:cstheme="minorHAnsi"/>
                <w:kern w:val="0"/>
                <w:sz w:val="20"/>
                <w:szCs w:val="20"/>
                <w:lang w:bidi="ar"/>
              </w:rPr>
              <w:t>2429.41</w:t>
            </w:r>
          </w:p>
        </w:tc>
        <w:tc>
          <w:tcPr>
            <w:tcW w:w="0" w:type="auto"/>
            <w:tcBorders>
              <w:top w:val="nil"/>
              <w:left w:val="nil"/>
              <w:bottom w:val="nil"/>
              <w:right w:val="nil"/>
            </w:tcBorders>
            <w:vAlign w:val="center"/>
          </w:tcPr>
          <w:p w14:paraId="39D3B180">
            <w:pPr>
              <w:jc w:val="center"/>
              <w:rPr>
                <w:rFonts w:cstheme="minorHAnsi"/>
                <w:sz w:val="20"/>
                <w:szCs w:val="20"/>
              </w:rPr>
            </w:pPr>
            <w:r>
              <w:rPr>
                <w:rFonts w:eastAsia="宋体" w:cstheme="minorHAnsi"/>
                <w:kern w:val="0"/>
                <w:sz w:val="20"/>
                <w:szCs w:val="20"/>
                <w:lang w:bidi="ar"/>
              </w:rPr>
              <w:t>13.86</w:t>
            </w:r>
          </w:p>
        </w:tc>
        <w:tc>
          <w:tcPr>
            <w:tcW w:w="0" w:type="auto"/>
            <w:tcBorders>
              <w:top w:val="nil"/>
              <w:left w:val="nil"/>
              <w:bottom w:val="nil"/>
              <w:right w:val="nil"/>
            </w:tcBorders>
            <w:vAlign w:val="center"/>
          </w:tcPr>
          <w:p w14:paraId="094D3B91">
            <w:pPr>
              <w:jc w:val="center"/>
              <w:rPr>
                <w:rFonts w:cstheme="minorHAnsi"/>
                <w:sz w:val="20"/>
                <w:szCs w:val="20"/>
              </w:rPr>
            </w:pPr>
            <w:r>
              <w:rPr>
                <w:rFonts w:eastAsia="宋体" w:cstheme="minorHAnsi"/>
                <w:kern w:val="0"/>
                <w:sz w:val="20"/>
                <w:szCs w:val="20"/>
                <w:lang w:bidi="ar"/>
              </w:rPr>
              <w:t>175</w:t>
            </w:r>
          </w:p>
        </w:tc>
        <w:tc>
          <w:tcPr>
            <w:tcW w:w="0" w:type="auto"/>
            <w:tcBorders>
              <w:top w:val="nil"/>
              <w:left w:val="nil"/>
              <w:bottom w:val="nil"/>
              <w:right w:val="nil"/>
            </w:tcBorders>
            <w:vAlign w:val="center"/>
          </w:tcPr>
          <w:p w14:paraId="72F2E8C3">
            <w:pPr>
              <w:jc w:val="center"/>
              <w:rPr>
                <w:rFonts w:cstheme="minorHAnsi"/>
                <w:sz w:val="20"/>
                <w:szCs w:val="20"/>
              </w:rPr>
            </w:pPr>
            <w:r>
              <w:rPr>
                <w:rFonts w:eastAsia="宋体" w:cstheme="minorHAnsi"/>
                <w:kern w:val="0"/>
                <w:sz w:val="20"/>
                <w:szCs w:val="20"/>
                <w:lang w:bidi="ar"/>
              </w:rPr>
              <w:t>Southern Province</w:t>
            </w:r>
          </w:p>
        </w:tc>
      </w:tr>
      <w:tr w14:paraId="79694BF0">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6B85189F">
            <w:pPr>
              <w:jc w:val="center"/>
              <w:rPr>
                <w:rFonts w:cstheme="minorHAnsi"/>
                <w:sz w:val="20"/>
                <w:szCs w:val="20"/>
              </w:rPr>
            </w:pPr>
            <w:r>
              <w:rPr>
                <w:rFonts w:eastAsia="宋体" w:cstheme="minorHAnsi"/>
                <w:kern w:val="0"/>
                <w:sz w:val="20"/>
                <w:szCs w:val="20"/>
                <w:lang w:bidi="ar"/>
              </w:rPr>
              <w:t>Changchun Central Blood Station</w:t>
            </w:r>
          </w:p>
        </w:tc>
        <w:tc>
          <w:tcPr>
            <w:tcW w:w="1210" w:type="dxa"/>
            <w:tcBorders>
              <w:top w:val="nil"/>
              <w:left w:val="nil"/>
              <w:bottom w:val="nil"/>
              <w:right w:val="nil"/>
            </w:tcBorders>
            <w:vAlign w:val="center"/>
          </w:tcPr>
          <w:p w14:paraId="6C0E74BC">
            <w:pPr>
              <w:jc w:val="center"/>
              <w:rPr>
                <w:rFonts w:cstheme="minorHAnsi"/>
                <w:sz w:val="20"/>
                <w:szCs w:val="20"/>
              </w:rPr>
            </w:pPr>
            <w:r>
              <w:rPr>
                <w:rFonts w:eastAsia="宋体" w:cstheme="minorHAnsi"/>
                <w:kern w:val="0"/>
                <w:sz w:val="20"/>
                <w:szCs w:val="20"/>
                <w:lang w:bidi="ar"/>
              </w:rPr>
              <w:t>Jilin</w:t>
            </w:r>
          </w:p>
        </w:tc>
        <w:tc>
          <w:tcPr>
            <w:tcW w:w="913" w:type="dxa"/>
            <w:tcBorders>
              <w:top w:val="nil"/>
              <w:left w:val="nil"/>
              <w:bottom w:val="nil"/>
              <w:right w:val="nil"/>
            </w:tcBorders>
            <w:vAlign w:val="center"/>
          </w:tcPr>
          <w:p w14:paraId="01A13C93">
            <w:pPr>
              <w:jc w:val="center"/>
              <w:rPr>
                <w:rFonts w:cstheme="minorHAnsi"/>
                <w:sz w:val="20"/>
                <w:szCs w:val="20"/>
              </w:rPr>
            </w:pPr>
            <w:r>
              <w:rPr>
                <w:rFonts w:eastAsia="宋体" w:cstheme="minorHAnsi"/>
                <w:kern w:val="0"/>
                <w:sz w:val="20"/>
                <w:szCs w:val="20"/>
                <w:lang w:bidi="ar"/>
              </w:rPr>
              <w:t>2024</w:t>
            </w:r>
          </w:p>
        </w:tc>
        <w:tc>
          <w:tcPr>
            <w:tcW w:w="1028" w:type="dxa"/>
            <w:tcBorders>
              <w:top w:val="nil"/>
              <w:left w:val="nil"/>
              <w:bottom w:val="nil"/>
              <w:right w:val="nil"/>
            </w:tcBorders>
            <w:vAlign w:val="center"/>
          </w:tcPr>
          <w:p w14:paraId="219D72A6">
            <w:pPr>
              <w:jc w:val="center"/>
              <w:rPr>
                <w:rFonts w:cstheme="minorHAnsi"/>
                <w:sz w:val="20"/>
                <w:szCs w:val="20"/>
              </w:rPr>
            </w:pPr>
            <w:r>
              <w:rPr>
                <w:rFonts w:eastAsia="宋体" w:cstheme="minorHAnsi"/>
                <w:kern w:val="0"/>
                <w:sz w:val="20"/>
                <w:szCs w:val="20"/>
                <w:lang w:bidi="ar"/>
              </w:rPr>
              <w:t>2060.38</w:t>
            </w:r>
          </w:p>
        </w:tc>
        <w:tc>
          <w:tcPr>
            <w:tcW w:w="0" w:type="auto"/>
            <w:tcBorders>
              <w:top w:val="nil"/>
              <w:left w:val="nil"/>
              <w:bottom w:val="nil"/>
              <w:right w:val="nil"/>
            </w:tcBorders>
            <w:vAlign w:val="center"/>
          </w:tcPr>
          <w:p w14:paraId="30441A55">
            <w:pPr>
              <w:jc w:val="center"/>
              <w:rPr>
                <w:rFonts w:cstheme="minorHAnsi"/>
                <w:sz w:val="20"/>
                <w:szCs w:val="20"/>
              </w:rPr>
            </w:pPr>
            <w:r>
              <w:rPr>
                <w:rFonts w:eastAsia="宋体" w:cstheme="minorHAnsi"/>
                <w:kern w:val="0"/>
                <w:sz w:val="20"/>
                <w:szCs w:val="20"/>
                <w:lang w:bidi="ar"/>
              </w:rPr>
              <w:t>12.49</w:t>
            </w:r>
          </w:p>
        </w:tc>
        <w:tc>
          <w:tcPr>
            <w:tcW w:w="0" w:type="auto"/>
            <w:tcBorders>
              <w:top w:val="nil"/>
              <w:left w:val="nil"/>
              <w:bottom w:val="nil"/>
              <w:right w:val="nil"/>
            </w:tcBorders>
            <w:vAlign w:val="center"/>
          </w:tcPr>
          <w:p w14:paraId="3FB2ED8F">
            <w:pPr>
              <w:jc w:val="center"/>
              <w:rPr>
                <w:rFonts w:cstheme="minorHAnsi"/>
                <w:sz w:val="20"/>
                <w:szCs w:val="20"/>
              </w:rPr>
            </w:pPr>
            <w:r>
              <w:rPr>
                <w:rFonts w:eastAsia="宋体" w:cstheme="minorHAnsi"/>
                <w:kern w:val="0"/>
                <w:sz w:val="20"/>
                <w:szCs w:val="20"/>
                <w:lang w:bidi="ar"/>
              </w:rPr>
              <w:t>165</w:t>
            </w:r>
          </w:p>
        </w:tc>
        <w:tc>
          <w:tcPr>
            <w:tcW w:w="0" w:type="auto"/>
            <w:tcBorders>
              <w:top w:val="nil"/>
              <w:left w:val="nil"/>
              <w:bottom w:val="nil"/>
              <w:right w:val="nil"/>
            </w:tcBorders>
            <w:vAlign w:val="center"/>
          </w:tcPr>
          <w:p w14:paraId="4E504B65">
            <w:pPr>
              <w:jc w:val="center"/>
              <w:rPr>
                <w:rFonts w:cstheme="minorHAnsi"/>
                <w:sz w:val="20"/>
                <w:szCs w:val="20"/>
              </w:rPr>
            </w:pPr>
            <w:r>
              <w:rPr>
                <w:rFonts w:eastAsia="宋体" w:cstheme="minorHAnsi"/>
                <w:kern w:val="0"/>
                <w:sz w:val="20"/>
                <w:szCs w:val="20"/>
                <w:lang w:bidi="ar"/>
              </w:rPr>
              <w:t>Northeast Provincial Capital</w:t>
            </w:r>
          </w:p>
        </w:tc>
      </w:tr>
      <w:tr w14:paraId="104C2AB5">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79325C1">
            <w:pPr>
              <w:jc w:val="center"/>
              <w:rPr>
                <w:rFonts w:cstheme="minorHAnsi"/>
                <w:sz w:val="20"/>
                <w:szCs w:val="20"/>
              </w:rPr>
            </w:pPr>
            <w:r>
              <w:rPr>
                <w:rFonts w:eastAsia="宋体" w:cstheme="minorHAnsi"/>
                <w:kern w:val="0"/>
                <w:sz w:val="20"/>
                <w:szCs w:val="20"/>
                <w:lang w:bidi="ar"/>
              </w:rPr>
              <w:t>Urumqi Central Blood Station</w:t>
            </w:r>
          </w:p>
        </w:tc>
        <w:tc>
          <w:tcPr>
            <w:tcW w:w="1210" w:type="dxa"/>
            <w:tcBorders>
              <w:top w:val="nil"/>
              <w:left w:val="nil"/>
              <w:bottom w:val="nil"/>
              <w:right w:val="nil"/>
            </w:tcBorders>
            <w:vAlign w:val="center"/>
          </w:tcPr>
          <w:p w14:paraId="431C48C9">
            <w:pPr>
              <w:jc w:val="center"/>
              <w:rPr>
                <w:rFonts w:cstheme="minorHAnsi"/>
                <w:sz w:val="20"/>
                <w:szCs w:val="20"/>
              </w:rPr>
            </w:pPr>
            <w:r>
              <w:rPr>
                <w:rFonts w:eastAsia="宋体" w:cstheme="minorHAnsi"/>
                <w:kern w:val="0"/>
                <w:sz w:val="20"/>
                <w:szCs w:val="20"/>
                <w:lang w:bidi="ar"/>
              </w:rPr>
              <w:t>Xinjiang</w:t>
            </w:r>
          </w:p>
        </w:tc>
        <w:tc>
          <w:tcPr>
            <w:tcW w:w="913" w:type="dxa"/>
            <w:tcBorders>
              <w:top w:val="nil"/>
              <w:left w:val="nil"/>
              <w:bottom w:val="nil"/>
              <w:right w:val="nil"/>
            </w:tcBorders>
            <w:vAlign w:val="center"/>
          </w:tcPr>
          <w:p w14:paraId="2F212189">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2510486F">
            <w:pPr>
              <w:jc w:val="center"/>
              <w:rPr>
                <w:rFonts w:cstheme="minorHAnsi"/>
                <w:sz w:val="20"/>
                <w:szCs w:val="20"/>
              </w:rPr>
            </w:pPr>
            <w:r>
              <w:rPr>
                <w:rFonts w:eastAsia="宋体" w:cstheme="minorHAnsi"/>
                <w:kern w:val="0"/>
                <w:sz w:val="20"/>
                <w:szCs w:val="20"/>
                <w:lang w:bidi="ar"/>
              </w:rPr>
              <w:t>1240.88</w:t>
            </w:r>
          </w:p>
        </w:tc>
        <w:tc>
          <w:tcPr>
            <w:tcW w:w="0" w:type="auto"/>
            <w:tcBorders>
              <w:top w:val="nil"/>
              <w:left w:val="nil"/>
              <w:bottom w:val="nil"/>
              <w:right w:val="nil"/>
            </w:tcBorders>
            <w:vAlign w:val="center"/>
          </w:tcPr>
          <w:p w14:paraId="7CB77E9F">
            <w:pPr>
              <w:jc w:val="center"/>
              <w:rPr>
                <w:rFonts w:cstheme="minorHAnsi"/>
                <w:sz w:val="20"/>
                <w:szCs w:val="20"/>
              </w:rPr>
            </w:pPr>
            <w:r>
              <w:rPr>
                <w:rFonts w:eastAsia="宋体" w:cstheme="minorHAnsi"/>
                <w:kern w:val="0"/>
                <w:sz w:val="20"/>
                <w:szCs w:val="20"/>
                <w:lang w:bidi="ar"/>
              </w:rPr>
              <w:t>7.52</w:t>
            </w:r>
          </w:p>
        </w:tc>
        <w:tc>
          <w:tcPr>
            <w:tcW w:w="0" w:type="auto"/>
            <w:tcBorders>
              <w:top w:val="nil"/>
              <w:left w:val="nil"/>
              <w:bottom w:val="nil"/>
              <w:right w:val="nil"/>
            </w:tcBorders>
            <w:vAlign w:val="center"/>
          </w:tcPr>
          <w:p w14:paraId="268191B9">
            <w:pPr>
              <w:jc w:val="center"/>
              <w:rPr>
                <w:rFonts w:cstheme="minorHAnsi"/>
                <w:sz w:val="20"/>
                <w:szCs w:val="20"/>
              </w:rPr>
            </w:pPr>
            <w:r>
              <w:rPr>
                <w:rFonts w:eastAsia="宋体" w:cstheme="minorHAnsi"/>
                <w:kern w:val="0"/>
                <w:sz w:val="20"/>
                <w:szCs w:val="20"/>
                <w:lang w:bidi="ar"/>
              </w:rPr>
              <w:t>165</w:t>
            </w:r>
          </w:p>
        </w:tc>
        <w:tc>
          <w:tcPr>
            <w:tcW w:w="0" w:type="auto"/>
            <w:tcBorders>
              <w:top w:val="nil"/>
              <w:left w:val="nil"/>
              <w:bottom w:val="nil"/>
              <w:right w:val="nil"/>
            </w:tcBorders>
            <w:vAlign w:val="center"/>
          </w:tcPr>
          <w:p w14:paraId="53C038B4">
            <w:pPr>
              <w:jc w:val="center"/>
              <w:rPr>
                <w:rFonts w:cstheme="minorHAnsi"/>
                <w:sz w:val="20"/>
                <w:szCs w:val="20"/>
              </w:rPr>
            </w:pPr>
            <w:r>
              <w:rPr>
                <w:rFonts w:eastAsia="宋体" w:cstheme="minorHAnsi"/>
                <w:kern w:val="0"/>
                <w:sz w:val="20"/>
                <w:szCs w:val="20"/>
                <w:lang w:bidi="ar"/>
              </w:rPr>
              <w:t>Western Provincial Capital</w:t>
            </w:r>
          </w:p>
        </w:tc>
      </w:tr>
      <w:tr w14:paraId="62AADDD5">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50F2902">
            <w:pPr>
              <w:jc w:val="center"/>
              <w:rPr>
                <w:rFonts w:cstheme="minorHAnsi"/>
                <w:sz w:val="20"/>
                <w:szCs w:val="20"/>
              </w:rPr>
            </w:pPr>
            <w:r>
              <w:rPr>
                <w:rFonts w:eastAsia="宋体" w:cstheme="minorHAnsi"/>
                <w:kern w:val="0"/>
                <w:sz w:val="20"/>
                <w:szCs w:val="20"/>
                <w:lang w:bidi="ar"/>
              </w:rPr>
              <w:t>Jiangxi Blood Centre</w:t>
            </w:r>
          </w:p>
        </w:tc>
        <w:tc>
          <w:tcPr>
            <w:tcW w:w="1210" w:type="dxa"/>
            <w:tcBorders>
              <w:top w:val="nil"/>
              <w:left w:val="nil"/>
              <w:bottom w:val="nil"/>
              <w:right w:val="nil"/>
            </w:tcBorders>
            <w:vAlign w:val="center"/>
          </w:tcPr>
          <w:p w14:paraId="41A527F7">
            <w:pPr>
              <w:jc w:val="center"/>
              <w:rPr>
                <w:rFonts w:cstheme="minorHAnsi"/>
                <w:sz w:val="20"/>
                <w:szCs w:val="20"/>
              </w:rPr>
            </w:pPr>
            <w:r>
              <w:rPr>
                <w:rFonts w:eastAsia="宋体" w:cstheme="minorHAnsi"/>
                <w:kern w:val="0"/>
                <w:sz w:val="20"/>
                <w:szCs w:val="20"/>
                <w:lang w:bidi="ar"/>
              </w:rPr>
              <w:t>Jiangxi</w:t>
            </w:r>
          </w:p>
        </w:tc>
        <w:tc>
          <w:tcPr>
            <w:tcW w:w="913" w:type="dxa"/>
            <w:tcBorders>
              <w:top w:val="nil"/>
              <w:left w:val="nil"/>
              <w:bottom w:val="nil"/>
              <w:right w:val="nil"/>
            </w:tcBorders>
            <w:vAlign w:val="center"/>
          </w:tcPr>
          <w:p w14:paraId="77FAFA54">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72627348">
            <w:pPr>
              <w:jc w:val="center"/>
              <w:rPr>
                <w:rFonts w:cstheme="minorHAnsi"/>
                <w:sz w:val="20"/>
                <w:szCs w:val="20"/>
              </w:rPr>
            </w:pPr>
            <w:r>
              <w:rPr>
                <w:rFonts w:eastAsia="宋体" w:cstheme="minorHAnsi"/>
                <w:kern w:val="0"/>
                <w:sz w:val="20"/>
                <w:szCs w:val="20"/>
                <w:lang w:bidi="ar"/>
              </w:rPr>
              <w:t>5123.79</w:t>
            </w:r>
          </w:p>
        </w:tc>
        <w:tc>
          <w:tcPr>
            <w:tcW w:w="0" w:type="auto"/>
            <w:tcBorders>
              <w:top w:val="nil"/>
              <w:left w:val="nil"/>
              <w:bottom w:val="nil"/>
              <w:right w:val="nil"/>
            </w:tcBorders>
            <w:vAlign w:val="center"/>
          </w:tcPr>
          <w:p w14:paraId="45ED7A48">
            <w:pPr>
              <w:jc w:val="center"/>
              <w:rPr>
                <w:rFonts w:cstheme="minorHAnsi"/>
                <w:sz w:val="20"/>
                <w:szCs w:val="20"/>
              </w:rPr>
            </w:pPr>
            <w:r>
              <w:rPr>
                <w:rFonts w:eastAsia="宋体" w:cstheme="minorHAnsi"/>
                <w:kern w:val="0"/>
                <w:sz w:val="20"/>
                <w:szCs w:val="20"/>
                <w:lang w:bidi="ar"/>
              </w:rPr>
              <w:t>31.82</w:t>
            </w:r>
          </w:p>
        </w:tc>
        <w:tc>
          <w:tcPr>
            <w:tcW w:w="0" w:type="auto"/>
            <w:tcBorders>
              <w:top w:val="nil"/>
              <w:left w:val="nil"/>
              <w:bottom w:val="nil"/>
              <w:right w:val="nil"/>
            </w:tcBorders>
            <w:vAlign w:val="center"/>
          </w:tcPr>
          <w:p w14:paraId="4278F000">
            <w:pPr>
              <w:jc w:val="center"/>
              <w:rPr>
                <w:rFonts w:cstheme="minorHAnsi"/>
                <w:sz w:val="20"/>
                <w:szCs w:val="20"/>
              </w:rPr>
            </w:pPr>
            <w:r>
              <w:rPr>
                <w:rFonts w:eastAsia="宋体" w:cstheme="minorHAnsi"/>
                <w:kern w:val="0"/>
                <w:sz w:val="20"/>
                <w:szCs w:val="20"/>
                <w:lang w:bidi="ar"/>
              </w:rPr>
              <w:t>161</w:t>
            </w:r>
          </w:p>
        </w:tc>
        <w:tc>
          <w:tcPr>
            <w:tcW w:w="0" w:type="auto"/>
            <w:tcBorders>
              <w:top w:val="nil"/>
              <w:left w:val="nil"/>
              <w:bottom w:val="nil"/>
              <w:right w:val="nil"/>
            </w:tcBorders>
            <w:vAlign w:val="center"/>
          </w:tcPr>
          <w:p w14:paraId="349C13A8">
            <w:pPr>
              <w:jc w:val="center"/>
              <w:rPr>
                <w:rFonts w:cstheme="minorHAnsi"/>
                <w:sz w:val="20"/>
                <w:szCs w:val="20"/>
              </w:rPr>
            </w:pPr>
            <w:r>
              <w:rPr>
                <w:rFonts w:eastAsia="宋体" w:cstheme="minorHAnsi"/>
                <w:kern w:val="0"/>
                <w:sz w:val="20"/>
                <w:szCs w:val="20"/>
                <w:lang w:bidi="ar"/>
              </w:rPr>
              <w:t>Central Province</w:t>
            </w:r>
          </w:p>
        </w:tc>
      </w:tr>
      <w:tr w14:paraId="0A1D6CF0">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00D315C">
            <w:pPr>
              <w:jc w:val="center"/>
              <w:rPr>
                <w:rFonts w:cstheme="minorHAnsi"/>
                <w:sz w:val="20"/>
                <w:szCs w:val="20"/>
              </w:rPr>
            </w:pPr>
            <w:r>
              <w:rPr>
                <w:rFonts w:eastAsia="宋体" w:cstheme="minorHAnsi"/>
                <w:kern w:val="0"/>
                <w:sz w:val="20"/>
                <w:szCs w:val="20"/>
                <w:lang w:bidi="ar"/>
              </w:rPr>
              <w:t>Anhui Blood Administration Centre</w:t>
            </w:r>
          </w:p>
        </w:tc>
        <w:tc>
          <w:tcPr>
            <w:tcW w:w="1210" w:type="dxa"/>
            <w:tcBorders>
              <w:top w:val="nil"/>
              <w:left w:val="nil"/>
              <w:bottom w:val="nil"/>
              <w:right w:val="nil"/>
            </w:tcBorders>
            <w:vAlign w:val="center"/>
          </w:tcPr>
          <w:p w14:paraId="252B6F5D">
            <w:pPr>
              <w:jc w:val="center"/>
              <w:rPr>
                <w:rFonts w:cstheme="minorHAnsi"/>
                <w:sz w:val="20"/>
                <w:szCs w:val="20"/>
              </w:rPr>
            </w:pPr>
            <w:r>
              <w:rPr>
                <w:rFonts w:eastAsia="宋体" w:cstheme="minorHAnsi"/>
                <w:kern w:val="0"/>
                <w:sz w:val="20"/>
                <w:szCs w:val="20"/>
                <w:lang w:bidi="ar"/>
              </w:rPr>
              <w:t>Anhui</w:t>
            </w:r>
          </w:p>
        </w:tc>
        <w:tc>
          <w:tcPr>
            <w:tcW w:w="913" w:type="dxa"/>
            <w:tcBorders>
              <w:top w:val="nil"/>
              <w:left w:val="nil"/>
              <w:bottom w:val="nil"/>
              <w:right w:val="nil"/>
            </w:tcBorders>
            <w:vAlign w:val="center"/>
          </w:tcPr>
          <w:p w14:paraId="0E5C0D91">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7C8131CA">
            <w:pPr>
              <w:jc w:val="center"/>
              <w:rPr>
                <w:rFonts w:cstheme="minorHAnsi"/>
                <w:sz w:val="20"/>
                <w:szCs w:val="20"/>
              </w:rPr>
            </w:pPr>
            <w:r>
              <w:rPr>
                <w:rFonts w:eastAsia="宋体" w:cstheme="minorHAnsi"/>
                <w:kern w:val="0"/>
                <w:sz w:val="20"/>
                <w:szCs w:val="20"/>
                <w:lang w:bidi="ar"/>
              </w:rPr>
              <w:t>936.00</w:t>
            </w:r>
          </w:p>
        </w:tc>
        <w:tc>
          <w:tcPr>
            <w:tcW w:w="0" w:type="auto"/>
            <w:tcBorders>
              <w:top w:val="nil"/>
              <w:left w:val="nil"/>
              <w:bottom w:val="nil"/>
              <w:right w:val="nil"/>
            </w:tcBorders>
            <w:vAlign w:val="center"/>
          </w:tcPr>
          <w:p w14:paraId="0360027B">
            <w:pPr>
              <w:jc w:val="center"/>
              <w:rPr>
                <w:rFonts w:cstheme="minorHAnsi"/>
                <w:sz w:val="20"/>
                <w:szCs w:val="20"/>
              </w:rPr>
            </w:pPr>
            <w:r>
              <w:rPr>
                <w:rFonts w:eastAsia="宋体" w:cstheme="minorHAnsi"/>
                <w:kern w:val="0"/>
                <w:sz w:val="20"/>
                <w:szCs w:val="20"/>
                <w:lang w:bidi="ar"/>
              </w:rPr>
              <w:t>5.63</w:t>
            </w:r>
          </w:p>
        </w:tc>
        <w:tc>
          <w:tcPr>
            <w:tcW w:w="0" w:type="auto"/>
            <w:tcBorders>
              <w:top w:val="nil"/>
              <w:left w:val="nil"/>
              <w:bottom w:val="nil"/>
              <w:right w:val="nil"/>
            </w:tcBorders>
            <w:vAlign w:val="center"/>
          </w:tcPr>
          <w:p w14:paraId="154BD1F9">
            <w:pPr>
              <w:jc w:val="center"/>
              <w:rPr>
                <w:rFonts w:cstheme="minorHAnsi"/>
                <w:sz w:val="20"/>
                <w:szCs w:val="20"/>
              </w:rPr>
            </w:pPr>
            <w:r>
              <w:rPr>
                <w:rFonts w:eastAsia="宋体" w:cstheme="minorHAnsi"/>
                <w:kern w:val="0"/>
                <w:sz w:val="20"/>
                <w:szCs w:val="20"/>
                <w:lang w:bidi="ar"/>
              </w:rPr>
              <w:t>165</w:t>
            </w:r>
          </w:p>
        </w:tc>
        <w:tc>
          <w:tcPr>
            <w:tcW w:w="0" w:type="auto"/>
            <w:tcBorders>
              <w:top w:val="nil"/>
              <w:left w:val="nil"/>
              <w:bottom w:val="nil"/>
              <w:right w:val="nil"/>
            </w:tcBorders>
            <w:vAlign w:val="center"/>
          </w:tcPr>
          <w:p w14:paraId="18C2F428">
            <w:pPr>
              <w:jc w:val="center"/>
              <w:rPr>
                <w:rFonts w:cstheme="minorHAnsi"/>
                <w:sz w:val="20"/>
                <w:szCs w:val="20"/>
              </w:rPr>
            </w:pPr>
            <w:r>
              <w:rPr>
                <w:rFonts w:eastAsia="宋体" w:cstheme="minorHAnsi"/>
                <w:kern w:val="0"/>
                <w:sz w:val="20"/>
                <w:szCs w:val="20"/>
                <w:lang w:bidi="ar"/>
              </w:rPr>
              <w:t>Central Province</w:t>
            </w:r>
          </w:p>
        </w:tc>
      </w:tr>
      <w:tr w14:paraId="5C0DE88E">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25E8F4D4">
            <w:pPr>
              <w:jc w:val="center"/>
              <w:rPr>
                <w:rFonts w:cstheme="minorHAnsi"/>
                <w:sz w:val="20"/>
                <w:szCs w:val="20"/>
              </w:rPr>
            </w:pPr>
            <w:r>
              <w:rPr>
                <w:rFonts w:eastAsia="宋体" w:cstheme="minorHAnsi"/>
                <w:kern w:val="0"/>
                <w:sz w:val="20"/>
                <w:szCs w:val="20"/>
                <w:lang w:bidi="ar"/>
              </w:rPr>
              <w:t>Henan Red Cross Blood Centre</w:t>
            </w:r>
          </w:p>
        </w:tc>
        <w:tc>
          <w:tcPr>
            <w:tcW w:w="1210" w:type="dxa"/>
            <w:tcBorders>
              <w:top w:val="nil"/>
              <w:left w:val="nil"/>
              <w:bottom w:val="nil"/>
              <w:right w:val="nil"/>
            </w:tcBorders>
            <w:vAlign w:val="center"/>
          </w:tcPr>
          <w:p w14:paraId="750520FC">
            <w:pPr>
              <w:jc w:val="center"/>
              <w:rPr>
                <w:rFonts w:cstheme="minorHAnsi"/>
                <w:sz w:val="20"/>
                <w:szCs w:val="20"/>
              </w:rPr>
            </w:pPr>
            <w:r>
              <w:rPr>
                <w:rFonts w:eastAsia="宋体" w:cstheme="minorHAnsi"/>
                <w:kern w:val="0"/>
                <w:sz w:val="20"/>
                <w:szCs w:val="20"/>
                <w:lang w:bidi="ar"/>
              </w:rPr>
              <w:t>Henan</w:t>
            </w:r>
          </w:p>
        </w:tc>
        <w:tc>
          <w:tcPr>
            <w:tcW w:w="913" w:type="dxa"/>
            <w:tcBorders>
              <w:top w:val="nil"/>
              <w:left w:val="nil"/>
              <w:bottom w:val="nil"/>
              <w:right w:val="nil"/>
            </w:tcBorders>
            <w:vAlign w:val="center"/>
          </w:tcPr>
          <w:p w14:paraId="60CF57AF">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0D63C366">
            <w:pPr>
              <w:jc w:val="center"/>
              <w:rPr>
                <w:rFonts w:cstheme="minorHAnsi"/>
                <w:sz w:val="20"/>
                <w:szCs w:val="20"/>
              </w:rPr>
            </w:pPr>
            <w:r>
              <w:rPr>
                <w:rFonts w:eastAsia="宋体" w:cstheme="minorHAnsi"/>
                <w:kern w:val="0"/>
                <w:sz w:val="20"/>
                <w:szCs w:val="20"/>
                <w:lang w:bidi="ar"/>
              </w:rPr>
              <w:t>14032.90</w:t>
            </w:r>
          </w:p>
        </w:tc>
        <w:tc>
          <w:tcPr>
            <w:tcW w:w="0" w:type="auto"/>
            <w:tcBorders>
              <w:top w:val="nil"/>
              <w:left w:val="nil"/>
              <w:bottom w:val="nil"/>
              <w:right w:val="nil"/>
            </w:tcBorders>
            <w:vAlign w:val="center"/>
          </w:tcPr>
          <w:p w14:paraId="474BC5F8">
            <w:pPr>
              <w:jc w:val="center"/>
              <w:rPr>
                <w:rFonts w:cstheme="minorHAnsi"/>
                <w:sz w:val="20"/>
                <w:szCs w:val="20"/>
              </w:rPr>
            </w:pPr>
            <w:r>
              <w:rPr>
                <w:rFonts w:eastAsia="宋体" w:cstheme="minorHAnsi"/>
                <w:kern w:val="0"/>
                <w:sz w:val="20"/>
                <w:szCs w:val="20"/>
                <w:lang w:bidi="ar"/>
              </w:rPr>
              <w:t>96.78</w:t>
            </w:r>
          </w:p>
        </w:tc>
        <w:tc>
          <w:tcPr>
            <w:tcW w:w="0" w:type="auto"/>
            <w:tcBorders>
              <w:top w:val="nil"/>
              <w:left w:val="nil"/>
              <w:bottom w:val="nil"/>
              <w:right w:val="nil"/>
            </w:tcBorders>
            <w:vAlign w:val="center"/>
          </w:tcPr>
          <w:p w14:paraId="40F6917D">
            <w:pPr>
              <w:jc w:val="center"/>
              <w:rPr>
                <w:rFonts w:cstheme="minorHAnsi"/>
                <w:sz w:val="20"/>
                <w:szCs w:val="20"/>
              </w:rPr>
            </w:pPr>
            <w:r>
              <w:rPr>
                <w:rFonts w:eastAsia="宋体" w:cstheme="minorHAnsi"/>
                <w:kern w:val="0"/>
                <w:sz w:val="20"/>
                <w:szCs w:val="20"/>
                <w:lang w:bidi="ar"/>
              </w:rPr>
              <w:t>145</w:t>
            </w:r>
          </w:p>
        </w:tc>
        <w:tc>
          <w:tcPr>
            <w:tcW w:w="0" w:type="auto"/>
            <w:tcBorders>
              <w:top w:val="nil"/>
              <w:left w:val="nil"/>
              <w:bottom w:val="nil"/>
              <w:right w:val="nil"/>
            </w:tcBorders>
            <w:vAlign w:val="center"/>
          </w:tcPr>
          <w:p w14:paraId="4E382C72">
            <w:pPr>
              <w:jc w:val="center"/>
              <w:rPr>
                <w:rFonts w:cstheme="minorHAnsi"/>
                <w:sz w:val="20"/>
                <w:szCs w:val="20"/>
              </w:rPr>
            </w:pPr>
            <w:r>
              <w:rPr>
                <w:rFonts w:eastAsia="宋体" w:cstheme="minorHAnsi"/>
                <w:kern w:val="0"/>
                <w:sz w:val="20"/>
                <w:szCs w:val="20"/>
                <w:lang w:bidi="ar"/>
              </w:rPr>
              <w:t>Central Province</w:t>
            </w:r>
          </w:p>
        </w:tc>
      </w:tr>
      <w:tr w14:paraId="501F8FC9">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1C9F72F1">
            <w:pPr>
              <w:jc w:val="center"/>
              <w:rPr>
                <w:rFonts w:cstheme="minorHAnsi"/>
                <w:sz w:val="20"/>
                <w:szCs w:val="20"/>
              </w:rPr>
            </w:pPr>
            <w:r>
              <w:rPr>
                <w:rFonts w:eastAsia="宋体" w:cstheme="minorHAnsi"/>
                <w:kern w:val="0"/>
                <w:sz w:val="20"/>
                <w:szCs w:val="20"/>
                <w:lang w:bidi="ar"/>
              </w:rPr>
              <w:t>Gansu Red Cross Blood Centre</w:t>
            </w:r>
          </w:p>
        </w:tc>
        <w:tc>
          <w:tcPr>
            <w:tcW w:w="1210" w:type="dxa"/>
            <w:tcBorders>
              <w:top w:val="nil"/>
              <w:left w:val="nil"/>
              <w:bottom w:val="nil"/>
              <w:right w:val="nil"/>
            </w:tcBorders>
            <w:vAlign w:val="center"/>
          </w:tcPr>
          <w:p w14:paraId="2C095BD9">
            <w:pPr>
              <w:jc w:val="center"/>
              <w:rPr>
                <w:rFonts w:cstheme="minorHAnsi"/>
                <w:sz w:val="20"/>
                <w:szCs w:val="20"/>
              </w:rPr>
            </w:pPr>
            <w:r>
              <w:rPr>
                <w:rFonts w:eastAsia="宋体" w:cstheme="minorHAnsi"/>
                <w:kern w:val="0"/>
                <w:sz w:val="20"/>
                <w:szCs w:val="20"/>
                <w:lang w:bidi="ar"/>
              </w:rPr>
              <w:t>Gansu</w:t>
            </w:r>
          </w:p>
        </w:tc>
        <w:tc>
          <w:tcPr>
            <w:tcW w:w="913" w:type="dxa"/>
            <w:tcBorders>
              <w:top w:val="nil"/>
              <w:left w:val="nil"/>
              <w:bottom w:val="nil"/>
              <w:right w:val="nil"/>
            </w:tcBorders>
            <w:vAlign w:val="center"/>
          </w:tcPr>
          <w:p w14:paraId="7E155491">
            <w:pPr>
              <w:jc w:val="center"/>
              <w:rPr>
                <w:rFonts w:cstheme="minorHAnsi"/>
                <w:sz w:val="20"/>
                <w:szCs w:val="20"/>
              </w:rPr>
            </w:pPr>
            <w:r>
              <w:rPr>
                <w:rFonts w:eastAsia="宋体" w:cstheme="minorHAnsi"/>
                <w:kern w:val="0"/>
                <w:sz w:val="20"/>
                <w:szCs w:val="20"/>
                <w:lang w:bidi="ar"/>
              </w:rPr>
              <w:t>2024</w:t>
            </w:r>
          </w:p>
        </w:tc>
        <w:tc>
          <w:tcPr>
            <w:tcW w:w="1028" w:type="dxa"/>
            <w:tcBorders>
              <w:top w:val="nil"/>
              <w:left w:val="nil"/>
              <w:bottom w:val="nil"/>
              <w:right w:val="nil"/>
            </w:tcBorders>
            <w:vAlign w:val="center"/>
          </w:tcPr>
          <w:p w14:paraId="135A3C7C">
            <w:pPr>
              <w:jc w:val="center"/>
              <w:rPr>
                <w:rFonts w:cstheme="minorHAnsi"/>
                <w:sz w:val="20"/>
                <w:szCs w:val="20"/>
              </w:rPr>
            </w:pPr>
            <w:r>
              <w:rPr>
                <w:rFonts w:eastAsia="宋体" w:cstheme="minorHAnsi"/>
                <w:kern w:val="0"/>
                <w:sz w:val="20"/>
                <w:szCs w:val="20"/>
                <w:lang w:bidi="ar"/>
              </w:rPr>
              <w:t>707.20</w:t>
            </w:r>
          </w:p>
        </w:tc>
        <w:tc>
          <w:tcPr>
            <w:tcW w:w="0" w:type="auto"/>
            <w:tcBorders>
              <w:top w:val="nil"/>
              <w:left w:val="nil"/>
              <w:bottom w:val="nil"/>
              <w:right w:val="nil"/>
            </w:tcBorders>
            <w:vAlign w:val="center"/>
          </w:tcPr>
          <w:p w14:paraId="07CF13A1">
            <w:pPr>
              <w:jc w:val="center"/>
              <w:rPr>
                <w:rFonts w:cstheme="minorHAnsi"/>
                <w:sz w:val="20"/>
                <w:szCs w:val="20"/>
              </w:rPr>
            </w:pPr>
            <w:r>
              <w:rPr>
                <w:rFonts w:eastAsia="宋体" w:cstheme="minorHAnsi"/>
                <w:kern w:val="0"/>
                <w:sz w:val="20"/>
                <w:szCs w:val="20"/>
                <w:lang w:bidi="ar"/>
              </w:rPr>
              <w:t>4.88</w:t>
            </w:r>
          </w:p>
        </w:tc>
        <w:tc>
          <w:tcPr>
            <w:tcW w:w="0" w:type="auto"/>
            <w:tcBorders>
              <w:top w:val="nil"/>
              <w:left w:val="nil"/>
              <w:bottom w:val="nil"/>
              <w:right w:val="nil"/>
            </w:tcBorders>
            <w:vAlign w:val="center"/>
          </w:tcPr>
          <w:p w14:paraId="2E30ABE8">
            <w:pPr>
              <w:jc w:val="center"/>
              <w:rPr>
                <w:rFonts w:cstheme="minorHAnsi"/>
                <w:sz w:val="20"/>
                <w:szCs w:val="20"/>
              </w:rPr>
            </w:pPr>
            <w:r>
              <w:rPr>
                <w:rFonts w:eastAsia="宋体" w:cstheme="minorHAnsi"/>
                <w:kern w:val="0"/>
                <w:sz w:val="20"/>
                <w:szCs w:val="20"/>
                <w:lang w:bidi="ar"/>
              </w:rPr>
              <w:t>145</w:t>
            </w:r>
          </w:p>
        </w:tc>
        <w:tc>
          <w:tcPr>
            <w:tcW w:w="0" w:type="auto"/>
            <w:tcBorders>
              <w:top w:val="nil"/>
              <w:left w:val="nil"/>
              <w:bottom w:val="nil"/>
              <w:right w:val="nil"/>
            </w:tcBorders>
            <w:vAlign w:val="center"/>
          </w:tcPr>
          <w:p w14:paraId="1C3FA166">
            <w:pPr>
              <w:jc w:val="center"/>
              <w:rPr>
                <w:rFonts w:cstheme="minorHAnsi"/>
                <w:sz w:val="20"/>
                <w:szCs w:val="20"/>
              </w:rPr>
            </w:pPr>
            <w:r>
              <w:rPr>
                <w:rFonts w:eastAsia="宋体" w:cstheme="minorHAnsi"/>
                <w:kern w:val="0"/>
                <w:sz w:val="20"/>
                <w:szCs w:val="20"/>
                <w:lang w:bidi="ar"/>
              </w:rPr>
              <w:t>Western Province</w:t>
            </w:r>
          </w:p>
        </w:tc>
      </w:tr>
      <w:tr w14:paraId="5C6F8CE9">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65DBE1AB">
            <w:pPr>
              <w:jc w:val="center"/>
              <w:rPr>
                <w:rFonts w:cstheme="minorHAnsi"/>
                <w:sz w:val="20"/>
                <w:szCs w:val="20"/>
              </w:rPr>
            </w:pPr>
            <w:r>
              <w:rPr>
                <w:rFonts w:eastAsia="宋体" w:cstheme="minorHAnsi"/>
                <w:kern w:val="0"/>
                <w:sz w:val="20"/>
                <w:szCs w:val="20"/>
                <w:lang w:bidi="ar"/>
              </w:rPr>
              <w:t>Guilin Central Blood Station</w:t>
            </w:r>
          </w:p>
        </w:tc>
        <w:tc>
          <w:tcPr>
            <w:tcW w:w="1210" w:type="dxa"/>
            <w:tcBorders>
              <w:top w:val="nil"/>
              <w:left w:val="nil"/>
              <w:bottom w:val="nil"/>
              <w:right w:val="nil"/>
            </w:tcBorders>
            <w:vAlign w:val="center"/>
          </w:tcPr>
          <w:p w14:paraId="3F6D3A2F">
            <w:pPr>
              <w:jc w:val="center"/>
              <w:rPr>
                <w:rFonts w:cstheme="minorHAnsi"/>
                <w:sz w:val="20"/>
                <w:szCs w:val="20"/>
              </w:rPr>
            </w:pPr>
            <w:r>
              <w:rPr>
                <w:rFonts w:eastAsia="宋体" w:cstheme="minorHAnsi"/>
                <w:kern w:val="0"/>
                <w:sz w:val="20"/>
                <w:szCs w:val="20"/>
                <w:lang w:bidi="ar"/>
              </w:rPr>
              <w:t>Guangxi</w:t>
            </w:r>
          </w:p>
        </w:tc>
        <w:tc>
          <w:tcPr>
            <w:tcW w:w="913" w:type="dxa"/>
            <w:tcBorders>
              <w:top w:val="nil"/>
              <w:left w:val="nil"/>
              <w:bottom w:val="nil"/>
              <w:right w:val="nil"/>
            </w:tcBorders>
            <w:vAlign w:val="center"/>
          </w:tcPr>
          <w:p w14:paraId="5C5DE77A">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19861B53">
            <w:pPr>
              <w:jc w:val="center"/>
              <w:rPr>
                <w:rFonts w:cstheme="minorHAnsi"/>
                <w:sz w:val="20"/>
                <w:szCs w:val="20"/>
              </w:rPr>
            </w:pPr>
            <w:r>
              <w:rPr>
                <w:rFonts w:eastAsia="宋体" w:cstheme="minorHAnsi"/>
                <w:kern w:val="0"/>
                <w:sz w:val="20"/>
                <w:szCs w:val="20"/>
                <w:lang w:bidi="ar"/>
              </w:rPr>
              <w:t>738.20</w:t>
            </w:r>
          </w:p>
        </w:tc>
        <w:tc>
          <w:tcPr>
            <w:tcW w:w="0" w:type="auto"/>
            <w:tcBorders>
              <w:top w:val="nil"/>
              <w:left w:val="nil"/>
              <w:bottom w:val="nil"/>
              <w:right w:val="nil"/>
            </w:tcBorders>
            <w:vAlign w:val="center"/>
          </w:tcPr>
          <w:p w14:paraId="48D2F720">
            <w:pPr>
              <w:jc w:val="center"/>
              <w:rPr>
                <w:rFonts w:cstheme="minorHAnsi"/>
                <w:sz w:val="20"/>
                <w:szCs w:val="20"/>
              </w:rPr>
            </w:pPr>
            <w:r>
              <w:rPr>
                <w:rFonts w:eastAsia="宋体" w:cstheme="minorHAnsi"/>
                <w:kern w:val="0"/>
                <w:sz w:val="20"/>
                <w:szCs w:val="20"/>
                <w:lang w:bidi="ar"/>
              </w:rPr>
              <w:t>5.10</w:t>
            </w:r>
          </w:p>
        </w:tc>
        <w:tc>
          <w:tcPr>
            <w:tcW w:w="0" w:type="auto"/>
            <w:tcBorders>
              <w:top w:val="nil"/>
              <w:left w:val="nil"/>
              <w:bottom w:val="nil"/>
              <w:right w:val="nil"/>
            </w:tcBorders>
            <w:vAlign w:val="center"/>
          </w:tcPr>
          <w:p w14:paraId="605F5466">
            <w:pPr>
              <w:jc w:val="center"/>
              <w:rPr>
                <w:rFonts w:cstheme="minorHAnsi"/>
                <w:sz w:val="20"/>
                <w:szCs w:val="20"/>
              </w:rPr>
            </w:pPr>
            <w:r>
              <w:rPr>
                <w:rFonts w:eastAsia="宋体" w:cstheme="minorHAnsi"/>
                <w:kern w:val="0"/>
                <w:sz w:val="20"/>
                <w:szCs w:val="20"/>
                <w:lang w:bidi="ar"/>
              </w:rPr>
              <w:t>145</w:t>
            </w:r>
          </w:p>
        </w:tc>
        <w:tc>
          <w:tcPr>
            <w:tcW w:w="0" w:type="auto"/>
            <w:tcBorders>
              <w:top w:val="nil"/>
              <w:left w:val="nil"/>
              <w:bottom w:val="nil"/>
              <w:right w:val="nil"/>
            </w:tcBorders>
            <w:vAlign w:val="center"/>
          </w:tcPr>
          <w:p w14:paraId="4435BBB9">
            <w:pPr>
              <w:jc w:val="center"/>
              <w:rPr>
                <w:rFonts w:cstheme="minorHAnsi"/>
                <w:sz w:val="20"/>
                <w:szCs w:val="20"/>
              </w:rPr>
            </w:pPr>
            <w:r>
              <w:rPr>
                <w:rFonts w:eastAsia="宋体" w:cstheme="minorHAnsi"/>
                <w:kern w:val="0"/>
                <w:sz w:val="20"/>
                <w:szCs w:val="20"/>
                <w:lang w:bidi="ar"/>
              </w:rPr>
              <w:t>Western Prefecture-level City</w:t>
            </w:r>
          </w:p>
        </w:tc>
      </w:tr>
      <w:tr w14:paraId="2350AE07">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3E7DA548">
            <w:pPr>
              <w:jc w:val="center"/>
              <w:rPr>
                <w:rFonts w:cstheme="minorHAnsi"/>
                <w:sz w:val="20"/>
                <w:szCs w:val="20"/>
              </w:rPr>
            </w:pPr>
            <w:r>
              <w:rPr>
                <w:rFonts w:eastAsia="宋体" w:cstheme="minorHAnsi"/>
                <w:kern w:val="0"/>
                <w:sz w:val="20"/>
                <w:szCs w:val="20"/>
                <w:lang w:bidi="ar"/>
              </w:rPr>
              <w:t>Ningxia Hui Autonomous Region Blood Centre</w:t>
            </w:r>
          </w:p>
        </w:tc>
        <w:tc>
          <w:tcPr>
            <w:tcW w:w="1210" w:type="dxa"/>
            <w:tcBorders>
              <w:top w:val="nil"/>
              <w:left w:val="nil"/>
              <w:bottom w:val="nil"/>
              <w:right w:val="nil"/>
            </w:tcBorders>
            <w:vAlign w:val="center"/>
          </w:tcPr>
          <w:p w14:paraId="753A7E70">
            <w:pPr>
              <w:jc w:val="center"/>
              <w:rPr>
                <w:rFonts w:cstheme="minorHAnsi"/>
                <w:sz w:val="20"/>
                <w:szCs w:val="20"/>
              </w:rPr>
            </w:pPr>
            <w:r>
              <w:rPr>
                <w:rFonts w:eastAsia="宋体" w:cstheme="minorHAnsi"/>
                <w:kern w:val="0"/>
                <w:sz w:val="20"/>
                <w:szCs w:val="20"/>
                <w:lang w:bidi="ar"/>
              </w:rPr>
              <w:t>Ningxia</w:t>
            </w:r>
          </w:p>
        </w:tc>
        <w:tc>
          <w:tcPr>
            <w:tcW w:w="913" w:type="dxa"/>
            <w:tcBorders>
              <w:top w:val="nil"/>
              <w:left w:val="nil"/>
              <w:bottom w:val="nil"/>
              <w:right w:val="nil"/>
            </w:tcBorders>
            <w:vAlign w:val="center"/>
          </w:tcPr>
          <w:p w14:paraId="6011933C">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1D4A4B14">
            <w:pPr>
              <w:jc w:val="center"/>
              <w:rPr>
                <w:rFonts w:cstheme="minorHAnsi"/>
                <w:sz w:val="20"/>
                <w:szCs w:val="20"/>
              </w:rPr>
            </w:pPr>
            <w:r>
              <w:rPr>
                <w:rFonts w:eastAsia="宋体" w:cstheme="minorHAnsi"/>
                <w:kern w:val="0"/>
                <w:sz w:val="20"/>
                <w:szCs w:val="20"/>
                <w:lang w:bidi="ar"/>
              </w:rPr>
              <w:t>474.78</w:t>
            </w:r>
          </w:p>
        </w:tc>
        <w:tc>
          <w:tcPr>
            <w:tcW w:w="0" w:type="auto"/>
            <w:tcBorders>
              <w:top w:val="nil"/>
              <w:left w:val="nil"/>
              <w:bottom w:val="nil"/>
              <w:right w:val="nil"/>
            </w:tcBorders>
            <w:vAlign w:val="center"/>
          </w:tcPr>
          <w:p w14:paraId="462EEF6B">
            <w:pPr>
              <w:jc w:val="center"/>
              <w:rPr>
                <w:rFonts w:cstheme="minorHAnsi"/>
                <w:sz w:val="20"/>
                <w:szCs w:val="20"/>
              </w:rPr>
            </w:pPr>
            <w:r>
              <w:rPr>
                <w:rFonts w:eastAsia="宋体" w:cstheme="minorHAnsi"/>
                <w:kern w:val="0"/>
                <w:sz w:val="20"/>
                <w:szCs w:val="20"/>
                <w:lang w:bidi="ar"/>
              </w:rPr>
              <w:t>3.06</w:t>
            </w:r>
          </w:p>
        </w:tc>
        <w:tc>
          <w:tcPr>
            <w:tcW w:w="0" w:type="auto"/>
            <w:tcBorders>
              <w:top w:val="nil"/>
              <w:left w:val="nil"/>
              <w:bottom w:val="nil"/>
              <w:right w:val="nil"/>
            </w:tcBorders>
            <w:vAlign w:val="center"/>
          </w:tcPr>
          <w:p w14:paraId="11A3BBB5">
            <w:pPr>
              <w:jc w:val="center"/>
              <w:rPr>
                <w:rFonts w:cstheme="minorHAnsi"/>
                <w:sz w:val="20"/>
                <w:szCs w:val="20"/>
              </w:rPr>
            </w:pPr>
            <w:r>
              <w:rPr>
                <w:rFonts w:eastAsia="宋体" w:cstheme="minorHAnsi"/>
                <w:kern w:val="0"/>
                <w:sz w:val="20"/>
                <w:szCs w:val="20"/>
                <w:lang w:bidi="ar"/>
              </w:rPr>
              <w:t>155</w:t>
            </w:r>
          </w:p>
        </w:tc>
        <w:tc>
          <w:tcPr>
            <w:tcW w:w="0" w:type="auto"/>
            <w:tcBorders>
              <w:top w:val="nil"/>
              <w:left w:val="nil"/>
              <w:bottom w:val="nil"/>
              <w:right w:val="nil"/>
            </w:tcBorders>
            <w:vAlign w:val="center"/>
          </w:tcPr>
          <w:p w14:paraId="5164CE71">
            <w:pPr>
              <w:jc w:val="center"/>
              <w:rPr>
                <w:rFonts w:cstheme="minorHAnsi"/>
                <w:sz w:val="20"/>
                <w:szCs w:val="20"/>
              </w:rPr>
            </w:pPr>
            <w:r>
              <w:rPr>
                <w:rFonts w:eastAsia="宋体" w:cstheme="minorHAnsi"/>
                <w:kern w:val="0"/>
                <w:sz w:val="20"/>
                <w:szCs w:val="20"/>
                <w:lang w:bidi="ar"/>
              </w:rPr>
              <w:t>Western Province</w:t>
            </w:r>
          </w:p>
        </w:tc>
      </w:tr>
      <w:tr w14:paraId="3C606520">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69310860">
            <w:pPr>
              <w:jc w:val="center"/>
              <w:rPr>
                <w:rFonts w:cstheme="minorHAnsi"/>
                <w:sz w:val="20"/>
                <w:szCs w:val="20"/>
              </w:rPr>
            </w:pPr>
            <w:r>
              <w:rPr>
                <w:rFonts w:eastAsia="宋体" w:cstheme="minorHAnsi"/>
                <w:kern w:val="0"/>
                <w:sz w:val="20"/>
                <w:szCs w:val="20"/>
                <w:lang w:bidi="ar"/>
              </w:rPr>
              <w:t>Inner Mongolia Autonomous Region Blood Centre</w:t>
            </w:r>
          </w:p>
        </w:tc>
        <w:tc>
          <w:tcPr>
            <w:tcW w:w="1210" w:type="dxa"/>
            <w:tcBorders>
              <w:top w:val="nil"/>
              <w:left w:val="nil"/>
              <w:bottom w:val="nil"/>
              <w:right w:val="nil"/>
            </w:tcBorders>
            <w:vAlign w:val="center"/>
          </w:tcPr>
          <w:p w14:paraId="191B2FCE">
            <w:pPr>
              <w:jc w:val="center"/>
              <w:rPr>
                <w:rFonts w:cstheme="minorHAnsi"/>
                <w:sz w:val="20"/>
                <w:szCs w:val="20"/>
              </w:rPr>
            </w:pPr>
            <w:r>
              <w:rPr>
                <w:rFonts w:eastAsia="宋体" w:cstheme="minorHAnsi"/>
                <w:kern w:val="0"/>
                <w:sz w:val="20"/>
                <w:szCs w:val="20"/>
                <w:lang w:bidi="ar"/>
              </w:rPr>
              <w:t>Inner Mongolia</w:t>
            </w:r>
          </w:p>
        </w:tc>
        <w:tc>
          <w:tcPr>
            <w:tcW w:w="913" w:type="dxa"/>
            <w:tcBorders>
              <w:top w:val="nil"/>
              <w:left w:val="nil"/>
              <w:bottom w:val="nil"/>
              <w:right w:val="nil"/>
            </w:tcBorders>
            <w:vAlign w:val="center"/>
          </w:tcPr>
          <w:p w14:paraId="4305BF03">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4E7DB360">
            <w:pPr>
              <w:jc w:val="center"/>
              <w:rPr>
                <w:rFonts w:cstheme="minorHAnsi"/>
                <w:sz w:val="20"/>
                <w:szCs w:val="20"/>
              </w:rPr>
            </w:pPr>
            <w:r>
              <w:rPr>
                <w:rFonts w:eastAsia="宋体" w:cstheme="minorHAnsi"/>
                <w:kern w:val="0"/>
                <w:sz w:val="20"/>
                <w:szCs w:val="20"/>
                <w:lang w:bidi="ar"/>
              </w:rPr>
              <w:t>675.80</w:t>
            </w:r>
          </w:p>
        </w:tc>
        <w:tc>
          <w:tcPr>
            <w:tcW w:w="0" w:type="auto"/>
            <w:tcBorders>
              <w:top w:val="nil"/>
              <w:left w:val="nil"/>
              <w:bottom w:val="nil"/>
              <w:right w:val="nil"/>
            </w:tcBorders>
            <w:vAlign w:val="center"/>
          </w:tcPr>
          <w:p w14:paraId="4757492F">
            <w:pPr>
              <w:jc w:val="center"/>
              <w:rPr>
                <w:rFonts w:cstheme="minorHAnsi"/>
                <w:sz w:val="20"/>
                <w:szCs w:val="20"/>
              </w:rPr>
            </w:pPr>
            <w:r>
              <w:rPr>
                <w:rFonts w:eastAsia="宋体" w:cstheme="minorHAnsi"/>
                <w:kern w:val="0"/>
                <w:sz w:val="20"/>
                <w:szCs w:val="20"/>
                <w:lang w:bidi="ar"/>
              </w:rPr>
              <w:t>4.37</w:t>
            </w:r>
          </w:p>
        </w:tc>
        <w:tc>
          <w:tcPr>
            <w:tcW w:w="0" w:type="auto"/>
            <w:tcBorders>
              <w:top w:val="nil"/>
              <w:left w:val="nil"/>
              <w:bottom w:val="nil"/>
              <w:right w:val="nil"/>
            </w:tcBorders>
            <w:vAlign w:val="center"/>
          </w:tcPr>
          <w:p w14:paraId="7A9F6BB5">
            <w:pPr>
              <w:jc w:val="center"/>
              <w:rPr>
                <w:rFonts w:cstheme="minorHAnsi"/>
                <w:sz w:val="20"/>
                <w:szCs w:val="20"/>
              </w:rPr>
            </w:pPr>
            <w:r>
              <w:rPr>
                <w:rFonts w:eastAsia="宋体" w:cstheme="minorHAnsi"/>
                <w:kern w:val="0"/>
                <w:sz w:val="20"/>
                <w:szCs w:val="20"/>
                <w:lang w:bidi="ar"/>
              </w:rPr>
              <w:t>155</w:t>
            </w:r>
          </w:p>
        </w:tc>
        <w:tc>
          <w:tcPr>
            <w:tcW w:w="0" w:type="auto"/>
            <w:tcBorders>
              <w:top w:val="nil"/>
              <w:left w:val="nil"/>
              <w:bottom w:val="nil"/>
              <w:right w:val="nil"/>
            </w:tcBorders>
            <w:vAlign w:val="center"/>
          </w:tcPr>
          <w:p w14:paraId="50F40493">
            <w:pPr>
              <w:jc w:val="center"/>
              <w:rPr>
                <w:rFonts w:cstheme="minorHAnsi"/>
                <w:sz w:val="20"/>
                <w:szCs w:val="20"/>
              </w:rPr>
            </w:pPr>
            <w:r>
              <w:rPr>
                <w:rFonts w:eastAsia="宋体" w:cstheme="minorHAnsi"/>
                <w:kern w:val="0"/>
                <w:sz w:val="20"/>
                <w:szCs w:val="20"/>
                <w:lang w:bidi="ar"/>
              </w:rPr>
              <w:t>Northern Province</w:t>
            </w:r>
          </w:p>
        </w:tc>
      </w:tr>
      <w:tr w14:paraId="0008FD8F">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591461C7">
            <w:pPr>
              <w:jc w:val="center"/>
              <w:rPr>
                <w:rFonts w:cstheme="minorHAnsi"/>
                <w:sz w:val="20"/>
                <w:szCs w:val="20"/>
              </w:rPr>
            </w:pPr>
            <w:r>
              <w:rPr>
                <w:rFonts w:eastAsia="宋体" w:cstheme="minorHAnsi"/>
                <w:kern w:val="0"/>
                <w:sz w:val="20"/>
                <w:szCs w:val="20"/>
                <w:lang w:bidi="ar"/>
              </w:rPr>
              <w:t>Yichun Central Blood Station</w:t>
            </w:r>
          </w:p>
        </w:tc>
        <w:tc>
          <w:tcPr>
            <w:tcW w:w="1210" w:type="dxa"/>
            <w:tcBorders>
              <w:top w:val="nil"/>
              <w:left w:val="nil"/>
              <w:bottom w:val="nil"/>
              <w:right w:val="nil"/>
            </w:tcBorders>
            <w:vAlign w:val="center"/>
          </w:tcPr>
          <w:p w14:paraId="7DF7F15F">
            <w:pPr>
              <w:jc w:val="center"/>
              <w:rPr>
                <w:rFonts w:cstheme="minorHAnsi"/>
                <w:sz w:val="20"/>
                <w:szCs w:val="20"/>
              </w:rPr>
            </w:pPr>
            <w:r>
              <w:rPr>
                <w:rFonts w:eastAsia="宋体" w:cstheme="minorHAnsi"/>
                <w:kern w:val="0"/>
                <w:sz w:val="20"/>
                <w:szCs w:val="20"/>
                <w:lang w:bidi="ar"/>
              </w:rPr>
              <w:t>Heilongjiang</w:t>
            </w:r>
          </w:p>
        </w:tc>
        <w:tc>
          <w:tcPr>
            <w:tcW w:w="913" w:type="dxa"/>
            <w:tcBorders>
              <w:top w:val="nil"/>
              <w:left w:val="nil"/>
              <w:bottom w:val="nil"/>
              <w:right w:val="nil"/>
            </w:tcBorders>
            <w:vAlign w:val="center"/>
          </w:tcPr>
          <w:p w14:paraId="2BF3C0CD">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4138328B">
            <w:pPr>
              <w:jc w:val="center"/>
              <w:rPr>
                <w:rFonts w:cstheme="minorHAnsi"/>
                <w:sz w:val="20"/>
                <w:szCs w:val="20"/>
              </w:rPr>
            </w:pPr>
            <w:r>
              <w:rPr>
                <w:rFonts w:eastAsia="宋体" w:cstheme="minorHAnsi"/>
                <w:kern w:val="0"/>
                <w:sz w:val="20"/>
                <w:szCs w:val="20"/>
                <w:lang w:bidi="ar"/>
              </w:rPr>
              <w:t>128.16</w:t>
            </w:r>
          </w:p>
        </w:tc>
        <w:tc>
          <w:tcPr>
            <w:tcW w:w="0" w:type="auto"/>
            <w:tcBorders>
              <w:top w:val="nil"/>
              <w:left w:val="nil"/>
              <w:bottom w:val="nil"/>
              <w:right w:val="nil"/>
            </w:tcBorders>
            <w:vAlign w:val="center"/>
          </w:tcPr>
          <w:p w14:paraId="23F7CF92">
            <w:pPr>
              <w:jc w:val="center"/>
              <w:rPr>
                <w:rFonts w:cstheme="minorHAnsi"/>
                <w:sz w:val="20"/>
                <w:szCs w:val="20"/>
              </w:rPr>
            </w:pPr>
            <w:r>
              <w:rPr>
                <w:rFonts w:eastAsia="宋体" w:cstheme="minorHAnsi"/>
                <w:kern w:val="0"/>
                <w:sz w:val="20"/>
                <w:szCs w:val="20"/>
                <w:lang w:bidi="ar"/>
              </w:rPr>
              <w:t>0.88</w:t>
            </w:r>
          </w:p>
        </w:tc>
        <w:tc>
          <w:tcPr>
            <w:tcW w:w="0" w:type="auto"/>
            <w:tcBorders>
              <w:top w:val="nil"/>
              <w:left w:val="nil"/>
              <w:bottom w:val="nil"/>
              <w:right w:val="nil"/>
            </w:tcBorders>
            <w:vAlign w:val="center"/>
          </w:tcPr>
          <w:p w14:paraId="74E2DC0B">
            <w:pPr>
              <w:jc w:val="center"/>
              <w:rPr>
                <w:rFonts w:cstheme="minorHAnsi"/>
                <w:sz w:val="20"/>
                <w:szCs w:val="20"/>
              </w:rPr>
            </w:pPr>
            <w:r>
              <w:rPr>
                <w:rFonts w:eastAsia="宋体" w:cstheme="minorHAnsi"/>
                <w:kern w:val="0"/>
                <w:sz w:val="20"/>
                <w:szCs w:val="20"/>
                <w:lang w:bidi="ar"/>
              </w:rPr>
              <w:t>140</w:t>
            </w:r>
          </w:p>
        </w:tc>
        <w:tc>
          <w:tcPr>
            <w:tcW w:w="0" w:type="auto"/>
            <w:tcBorders>
              <w:top w:val="nil"/>
              <w:left w:val="nil"/>
              <w:bottom w:val="nil"/>
              <w:right w:val="nil"/>
            </w:tcBorders>
            <w:vAlign w:val="center"/>
          </w:tcPr>
          <w:p w14:paraId="3E208131">
            <w:pPr>
              <w:jc w:val="center"/>
              <w:rPr>
                <w:rFonts w:cstheme="minorHAnsi"/>
                <w:sz w:val="20"/>
                <w:szCs w:val="20"/>
              </w:rPr>
            </w:pPr>
            <w:r>
              <w:rPr>
                <w:rFonts w:eastAsia="宋体" w:cstheme="minorHAnsi"/>
                <w:kern w:val="0"/>
                <w:sz w:val="20"/>
                <w:szCs w:val="20"/>
                <w:lang w:bidi="ar"/>
              </w:rPr>
              <w:t>Northeast Prefecture-level City</w:t>
            </w:r>
          </w:p>
        </w:tc>
      </w:tr>
      <w:tr w14:paraId="7CA90EA2">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73F418BC">
            <w:pPr>
              <w:jc w:val="center"/>
              <w:rPr>
                <w:rFonts w:cstheme="minorHAnsi"/>
                <w:sz w:val="20"/>
                <w:szCs w:val="20"/>
              </w:rPr>
            </w:pPr>
            <w:r>
              <w:rPr>
                <w:rFonts w:eastAsia="宋体" w:cstheme="minorHAnsi"/>
                <w:kern w:val="0"/>
                <w:sz w:val="20"/>
                <w:szCs w:val="20"/>
                <w:lang w:bidi="ar"/>
              </w:rPr>
              <w:t>Shijiazhuang Central Blood Station (Estimated)</w:t>
            </w:r>
          </w:p>
        </w:tc>
        <w:tc>
          <w:tcPr>
            <w:tcW w:w="1210" w:type="dxa"/>
            <w:tcBorders>
              <w:top w:val="nil"/>
              <w:left w:val="nil"/>
              <w:bottom w:val="nil"/>
              <w:right w:val="nil"/>
            </w:tcBorders>
            <w:vAlign w:val="center"/>
          </w:tcPr>
          <w:p w14:paraId="7665D091">
            <w:pPr>
              <w:jc w:val="center"/>
              <w:rPr>
                <w:rFonts w:cstheme="minorHAnsi"/>
                <w:sz w:val="20"/>
                <w:szCs w:val="20"/>
              </w:rPr>
            </w:pPr>
            <w:r>
              <w:rPr>
                <w:rFonts w:eastAsia="宋体" w:cstheme="minorHAnsi"/>
                <w:kern w:val="0"/>
                <w:sz w:val="20"/>
                <w:szCs w:val="20"/>
                <w:lang w:bidi="ar"/>
              </w:rPr>
              <w:t>Hebei</w:t>
            </w:r>
          </w:p>
        </w:tc>
        <w:tc>
          <w:tcPr>
            <w:tcW w:w="913" w:type="dxa"/>
            <w:tcBorders>
              <w:top w:val="nil"/>
              <w:left w:val="nil"/>
              <w:bottom w:val="nil"/>
              <w:right w:val="nil"/>
            </w:tcBorders>
            <w:vAlign w:val="center"/>
          </w:tcPr>
          <w:p w14:paraId="3AFF4449">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6DEB76DD">
            <w:pPr>
              <w:jc w:val="center"/>
              <w:rPr>
                <w:rFonts w:cstheme="minorHAnsi"/>
                <w:sz w:val="20"/>
                <w:szCs w:val="20"/>
              </w:rPr>
            </w:pPr>
            <w:r>
              <w:rPr>
                <w:rFonts w:eastAsia="宋体" w:cstheme="minorHAnsi"/>
                <w:kern w:val="0"/>
                <w:sz w:val="20"/>
                <w:szCs w:val="20"/>
                <w:lang w:bidi="ar"/>
              </w:rPr>
              <w:t>1120.00</w:t>
            </w:r>
          </w:p>
        </w:tc>
        <w:tc>
          <w:tcPr>
            <w:tcW w:w="0" w:type="auto"/>
            <w:tcBorders>
              <w:top w:val="nil"/>
              <w:left w:val="nil"/>
              <w:bottom w:val="nil"/>
              <w:right w:val="nil"/>
            </w:tcBorders>
            <w:vAlign w:val="center"/>
          </w:tcPr>
          <w:p w14:paraId="7D3BEE06">
            <w:pPr>
              <w:jc w:val="center"/>
              <w:rPr>
                <w:rFonts w:cstheme="minorHAnsi"/>
                <w:sz w:val="20"/>
                <w:szCs w:val="20"/>
              </w:rPr>
            </w:pPr>
            <w:r>
              <w:rPr>
                <w:rFonts w:eastAsia="宋体" w:cstheme="minorHAnsi"/>
                <w:kern w:val="0"/>
                <w:sz w:val="20"/>
                <w:szCs w:val="20"/>
                <w:lang w:bidi="ar"/>
              </w:rPr>
              <w:t>7.83</w:t>
            </w:r>
          </w:p>
        </w:tc>
        <w:tc>
          <w:tcPr>
            <w:tcW w:w="0" w:type="auto"/>
            <w:tcBorders>
              <w:top w:val="nil"/>
              <w:left w:val="nil"/>
              <w:bottom w:val="nil"/>
              <w:right w:val="nil"/>
            </w:tcBorders>
            <w:vAlign w:val="center"/>
          </w:tcPr>
          <w:p w14:paraId="7F275230">
            <w:pPr>
              <w:jc w:val="center"/>
              <w:rPr>
                <w:rFonts w:cstheme="minorHAnsi"/>
                <w:sz w:val="20"/>
                <w:szCs w:val="20"/>
              </w:rPr>
            </w:pPr>
            <w:r>
              <w:rPr>
                <w:rFonts w:eastAsia="宋体" w:cstheme="minorHAnsi"/>
                <w:kern w:val="0"/>
                <w:sz w:val="20"/>
                <w:szCs w:val="20"/>
                <w:lang w:bidi="ar"/>
              </w:rPr>
              <w:t>143</w:t>
            </w:r>
          </w:p>
        </w:tc>
        <w:tc>
          <w:tcPr>
            <w:tcW w:w="0" w:type="auto"/>
            <w:tcBorders>
              <w:top w:val="nil"/>
              <w:left w:val="nil"/>
              <w:bottom w:val="nil"/>
              <w:right w:val="nil"/>
            </w:tcBorders>
            <w:vAlign w:val="center"/>
          </w:tcPr>
          <w:p w14:paraId="2288FEF0">
            <w:pPr>
              <w:jc w:val="center"/>
              <w:rPr>
                <w:rFonts w:cstheme="minorHAnsi"/>
                <w:sz w:val="20"/>
                <w:szCs w:val="20"/>
              </w:rPr>
            </w:pPr>
            <w:r>
              <w:rPr>
                <w:rFonts w:eastAsia="宋体" w:cstheme="minorHAnsi"/>
                <w:kern w:val="0"/>
                <w:sz w:val="20"/>
                <w:szCs w:val="20"/>
                <w:lang w:bidi="ar"/>
              </w:rPr>
              <w:t>Eastern Prefecture-level City</w:t>
            </w:r>
          </w:p>
        </w:tc>
      </w:tr>
      <w:tr w14:paraId="5E70CB93">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7CA347B2">
            <w:pPr>
              <w:jc w:val="center"/>
              <w:rPr>
                <w:rFonts w:cstheme="minorHAnsi"/>
                <w:sz w:val="20"/>
                <w:szCs w:val="20"/>
              </w:rPr>
            </w:pPr>
            <w:r>
              <w:rPr>
                <w:rFonts w:eastAsia="宋体" w:cstheme="minorHAnsi"/>
                <w:kern w:val="0"/>
                <w:sz w:val="20"/>
                <w:szCs w:val="20"/>
                <w:lang w:bidi="ar"/>
              </w:rPr>
              <w:t>Xi'an Central Blood Station (Estimated)</w:t>
            </w:r>
          </w:p>
        </w:tc>
        <w:tc>
          <w:tcPr>
            <w:tcW w:w="1210" w:type="dxa"/>
            <w:tcBorders>
              <w:top w:val="nil"/>
              <w:left w:val="nil"/>
              <w:bottom w:val="nil"/>
              <w:right w:val="nil"/>
            </w:tcBorders>
            <w:vAlign w:val="center"/>
          </w:tcPr>
          <w:p w14:paraId="1F0278C5">
            <w:pPr>
              <w:jc w:val="center"/>
              <w:rPr>
                <w:rFonts w:cstheme="minorHAnsi"/>
                <w:sz w:val="20"/>
                <w:szCs w:val="20"/>
              </w:rPr>
            </w:pPr>
            <w:r>
              <w:rPr>
                <w:rFonts w:eastAsia="宋体" w:cstheme="minorHAnsi"/>
                <w:kern w:val="0"/>
                <w:sz w:val="20"/>
                <w:szCs w:val="20"/>
                <w:lang w:bidi="ar"/>
              </w:rPr>
              <w:t>Shaanxi</w:t>
            </w:r>
          </w:p>
        </w:tc>
        <w:tc>
          <w:tcPr>
            <w:tcW w:w="913" w:type="dxa"/>
            <w:tcBorders>
              <w:top w:val="nil"/>
              <w:left w:val="nil"/>
              <w:bottom w:val="nil"/>
              <w:right w:val="nil"/>
            </w:tcBorders>
            <w:vAlign w:val="center"/>
          </w:tcPr>
          <w:p w14:paraId="3CDFCFD8">
            <w:pPr>
              <w:jc w:val="center"/>
              <w:rPr>
                <w:rFonts w:cstheme="minorHAnsi"/>
                <w:sz w:val="20"/>
                <w:szCs w:val="20"/>
              </w:rPr>
            </w:pPr>
            <w:r>
              <w:rPr>
                <w:rFonts w:eastAsia="宋体" w:cstheme="minorHAnsi"/>
                <w:kern w:val="0"/>
                <w:sz w:val="20"/>
                <w:szCs w:val="20"/>
                <w:lang w:bidi="ar"/>
              </w:rPr>
              <w:t>2025</w:t>
            </w:r>
          </w:p>
        </w:tc>
        <w:tc>
          <w:tcPr>
            <w:tcW w:w="1028" w:type="dxa"/>
            <w:tcBorders>
              <w:top w:val="nil"/>
              <w:left w:val="nil"/>
              <w:bottom w:val="nil"/>
              <w:right w:val="nil"/>
            </w:tcBorders>
            <w:vAlign w:val="center"/>
          </w:tcPr>
          <w:p w14:paraId="713566BC">
            <w:pPr>
              <w:jc w:val="center"/>
              <w:rPr>
                <w:rFonts w:cstheme="minorHAnsi"/>
                <w:sz w:val="20"/>
                <w:szCs w:val="20"/>
              </w:rPr>
            </w:pPr>
            <w:r>
              <w:rPr>
                <w:rFonts w:eastAsia="宋体" w:cstheme="minorHAnsi"/>
                <w:kern w:val="0"/>
                <w:sz w:val="20"/>
                <w:szCs w:val="20"/>
                <w:lang w:bidi="ar"/>
              </w:rPr>
              <w:t>2860.00</w:t>
            </w:r>
          </w:p>
        </w:tc>
        <w:tc>
          <w:tcPr>
            <w:tcW w:w="0" w:type="auto"/>
            <w:tcBorders>
              <w:top w:val="nil"/>
              <w:left w:val="nil"/>
              <w:bottom w:val="nil"/>
              <w:right w:val="nil"/>
            </w:tcBorders>
            <w:vAlign w:val="center"/>
          </w:tcPr>
          <w:p w14:paraId="28B32F43">
            <w:pPr>
              <w:jc w:val="center"/>
              <w:rPr>
                <w:rFonts w:cstheme="minorHAnsi"/>
                <w:sz w:val="20"/>
                <w:szCs w:val="20"/>
              </w:rPr>
            </w:pPr>
            <w:r>
              <w:rPr>
                <w:rFonts w:eastAsia="宋体" w:cstheme="minorHAnsi"/>
                <w:kern w:val="0"/>
                <w:sz w:val="20"/>
                <w:szCs w:val="20"/>
                <w:lang w:bidi="ar"/>
              </w:rPr>
              <w:t>19.50</w:t>
            </w:r>
          </w:p>
        </w:tc>
        <w:tc>
          <w:tcPr>
            <w:tcW w:w="0" w:type="auto"/>
            <w:tcBorders>
              <w:top w:val="nil"/>
              <w:left w:val="nil"/>
              <w:bottom w:val="nil"/>
              <w:right w:val="nil"/>
            </w:tcBorders>
            <w:vAlign w:val="center"/>
          </w:tcPr>
          <w:p w14:paraId="7D28E5A4">
            <w:pPr>
              <w:jc w:val="center"/>
              <w:rPr>
                <w:rFonts w:cstheme="minorHAnsi"/>
                <w:sz w:val="20"/>
                <w:szCs w:val="20"/>
              </w:rPr>
            </w:pPr>
            <w:r>
              <w:rPr>
                <w:rFonts w:eastAsia="宋体" w:cstheme="minorHAnsi"/>
                <w:kern w:val="0"/>
                <w:sz w:val="20"/>
                <w:szCs w:val="20"/>
                <w:lang w:bidi="ar"/>
              </w:rPr>
              <w:t>146</w:t>
            </w:r>
          </w:p>
        </w:tc>
        <w:tc>
          <w:tcPr>
            <w:tcW w:w="0" w:type="auto"/>
            <w:tcBorders>
              <w:top w:val="nil"/>
              <w:left w:val="nil"/>
              <w:bottom w:val="nil"/>
              <w:right w:val="nil"/>
            </w:tcBorders>
            <w:vAlign w:val="center"/>
          </w:tcPr>
          <w:p w14:paraId="24FECFA6">
            <w:pPr>
              <w:jc w:val="center"/>
              <w:rPr>
                <w:rFonts w:cstheme="minorHAnsi"/>
                <w:sz w:val="20"/>
                <w:szCs w:val="20"/>
              </w:rPr>
            </w:pPr>
            <w:r>
              <w:rPr>
                <w:rFonts w:eastAsia="宋体" w:cstheme="minorHAnsi"/>
                <w:kern w:val="0"/>
                <w:sz w:val="20"/>
                <w:szCs w:val="20"/>
                <w:lang w:bidi="ar"/>
              </w:rPr>
              <w:t>Western Provincial Capital</w:t>
            </w:r>
          </w:p>
        </w:tc>
      </w:tr>
      <w:tr w14:paraId="6571FB44">
        <w:tblPrEx>
          <w:tblCellMar>
            <w:top w:w="15" w:type="dxa"/>
            <w:left w:w="15" w:type="dxa"/>
            <w:bottom w:w="15" w:type="dxa"/>
            <w:right w:w="15" w:type="dxa"/>
          </w:tblCellMar>
        </w:tblPrEx>
        <w:trPr>
          <w:tblCellSpacing w:w="15" w:type="dxa"/>
        </w:trPr>
        <w:tc>
          <w:tcPr>
            <w:tcW w:w="1290" w:type="dxa"/>
            <w:tcBorders>
              <w:top w:val="nil"/>
              <w:left w:val="nil"/>
              <w:bottom w:val="nil"/>
              <w:right w:val="nil"/>
            </w:tcBorders>
            <w:vAlign w:val="center"/>
          </w:tcPr>
          <w:p w14:paraId="283EB00E">
            <w:pPr>
              <w:jc w:val="center"/>
              <w:rPr>
                <w:rFonts w:cstheme="minorHAnsi"/>
                <w:sz w:val="20"/>
                <w:szCs w:val="20"/>
              </w:rPr>
            </w:pPr>
            <w:r>
              <w:rPr>
                <w:rFonts w:eastAsia="宋体" w:cstheme="minorHAnsi"/>
                <w:kern w:val="0"/>
                <w:sz w:val="20"/>
                <w:szCs w:val="20"/>
                <w:lang w:bidi="ar"/>
              </w:rPr>
              <w:t>Changsha Central Blood Station (Estimated)</w:t>
            </w:r>
          </w:p>
        </w:tc>
        <w:tc>
          <w:tcPr>
            <w:tcW w:w="1210" w:type="dxa"/>
            <w:tcBorders>
              <w:top w:val="nil"/>
              <w:left w:val="nil"/>
              <w:bottom w:val="nil"/>
              <w:right w:val="nil"/>
            </w:tcBorders>
            <w:vAlign w:val="center"/>
          </w:tcPr>
          <w:p w14:paraId="07F4C0E9">
            <w:pPr>
              <w:jc w:val="center"/>
              <w:rPr>
                <w:rFonts w:cstheme="minorHAnsi"/>
                <w:sz w:val="20"/>
                <w:szCs w:val="20"/>
              </w:rPr>
            </w:pPr>
            <w:r>
              <w:rPr>
                <w:rFonts w:eastAsia="宋体" w:cstheme="minorHAnsi"/>
                <w:kern w:val="0"/>
                <w:sz w:val="20"/>
                <w:szCs w:val="20"/>
                <w:lang w:bidi="ar"/>
              </w:rPr>
              <w:t>Hunan</w:t>
            </w:r>
          </w:p>
        </w:tc>
        <w:tc>
          <w:tcPr>
            <w:tcW w:w="913" w:type="dxa"/>
            <w:tcBorders>
              <w:top w:val="nil"/>
              <w:left w:val="nil"/>
              <w:bottom w:val="nil"/>
              <w:right w:val="nil"/>
            </w:tcBorders>
            <w:vAlign w:val="center"/>
          </w:tcPr>
          <w:p w14:paraId="53996A7C">
            <w:pPr>
              <w:jc w:val="center"/>
              <w:rPr>
                <w:rFonts w:cstheme="minorHAnsi"/>
                <w:sz w:val="20"/>
                <w:szCs w:val="20"/>
              </w:rPr>
            </w:pPr>
            <w:r>
              <w:rPr>
                <w:rFonts w:eastAsia="宋体" w:cstheme="minorHAnsi"/>
                <w:kern w:val="0"/>
                <w:sz w:val="20"/>
                <w:szCs w:val="20"/>
                <w:lang w:bidi="ar"/>
              </w:rPr>
              <w:t>2024</w:t>
            </w:r>
          </w:p>
        </w:tc>
        <w:tc>
          <w:tcPr>
            <w:tcW w:w="1028" w:type="dxa"/>
            <w:tcBorders>
              <w:top w:val="nil"/>
              <w:left w:val="nil"/>
              <w:bottom w:val="nil"/>
              <w:right w:val="nil"/>
            </w:tcBorders>
            <w:vAlign w:val="center"/>
          </w:tcPr>
          <w:p w14:paraId="3F96E798">
            <w:pPr>
              <w:jc w:val="center"/>
              <w:rPr>
                <w:rFonts w:cstheme="minorHAnsi"/>
                <w:sz w:val="20"/>
                <w:szCs w:val="20"/>
              </w:rPr>
            </w:pPr>
            <w:r>
              <w:rPr>
                <w:rFonts w:eastAsia="宋体" w:cstheme="minorHAnsi"/>
                <w:kern w:val="0"/>
                <w:sz w:val="20"/>
                <w:szCs w:val="20"/>
                <w:lang w:bidi="ar"/>
              </w:rPr>
              <w:t>1980.00</w:t>
            </w:r>
          </w:p>
        </w:tc>
        <w:tc>
          <w:tcPr>
            <w:tcW w:w="0" w:type="auto"/>
            <w:tcBorders>
              <w:top w:val="nil"/>
              <w:left w:val="nil"/>
              <w:bottom w:val="nil"/>
              <w:right w:val="nil"/>
            </w:tcBorders>
            <w:vAlign w:val="center"/>
          </w:tcPr>
          <w:p w14:paraId="1B3F962D">
            <w:pPr>
              <w:jc w:val="center"/>
              <w:rPr>
                <w:rFonts w:cstheme="minorHAnsi"/>
                <w:sz w:val="20"/>
                <w:szCs w:val="20"/>
              </w:rPr>
            </w:pPr>
            <w:r>
              <w:rPr>
                <w:rFonts w:eastAsia="宋体" w:cstheme="minorHAnsi"/>
                <w:kern w:val="0"/>
                <w:sz w:val="20"/>
                <w:szCs w:val="20"/>
                <w:lang w:bidi="ar"/>
              </w:rPr>
              <w:t>13.65</w:t>
            </w:r>
          </w:p>
        </w:tc>
        <w:tc>
          <w:tcPr>
            <w:tcW w:w="0" w:type="auto"/>
            <w:tcBorders>
              <w:top w:val="nil"/>
              <w:left w:val="nil"/>
              <w:bottom w:val="nil"/>
              <w:right w:val="nil"/>
            </w:tcBorders>
            <w:vAlign w:val="center"/>
          </w:tcPr>
          <w:p w14:paraId="7170FBA9">
            <w:pPr>
              <w:jc w:val="center"/>
              <w:rPr>
                <w:rFonts w:cstheme="minorHAnsi"/>
                <w:sz w:val="20"/>
                <w:szCs w:val="20"/>
              </w:rPr>
            </w:pPr>
            <w:r>
              <w:rPr>
                <w:rFonts w:eastAsia="宋体" w:cstheme="minorHAnsi"/>
                <w:kern w:val="0"/>
                <w:sz w:val="20"/>
                <w:szCs w:val="20"/>
                <w:lang w:bidi="ar"/>
              </w:rPr>
              <w:t>145</w:t>
            </w:r>
          </w:p>
        </w:tc>
        <w:tc>
          <w:tcPr>
            <w:tcW w:w="0" w:type="auto"/>
            <w:tcBorders>
              <w:top w:val="nil"/>
              <w:left w:val="nil"/>
              <w:bottom w:val="nil"/>
              <w:right w:val="nil"/>
            </w:tcBorders>
            <w:vAlign w:val="center"/>
          </w:tcPr>
          <w:p w14:paraId="16736EE5">
            <w:pPr>
              <w:jc w:val="center"/>
              <w:rPr>
                <w:rFonts w:cstheme="minorHAnsi"/>
                <w:sz w:val="20"/>
                <w:szCs w:val="20"/>
              </w:rPr>
            </w:pPr>
            <w:r>
              <w:rPr>
                <w:rFonts w:eastAsia="宋体" w:cstheme="minorHAnsi"/>
                <w:kern w:val="0"/>
                <w:sz w:val="20"/>
                <w:szCs w:val="20"/>
                <w:lang w:bidi="ar"/>
              </w:rPr>
              <w:t>Central Provincial Capital</w:t>
            </w:r>
          </w:p>
        </w:tc>
      </w:tr>
      <w:tr w14:paraId="2C98A1C4">
        <w:tblPrEx>
          <w:tblCellMar>
            <w:top w:w="15" w:type="dxa"/>
            <w:left w:w="15" w:type="dxa"/>
            <w:bottom w:w="15" w:type="dxa"/>
            <w:right w:w="15" w:type="dxa"/>
          </w:tblCellMar>
        </w:tblPrEx>
        <w:trPr>
          <w:tblCellSpacing w:w="15" w:type="dxa"/>
        </w:trPr>
        <w:tc>
          <w:tcPr>
            <w:tcW w:w="1290" w:type="dxa"/>
            <w:tcBorders>
              <w:top w:val="nil"/>
              <w:left w:val="nil"/>
              <w:bottom w:val="single" w:color="CCCCCC" w:sz="12" w:space="0"/>
              <w:right w:val="nil"/>
            </w:tcBorders>
            <w:vAlign w:val="center"/>
          </w:tcPr>
          <w:p w14:paraId="57F9A40C">
            <w:pPr>
              <w:jc w:val="center"/>
              <w:rPr>
                <w:rFonts w:eastAsia="宋体" w:cstheme="minorHAnsi"/>
                <w:kern w:val="0"/>
                <w:sz w:val="20"/>
                <w:szCs w:val="20"/>
                <w:lang w:bidi="ar"/>
              </w:rPr>
            </w:pPr>
            <w:r>
              <w:rPr>
                <w:rFonts w:eastAsia="宋体" w:cstheme="minorHAnsi"/>
                <w:kern w:val="0"/>
                <w:sz w:val="20"/>
                <w:szCs w:val="20"/>
                <w:lang w:bidi="ar"/>
              </w:rPr>
              <w:t>Kunming Central Blood Station (Estimated)</w:t>
            </w:r>
          </w:p>
        </w:tc>
        <w:tc>
          <w:tcPr>
            <w:tcW w:w="1210" w:type="dxa"/>
            <w:tcBorders>
              <w:top w:val="nil"/>
              <w:left w:val="nil"/>
              <w:bottom w:val="single" w:color="CCCCCC" w:sz="12" w:space="0"/>
              <w:right w:val="nil"/>
            </w:tcBorders>
            <w:vAlign w:val="center"/>
          </w:tcPr>
          <w:p w14:paraId="1F175699">
            <w:pPr>
              <w:jc w:val="center"/>
              <w:rPr>
                <w:rFonts w:eastAsia="宋体" w:cstheme="minorHAnsi"/>
                <w:kern w:val="0"/>
                <w:sz w:val="20"/>
                <w:szCs w:val="20"/>
                <w:lang w:bidi="ar"/>
              </w:rPr>
            </w:pPr>
            <w:r>
              <w:rPr>
                <w:rFonts w:eastAsia="宋体" w:cstheme="minorHAnsi"/>
                <w:kern w:val="0"/>
                <w:sz w:val="20"/>
                <w:szCs w:val="20"/>
                <w:lang w:bidi="ar"/>
              </w:rPr>
              <w:t>Yunnan</w:t>
            </w:r>
          </w:p>
        </w:tc>
        <w:tc>
          <w:tcPr>
            <w:tcW w:w="913" w:type="dxa"/>
            <w:tcBorders>
              <w:top w:val="nil"/>
              <w:left w:val="nil"/>
              <w:bottom w:val="single" w:color="CCCCCC" w:sz="12" w:space="0"/>
              <w:right w:val="nil"/>
            </w:tcBorders>
            <w:vAlign w:val="center"/>
          </w:tcPr>
          <w:p w14:paraId="5D61F72F">
            <w:pPr>
              <w:jc w:val="center"/>
              <w:rPr>
                <w:rFonts w:eastAsia="宋体" w:cstheme="minorHAnsi"/>
                <w:kern w:val="0"/>
                <w:sz w:val="20"/>
                <w:szCs w:val="20"/>
                <w:lang w:bidi="ar"/>
              </w:rPr>
            </w:pPr>
            <w:r>
              <w:rPr>
                <w:rFonts w:eastAsia="宋体" w:cstheme="minorHAnsi"/>
                <w:kern w:val="0"/>
                <w:sz w:val="20"/>
                <w:szCs w:val="20"/>
                <w:lang w:bidi="ar"/>
              </w:rPr>
              <w:t>2025</w:t>
            </w:r>
          </w:p>
        </w:tc>
        <w:tc>
          <w:tcPr>
            <w:tcW w:w="1028" w:type="dxa"/>
            <w:tcBorders>
              <w:top w:val="nil"/>
              <w:left w:val="nil"/>
              <w:bottom w:val="single" w:color="CCCCCC" w:sz="12" w:space="0"/>
              <w:right w:val="nil"/>
            </w:tcBorders>
            <w:vAlign w:val="center"/>
          </w:tcPr>
          <w:p w14:paraId="1254AA7B">
            <w:pPr>
              <w:jc w:val="center"/>
              <w:rPr>
                <w:rFonts w:eastAsia="宋体" w:cstheme="minorHAnsi"/>
                <w:kern w:val="0"/>
                <w:sz w:val="20"/>
                <w:szCs w:val="20"/>
                <w:lang w:bidi="ar"/>
              </w:rPr>
            </w:pPr>
            <w:r>
              <w:rPr>
                <w:rFonts w:eastAsia="宋体" w:cstheme="minorHAnsi"/>
                <w:kern w:val="0"/>
                <w:sz w:val="20"/>
                <w:szCs w:val="20"/>
                <w:lang w:bidi="ar"/>
              </w:rPr>
              <w:t>1560.00</w:t>
            </w:r>
          </w:p>
        </w:tc>
        <w:tc>
          <w:tcPr>
            <w:tcW w:w="0" w:type="auto"/>
            <w:tcBorders>
              <w:top w:val="nil"/>
              <w:left w:val="nil"/>
              <w:bottom w:val="single" w:color="CCCCCC" w:sz="12" w:space="0"/>
              <w:right w:val="nil"/>
            </w:tcBorders>
            <w:vAlign w:val="center"/>
          </w:tcPr>
          <w:p w14:paraId="551CF372">
            <w:pPr>
              <w:jc w:val="center"/>
              <w:rPr>
                <w:rFonts w:eastAsia="宋体" w:cstheme="minorHAnsi"/>
                <w:kern w:val="0"/>
                <w:sz w:val="20"/>
                <w:szCs w:val="20"/>
                <w:lang w:bidi="ar"/>
              </w:rPr>
            </w:pPr>
            <w:r>
              <w:rPr>
                <w:rFonts w:eastAsia="宋体" w:cstheme="minorHAnsi"/>
                <w:kern w:val="0"/>
                <w:sz w:val="20"/>
                <w:szCs w:val="20"/>
                <w:lang w:bidi="ar"/>
              </w:rPr>
              <w:t>10.76</w:t>
            </w:r>
          </w:p>
        </w:tc>
        <w:tc>
          <w:tcPr>
            <w:tcW w:w="0" w:type="auto"/>
            <w:tcBorders>
              <w:top w:val="nil"/>
              <w:left w:val="nil"/>
              <w:bottom w:val="single" w:color="CCCCCC" w:sz="12" w:space="0"/>
              <w:right w:val="nil"/>
            </w:tcBorders>
            <w:vAlign w:val="center"/>
          </w:tcPr>
          <w:p w14:paraId="52B4302F">
            <w:pPr>
              <w:jc w:val="center"/>
              <w:rPr>
                <w:rFonts w:eastAsia="宋体" w:cstheme="minorHAnsi"/>
                <w:kern w:val="0"/>
                <w:sz w:val="20"/>
                <w:szCs w:val="20"/>
                <w:lang w:bidi="ar"/>
              </w:rPr>
            </w:pPr>
            <w:r>
              <w:rPr>
                <w:rFonts w:eastAsia="宋体" w:cstheme="minorHAnsi"/>
                <w:kern w:val="0"/>
                <w:sz w:val="20"/>
                <w:szCs w:val="20"/>
                <w:lang w:bidi="ar"/>
              </w:rPr>
              <w:t>145</w:t>
            </w:r>
          </w:p>
        </w:tc>
        <w:tc>
          <w:tcPr>
            <w:tcW w:w="0" w:type="auto"/>
            <w:tcBorders>
              <w:top w:val="nil"/>
              <w:left w:val="nil"/>
              <w:bottom w:val="single" w:color="CCCCCC" w:sz="12" w:space="0"/>
              <w:right w:val="nil"/>
            </w:tcBorders>
            <w:vAlign w:val="center"/>
          </w:tcPr>
          <w:p w14:paraId="65A957C2">
            <w:pPr>
              <w:jc w:val="center"/>
              <w:rPr>
                <w:rFonts w:eastAsia="宋体" w:cstheme="minorHAnsi"/>
                <w:kern w:val="0"/>
                <w:sz w:val="20"/>
                <w:szCs w:val="20"/>
                <w:lang w:bidi="ar"/>
              </w:rPr>
            </w:pPr>
            <w:r>
              <w:rPr>
                <w:rFonts w:eastAsia="宋体" w:cstheme="minorHAnsi"/>
                <w:kern w:val="0"/>
                <w:sz w:val="20"/>
                <w:szCs w:val="20"/>
                <w:lang w:bidi="ar"/>
              </w:rPr>
              <w:t>Western Provincial Capital</w:t>
            </w:r>
          </w:p>
        </w:tc>
      </w:tr>
    </w:tbl>
    <w:p w14:paraId="0D10858A">
      <w:pPr>
        <w:rPr>
          <w:rFonts w:hint="eastAsia"/>
          <w:b/>
          <w:bCs/>
        </w:rPr>
      </w:pPr>
    </w:p>
    <w:p w14:paraId="28F93651">
      <w:pPr>
        <w:rPr>
          <w:rFonts w:eastAsia="Segoe UI Emoji" w:cstheme="minorHAnsi"/>
          <w:color w:val="000000"/>
        </w:rPr>
      </w:pPr>
      <w:r>
        <w:rPr>
          <w:rFonts w:eastAsia="Segoe UI Emoji" w:cstheme="minorHAnsi"/>
          <w:color w:val="000000"/>
        </w:rPr>
        <w:t xml:space="preserve">Data Explanation </w:t>
      </w:r>
    </w:p>
    <w:p w14:paraId="7BA58B01">
      <w:pPr>
        <w:widowControl w:val="0"/>
        <w:numPr>
          <w:ilvl w:val="0"/>
          <w:numId w:val="1"/>
        </w:numPr>
        <w:spacing w:after="0" w:line="240" w:lineRule="auto"/>
        <w:jc w:val="both"/>
        <w:rPr>
          <w:rFonts w:eastAsia="Segoe UI Emoji" w:cstheme="minorHAnsi"/>
          <w:color w:val="000000"/>
        </w:rPr>
      </w:pPr>
      <w:r>
        <w:rPr>
          <w:rFonts w:eastAsia="Segoe UI Emoji" w:cstheme="minorHAnsi"/>
          <w:color w:val="000000"/>
        </w:rPr>
        <w:t xml:space="preserve">Unified Calculation Logic: For all institutions, the calculation is based on special recruitment expenditure (including publicity, incentives, mobile recruitment, volunteer team building, etc.) ÷ annual planned number of blood donors, excluding non-recruitment costs such as blood testing, equipment purchase, and personnel salaries. </w:t>
      </w:r>
    </w:p>
    <w:p w14:paraId="18D28D71">
      <w:pPr>
        <w:widowControl w:val="0"/>
        <w:numPr>
          <w:ilvl w:val="0"/>
          <w:numId w:val="1"/>
        </w:numPr>
        <w:spacing w:after="0" w:line="240" w:lineRule="auto"/>
        <w:jc w:val="both"/>
        <w:rPr>
          <w:rFonts w:eastAsia="Segoe UI Emoji" w:cstheme="minorHAnsi"/>
          <w:color w:val="000000"/>
        </w:rPr>
      </w:pPr>
      <w:r>
        <w:rPr>
          <w:rFonts w:eastAsia="Segoe UI Emoji" w:cstheme="minorHAnsi"/>
          <w:color w:val="000000"/>
        </w:rPr>
        <w:t xml:space="preserve">Data Source: For provincial-level institutions, data is mainly directly disclosed in budget public tables; for prefecture-level institutions, the number of blood donors is partially estimated based on the publicly available population size and the national average blood donation rate per thousand people (8‰-11‰). </w:t>
      </w:r>
    </w:p>
    <w:p w14:paraId="6088E710">
      <w:pPr>
        <w:widowControl w:val="0"/>
        <w:numPr>
          <w:ilvl w:val="0"/>
          <w:numId w:val="1"/>
        </w:numPr>
        <w:spacing w:after="0" w:line="240" w:lineRule="auto"/>
        <w:jc w:val="both"/>
        <w:rPr>
          <w:rFonts w:eastAsia="Segoe UI Emoji" w:cstheme="minorHAnsi"/>
          <w:color w:val="000000"/>
        </w:rPr>
      </w:pPr>
      <w:r>
        <w:rPr>
          <w:rFonts w:eastAsia="Segoe UI Emoji" w:cstheme="minorHAnsi"/>
          <w:color w:val="000000"/>
        </w:rPr>
        <w:t xml:space="preserve">Regional Characteristics: The per capita recruitment cost in economically developed eastern regions (Shanghai, Jiangsu, Zhejiang) ranges from 180 to 195 yuan/person; in central regions, it ranges from 145 to 170 yuan/person; in western regions, it ranges from 140 to 165 yuan/person; and in northeast regions, it ranges from 140 to 170 yuan/person. This is closely related to the regional economic level, publicity costs, and recruitment coverage difficulty. </w:t>
      </w:r>
    </w:p>
    <w:p w14:paraId="7F1547CC">
      <w:pPr>
        <w:rPr>
          <w:rFonts w:cstheme="minorHAnsi"/>
        </w:rPr>
      </w:pPr>
      <w:r>
        <w:rPr>
          <w:rFonts w:eastAsia="Segoe UI Emoji" w:cstheme="minorHAnsi"/>
          <w:color w:val="000000"/>
        </w:rPr>
        <w:t xml:space="preserve">4. Estimation Note: For institutions marked with "(Estimated)", due to the lack of fully disclosed detailed budget information, the data is estimated based on the proportion of recruitment expenditure in the total blood collection and supply budget (18%-22%) of institutions of the same scale, with an error range of ±5%. </w:t>
      </w:r>
    </w:p>
    <w:p w14:paraId="28FEDD81"/>
    <w:p w14:paraId="64947F66">
      <w:pPr>
        <w:rPr>
          <w:b/>
          <w:bCs/>
        </w:rPr>
      </w:pPr>
      <w:r>
        <w:rPr>
          <w:rFonts w:hint="eastAsia"/>
          <w:b/>
          <w:bCs/>
        </w:rPr>
        <w:t>Reference</w:t>
      </w:r>
    </w:p>
    <w:p w14:paraId="6242E127">
      <w:pPr>
        <w:pStyle w:val="41"/>
        <w:spacing w:after="0"/>
        <w:ind w:left="720" w:hanging="720"/>
      </w:pPr>
      <w:r>
        <w:fldChar w:fldCharType="begin"/>
      </w:r>
      <w:r>
        <w:instrText xml:space="preserve"> ADDIN EN.REFLIST </w:instrText>
      </w:r>
      <w:r>
        <w:fldChar w:fldCharType="separate"/>
      </w:r>
      <w:r>
        <w:t xml:space="preserve">Caro, J. J., Briggs, A. H., Siebert, U., &amp; Kuntz, K. M. (2012). Modeling good research practices--overview: a report of the ISPOR-SMDM Modeling Good Research Practices Task Force--1. </w:t>
      </w:r>
      <w:r>
        <w:rPr>
          <w:i/>
        </w:rPr>
        <w:t>Value Health</w:t>
      </w:r>
      <w:r>
        <w:t>,</w:t>
      </w:r>
      <w:r>
        <w:rPr>
          <w:i/>
        </w:rPr>
        <w:t xml:space="preserve"> 15</w:t>
      </w:r>
      <w:r>
        <w:t xml:space="preserve">(6), 796-803. </w:t>
      </w:r>
      <w:r>
        <w:fldChar w:fldCharType="begin"/>
      </w:r>
      <w:r>
        <w:instrText xml:space="preserve"> HYPERLINK "https://doi.org/10.1016/j.jval.2012.06.012" </w:instrText>
      </w:r>
      <w:r>
        <w:fldChar w:fldCharType="separate"/>
      </w:r>
      <w:r>
        <w:rPr>
          <w:rStyle w:val="20"/>
        </w:rPr>
        <w:t>https://doi.org/10.1016/j.jval.2012.06.012</w:t>
      </w:r>
      <w:r>
        <w:rPr>
          <w:rStyle w:val="20"/>
        </w:rPr>
        <w:fldChar w:fldCharType="end"/>
      </w:r>
      <w:r>
        <w:t xml:space="preserve"> </w:t>
      </w:r>
    </w:p>
    <w:p w14:paraId="1DCF26CC">
      <w:pPr>
        <w:pStyle w:val="41"/>
        <w:spacing w:after="0"/>
        <w:ind w:left="720" w:hanging="720"/>
      </w:pPr>
      <w:r>
        <w:t xml:space="preserve">Chinn, S. (2000). A simple method for converting an odds ratio to effect size for use in meta-analysis. </w:t>
      </w:r>
      <w:r>
        <w:rPr>
          <w:i/>
        </w:rPr>
        <w:t>Stat Med</w:t>
      </w:r>
      <w:r>
        <w:t>,</w:t>
      </w:r>
      <w:r>
        <w:rPr>
          <w:i/>
        </w:rPr>
        <w:t xml:space="preserve"> 19</w:t>
      </w:r>
      <w:r>
        <w:t xml:space="preserve">(22), 3127-3131. </w:t>
      </w:r>
      <w:r>
        <w:fldChar w:fldCharType="begin"/>
      </w:r>
      <w:r>
        <w:instrText xml:space="preserve"> HYPERLINK "https://doi.org/10.1002/1097-0258(20001130)19:22" </w:instrText>
      </w:r>
      <w:r>
        <w:fldChar w:fldCharType="separate"/>
      </w:r>
      <w:r>
        <w:rPr>
          <w:rStyle w:val="20"/>
        </w:rPr>
        <w:t>https://doi.org/10.1002/1097-0258(20001130)19:22</w:t>
      </w:r>
      <w:r>
        <w:rPr>
          <w:rStyle w:val="20"/>
        </w:rPr>
        <w:fldChar w:fldCharType="end"/>
      </w:r>
      <w:r>
        <w:t xml:space="preserve">&lt;3127::aid-sim784&gt;3.0.co;2-m </w:t>
      </w:r>
    </w:p>
    <w:p w14:paraId="5421B996">
      <w:pPr>
        <w:pStyle w:val="41"/>
        <w:spacing w:after="0"/>
        <w:ind w:left="720" w:hanging="720"/>
      </w:pPr>
      <w:r>
        <w:t xml:space="preserve">Cooke, R., &amp; Sheeran, P. (2004). Moderation of cognition-intention and cognition-behaviour relations: a meta-analysis of properties of variables from the theory of planned behaviour. </w:t>
      </w:r>
      <w:r>
        <w:rPr>
          <w:i/>
        </w:rPr>
        <w:t>Br J Soc Psychol</w:t>
      </w:r>
      <w:r>
        <w:t>,</w:t>
      </w:r>
      <w:r>
        <w:rPr>
          <w:i/>
        </w:rPr>
        <w:t xml:space="preserve"> 43</w:t>
      </w:r>
      <w:r>
        <w:t xml:space="preserve">(Pt 2), 159-186. </w:t>
      </w:r>
      <w:r>
        <w:fldChar w:fldCharType="begin"/>
      </w:r>
      <w:r>
        <w:instrText xml:space="preserve"> HYPERLINK "https://doi.org/10.1348/0144666041501688" </w:instrText>
      </w:r>
      <w:r>
        <w:fldChar w:fldCharType="separate"/>
      </w:r>
      <w:r>
        <w:rPr>
          <w:rStyle w:val="20"/>
        </w:rPr>
        <w:t>https://doi.org/10.1348/0144666041501688</w:t>
      </w:r>
      <w:r>
        <w:rPr>
          <w:rStyle w:val="20"/>
        </w:rPr>
        <w:fldChar w:fldCharType="end"/>
      </w:r>
      <w:r>
        <w:t xml:space="preserve"> </w:t>
      </w:r>
    </w:p>
    <w:p w14:paraId="28544A44">
      <w:pPr>
        <w:pStyle w:val="41"/>
        <w:spacing w:after="0"/>
        <w:ind w:left="720" w:hanging="720"/>
      </w:pPr>
      <w:r>
        <w:t xml:space="preserve">France, C. R., France, J. L., Wissel, M. E., Ditto, B., Dickert, T., &amp; Himawan, L. K. (2013). Donor anxiety, needle pain, and syncopal reactions combine to determine retention: a path analysis of two-year donor return data. </w:t>
      </w:r>
      <w:r>
        <w:rPr>
          <w:i/>
        </w:rPr>
        <w:t>Transfusion</w:t>
      </w:r>
      <w:r>
        <w:t>,</w:t>
      </w:r>
      <w:r>
        <w:rPr>
          <w:i/>
        </w:rPr>
        <w:t xml:space="preserve"> 53</w:t>
      </w:r>
      <w:r>
        <w:t xml:space="preserve">(9), 1992-2000. </w:t>
      </w:r>
      <w:r>
        <w:fldChar w:fldCharType="begin"/>
      </w:r>
      <w:r>
        <w:instrText xml:space="preserve"> HYPERLINK "https://doi.org/10.1111/trf.12069" </w:instrText>
      </w:r>
      <w:r>
        <w:fldChar w:fldCharType="separate"/>
      </w:r>
      <w:r>
        <w:rPr>
          <w:rStyle w:val="20"/>
        </w:rPr>
        <w:t>https://doi.org/10.1111/trf.12069</w:t>
      </w:r>
      <w:r>
        <w:rPr>
          <w:rStyle w:val="20"/>
        </w:rPr>
        <w:fldChar w:fldCharType="end"/>
      </w:r>
      <w:r>
        <w:t xml:space="preserve"> </w:t>
      </w:r>
    </w:p>
    <w:p w14:paraId="52363B29">
      <w:pPr>
        <w:pStyle w:val="41"/>
        <w:spacing w:after="0"/>
        <w:ind w:left="720" w:hanging="720"/>
      </w:pPr>
      <w:r>
        <w:t xml:space="preserve">Li, Z., Lei, S., Li, X., Zhao, Y., Dai, Y., Jin, S., Fu, Q., Cai, X., Lin, Z., &amp; Tu, X. (2021). Blood Donation Fear, Perceived Rewards, Self-Efficacy, and Intention to Return Among Whole Blood Donors in China: A Social Cognitive Perspective. </w:t>
      </w:r>
      <w:r>
        <w:rPr>
          <w:i/>
        </w:rPr>
        <w:t>Front Psychol</w:t>
      </w:r>
      <w:r>
        <w:t>,</w:t>
      </w:r>
      <w:r>
        <w:rPr>
          <w:i/>
        </w:rPr>
        <w:t xml:space="preserve"> 12</w:t>
      </w:r>
      <w:r>
        <w:t xml:space="preserve">, 683709. </w:t>
      </w:r>
      <w:r>
        <w:fldChar w:fldCharType="begin"/>
      </w:r>
      <w:r>
        <w:instrText xml:space="preserve"> HYPERLINK "https://doi.org/10.3389/fpsyg.2021.683709" </w:instrText>
      </w:r>
      <w:r>
        <w:fldChar w:fldCharType="separate"/>
      </w:r>
      <w:r>
        <w:rPr>
          <w:rStyle w:val="20"/>
        </w:rPr>
        <w:t>https://doi.org/10.3389/fpsyg.2021.683709</w:t>
      </w:r>
      <w:r>
        <w:rPr>
          <w:rStyle w:val="20"/>
        </w:rPr>
        <w:fldChar w:fldCharType="end"/>
      </w:r>
      <w:r>
        <w:t xml:space="preserve"> </w:t>
      </w:r>
    </w:p>
    <w:p w14:paraId="2D3B0D1C">
      <w:pPr>
        <w:pStyle w:val="41"/>
        <w:spacing w:after="0"/>
        <w:ind w:left="720" w:hanging="720"/>
      </w:pPr>
      <w:r>
        <w:t xml:space="preserve">Min, C., Wenli, H., Linghua, H., Na, H., Xia, H., Wusheng, L., Ying, L., Huaqin, L., Changchun, L., Lin, W., Nan, W., Hua, X., Jing, X., Xiaojun, X., Shuanglin, X., Heng, Z., &amp; Yanyan, L. (2024). Retrospective Analysis of the Characteristics of Blood Donors from 17 Provincial-level Blood Centers. </w:t>
      </w:r>
      <w:r>
        <w:rPr>
          <w:i/>
        </w:rPr>
        <w:t>JOURNAL OF CLINICAL TRANSFUSION AND LABORATORY MEDICINE</w:t>
      </w:r>
      <w:r>
        <w:t>,</w:t>
      </w:r>
      <w:r>
        <w:rPr>
          <w:i/>
        </w:rPr>
        <w:t xml:space="preserve"> 26</w:t>
      </w:r>
      <w:r>
        <w:t xml:space="preserve">(4), 491-498. </w:t>
      </w:r>
      <w:r>
        <w:fldChar w:fldCharType="begin"/>
      </w:r>
      <w:r>
        <w:instrText xml:space="preserve"> HYPERLINK "https://doi.org/10.3969/j.issn.1671-2587.2024.04.011" </w:instrText>
      </w:r>
      <w:r>
        <w:fldChar w:fldCharType="separate"/>
      </w:r>
      <w:r>
        <w:rPr>
          <w:rStyle w:val="20"/>
        </w:rPr>
        <w:t>https://doi.org/10.3969/j.issn.1671-2587.2024.04.011</w:t>
      </w:r>
      <w:r>
        <w:rPr>
          <w:rStyle w:val="20"/>
        </w:rPr>
        <w:fldChar w:fldCharType="end"/>
      </w:r>
      <w:r>
        <w:t xml:space="preserve"> </w:t>
      </w:r>
    </w:p>
    <w:p w14:paraId="4F02104F">
      <w:pPr>
        <w:pStyle w:val="41"/>
        <w:spacing w:after="0"/>
        <w:ind w:left="720" w:hanging="720"/>
      </w:pPr>
      <w:r>
        <w:t xml:space="preserve">Siebert, U., Alagoz, O., Bayoumi, A. M., Jahn, B., Owens, D. K., Cohen, D. J., &amp; Kuntz, K. M. (2012). State-transition modeling: a report of the ISPOR-SMDM Modeling Good Research Practices Task Force--3. </w:t>
      </w:r>
      <w:r>
        <w:rPr>
          <w:i/>
        </w:rPr>
        <w:t>Value Health</w:t>
      </w:r>
      <w:r>
        <w:t>,</w:t>
      </w:r>
      <w:r>
        <w:rPr>
          <w:i/>
        </w:rPr>
        <w:t xml:space="preserve"> 15</w:t>
      </w:r>
      <w:r>
        <w:t xml:space="preserve">(6), 812-820. </w:t>
      </w:r>
      <w:r>
        <w:fldChar w:fldCharType="begin"/>
      </w:r>
      <w:r>
        <w:instrText xml:space="preserve"> HYPERLINK "https://doi.org/10.1016/j.jval.2012.06.014" </w:instrText>
      </w:r>
      <w:r>
        <w:fldChar w:fldCharType="separate"/>
      </w:r>
      <w:r>
        <w:rPr>
          <w:rStyle w:val="20"/>
        </w:rPr>
        <w:t>https://doi.org/10.1016/j.jval.2012.06.014</w:t>
      </w:r>
      <w:r>
        <w:rPr>
          <w:rStyle w:val="20"/>
        </w:rPr>
        <w:fldChar w:fldCharType="end"/>
      </w:r>
      <w:r>
        <w:t xml:space="preserve"> </w:t>
      </w:r>
    </w:p>
    <w:p w14:paraId="3E4E4F92">
      <w:pPr>
        <w:pStyle w:val="41"/>
        <w:spacing w:after="0"/>
        <w:ind w:left="720" w:hanging="720"/>
      </w:pPr>
      <w:r>
        <w:t xml:space="preserve">Webb, T. L., &amp; Sheeran, P. (2006). Does changing behavioral intentions engender behavior change? A meta-analysis of the experimental evidence. </w:t>
      </w:r>
      <w:r>
        <w:rPr>
          <w:i/>
        </w:rPr>
        <w:t>Psychol Bull</w:t>
      </w:r>
      <w:r>
        <w:t>,</w:t>
      </w:r>
      <w:r>
        <w:rPr>
          <w:i/>
        </w:rPr>
        <w:t xml:space="preserve"> 132</w:t>
      </w:r>
      <w:r>
        <w:t xml:space="preserve">(2), 249-268. </w:t>
      </w:r>
      <w:r>
        <w:fldChar w:fldCharType="begin"/>
      </w:r>
      <w:r>
        <w:instrText xml:space="preserve"> HYPERLINK "https://doi.org/10.1037/0033-2909.132.2.249" </w:instrText>
      </w:r>
      <w:r>
        <w:fldChar w:fldCharType="separate"/>
      </w:r>
      <w:r>
        <w:rPr>
          <w:rStyle w:val="20"/>
        </w:rPr>
        <w:t>https://doi.org/10.1037/0033-2909.132.2.249</w:t>
      </w:r>
      <w:r>
        <w:rPr>
          <w:rStyle w:val="20"/>
        </w:rPr>
        <w:fldChar w:fldCharType="end"/>
      </w:r>
      <w:r>
        <w:t xml:space="preserve"> </w:t>
      </w:r>
    </w:p>
    <w:p w14:paraId="1CD29837">
      <w:pPr>
        <w:pStyle w:val="41"/>
        <w:spacing w:after="0"/>
        <w:ind w:left="720" w:hanging="720"/>
      </w:pPr>
      <w:r>
        <w:t xml:space="preserve">Weidmann, C., Müller-Steinhardt, M., Schneider, S., Weck, E., &amp; Klüter, H. (2012). Characteristics of Lapsed German Whole Blood Donors and Barriers to Return Four Years after the Initial Donation. </w:t>
      </w:r>
      <w:r>
        <w:rPr>
          <w:i/>
        </w:rPr>
        <w:t>Transfus Med Hemother</w:t>
      </w:r>
      <w:r>
        <w:t>,</w:t>
      </w:r>
      <w:r>
        <w:rPr>
          <w:i/>
        </w:rPr>
        <w:t xml:space="preserve"> 39</w:t>
      </w:r>
      <w:r>
        <w:t xml:space="preserve">(1), 9-15. </w:t>
      </w:r>
      <w:r>
        <w:fldChar w:fldCharType="begin"/>
      </w:r>
      <w:r>
        <w:instrText xml:space="preserve"> HYPERLINK "https://doi.org/10.1159/000335602" </w:instrText>
      </w:r>
      <w:r>
        <w:fldChar w:fldCharType="separate"/>
      </w:r>
      <w:r>
        <w:rPr>
          <w:rStyle w:val="20"/>
        </w:rPr>
        <w:t>https://doi.org/10.1159/000335602</w:t>
      </w:r>
      <w:r>
        <w:rPr>
          <w:rStyle w:val="20"/>
        </w:rPr>
        <w:fldChar w:fldCharType="end"/>
      </w:r>
      <w:r>
        <w:t xml:space="preserve"> </w:t>
      </w:r>
    </w:p>
    <w:p w14:paraId="748EF156">
      <w:pPr>
        <w:pStyle w:val="41"/>
        <w:ind w:left="720" w:hanging="720"/>
      </w:pPr>
      <w:r>
        <w:t xml:space="preserve">Zubing, Z., Song, P. U., Xiaoping, C., Jie, L. I., Qingsong, Z., Lina, Z., &amp; Jianbo, W. E. N. (2025). Development of Sterile Cold Spray and Pain Intervention in First - Time Blood and Plasma Donors. </w:t>
      </w:r>
      <w:r>
        <w:rPr>
          <w:i/>
        </w:rPr>
        <w:t>China Medical Devices</w:t>
      </w:r>
      <w:r>
        <w:t>,</w:t>
      </w:r>
      <w:r>
        <w:rPr>
          <w:i/>
        </w:rPr>
        <w:t xml:space="preserve"> 40</w:t>
      </w:r>
      <w:r>
        <w:t xml:space="preserve">(7), 27-32. </w:t>
      </w:r>
      <w:r>
        <w:fldChar w:fldCharType="begin"/>
      </w:r>
      <w:r>
        <w:instrText xml:space="preserve"> HYPERLINK "https://doi.org/10.3969/j.issn.1674-1633.20241756" </w:instrText>
      </w:r>
      <w:r>
        <w:fldChar w:fldCharType="separate"/>
      </w:r>
      <w:r>
        <w:rPr>
          <w:rStyle w:val="20"/>
        </w:rPr>
        <w:t>https://doi.org/10.3969/j.issn.1674-1633.20241756</w:t>
      </w:r>
      <w:r>
        <w:rPr>
          <w:rStyle w:val="20"/>
        </w:rPr>
        <w:fldChar w:fldCharType="end"/>
      </w:r>
      <w:r>
        <w:t xml:space="preserve"> </w:t>
      </w:r>
    </w:p>
    <w:p w14:paraId="4AA86AFF">
      <w:r>
        <w:fldChar w:fldCharType="end"/>
      </w:r>
    </w:p>
    <w:sectPr>
      <w:pgSz w:w="11906" w:h="16838"/>
      <w:pgMar w:top="1440" w:right="1800" w:bottom="1440" w:left="1800" w:header="708" w:footer="708" w:gutter="0"/>
      <w:lnNumType w:countBy="1" w:restart="continuou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5A9DC"/>
    <w:multiLevelType w:val="singleLevel"/>
    <w:tmpl w:val="2375A9D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999xxkeraetetwatv59avzt9w00adesex&quot;&gt;Untitled&lt;record-ids&gt;&lt;item&gt;940&lt;/item&gt;&lt;item&gt;946&lt;/item&gt;&lt;item&gt;953&lt;/item&gt;&lt;item&gt;956&lt;/item&gt;&lt;item&gt;963&lt;/item&gt;&lt;item&gt;964&lt;/item&gt;&lt;item&gt;965&lt;/item&gt;&lt;item&gt;966&lt;/item&gt;&lt;item&gt;967&lt;/item&gt;&lt;item&gt;968&lt;/item&gt;&lt;/record-ids&gt;&lt;/item&gt;&lt;/Libraries&gt;"/>
  </w:docVars>
  <w:rsids>
    <w:rsidRoot w:val="001C2AD5"/>
    <w:rsid w:val="001079AD"/>
    <w:rsid w:val="0018245A"/>
    <w:rsid w:val="001C2AD5"/>
    <w:rsid w:val="00210D11"/>
    <w:rsid w:val="002306D9"/>
    <w:rsid w:val="0027480B"/>
    <w:rsid w:val="006B5BBF"/>
    <w:rsid w:val="00841187"/>
    <w:rsid w:val="0095325A"/>
    <w:rsid w:val="00A20B65"/>
    <w:rsid w:val="00D306AA"/>
    <w:rsid w:val="00ED65C7"/>
    <w:rsid w:val="00F44979"/>
    <w:rsid w:val="5BA042EE"/>
    <w:rsid w:val="6BD138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GB" w:eastAsia="zh-CN"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5"/>
    <w:unhideWhenUsed/>
    <w:uiPriority w:val="99"/>
    <w:pPr>
      <w:tabs>
        <w:tab w:val="center" w:pos="4153"/>
        <w:tab w:val="right" w:pos="8306"/>
      </w:tabs>
      <w:spacing w:after="0" w:line="240" w:lineRule="auto"/>
    </w:pPr>
  </w:style>
  <w:style w:type="paragraph" w:styleId="12">
    <w:name w:val="header"/>
    <w:basedOn w:val="1"/>
    <w:link w:val="44"/>
    <w:unhideWhenUsed/>
    <w:uiPriority w:val="99"/>
    <w:pPr>
      <w:tabs>
        <w:tab w:val="center" w:pos="4153"/>
        <w:tab w:val="right" w:pos="8306"/>
      </w:tabs>
      <w:spacing w:after="0" w:line="240" w:lineRule="auto"/>
    </w:pPr>
  </w:style>
  <w:style w:type="paragraph" w:styleId="13">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rPr>
      <w:rFonts w:ascii="Times New Roman" w:hAnsi="Times New Roman" w:cs="Times New Roman"/>
    </w:rPr>
  </w:style>
  <w:style w:type="paragraph" w:styleId="15">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7">
    <w:name w:val="Table Grid"/>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line number"/>
    <w:basedOn w:val="18"/>
    <w:semiHidden/>
    <w:unhideWhenUsed/>
    <w:uiPriority w:val="99"/>
  </w:style>
  <w:style w:type="character" w:styleId="20">
    <w:name w:val="Hyperlink"/>
    <w:basedOn w:val="18"/>
    <w:unhideWhenUsed/>
    <w:uiPriority w:val="99"/>
    <w:rPr>
      <w:color w:val="0563C1" w:themeColor="hyperlink"/>
      <w:u w:val="single"/>
      <w14:textFill>
        <w14:solidFill>
          <w14:schemeClr w14:val="hlink"/>
        </w14:solidFill>
      </w14:textFill>
    </w:rPr>
  </w:style>
  <w:style w:type="character" w:customStyle="1" w:styleId="21">
    <w:name w:val="Heading 1 Char"/>
    <w:basedOn w:val="18"/>
    <w:link w:val="2"/>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8"/>
    <w:link w:val="3"/>
    <w:semiHidden/>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8"/>
    <w:link w:val="4"/>
    <w:semiHidden/>
    <w:uiPriority w:val="9"/>
    <w:rPr>
      <w:rFonts w:eastAsiaTheme="majorEastAsia" w:cstheme="majorBidi"/>
      <w:color w:val="2F5597" w:themeColor="accent1" w:themeShade="BF"/>
      <w:sz w:val="28"/>
      <w:szCs w:val="28"/>
    </w:rPr>
  </w:style>
  <w:style w:type="character" w:customStyle="1" w:styleId="24">
    <w:name w:val="Heading 4 Char"/>
    <w:basedOn w:val="18"/>
    <w:link w:val="5"/>
    <w:semiHidden/>
    <w:uiPriority w:val="9"/>
    <w:rPr>
      <w:rFonts w:eastAsiaTheme="majorEastAsia" w:cstheme="majorBidi"/>
      <w:i/>
      <w:iCs/>
      <w:color w:val="2F5597" w:themeColor="accent1" w:themeShade="BF"/>
    </w:rPr>
  </w:style>
  <w:style w:type="character" w:customStyle="1" w:styleId="25">
    <w:name w:val="Heading 5 Char"/>
    <w:basedOn w:val="18"/>
    <w:link w:val="6"/>
    <w:semiHidden/>
    <w:uiPriority w:val="9"/>
    <w:rPr>
      <w:rFonts w:eastAsiaTheme="majorEastAsia" w:cstheme="majorBidi"/>
      <w:color w:val="2F5597" w:themeColor="accent1" w:themeShade="BF"/>
    </w:rPr>
  </w:style>
  <w:style w:type="character" w:customStyle="1" w:styleId="26">
    <w:name w:val="Heading 6 Char"/>
    <w:basedOn w:val="18"/>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8"/>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8"/>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8"/>
    <w:link w:val="15"/>
    <w:uiPriority w:val="10"/>
    <w:rPr>
      <w:rFonts w:asciiTheme="majorHAnsi" w:hAnsiTheme="majorHAnsi" w:eastAsiaTheme="majorEastAsia" w:cstheme="majorBidi"/>
      <w:spacing w:val="-10"/>
      <w:kern w:val="28"/>
      <w:sz w:val="56"/>
      <w:szCs w:val="56"/>
    </w:rPr>
  </w:style>
  <w:style w:type="character" w:customStyle="1" w:styleId="31">
    <w:name w:val="Subtitle Char"/>
    <w:basedOn w:val="18"/>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8"/>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8"/>
    <w:link w:val="36"/>
    <w:uiPriority w:val="30"/>
    <w:rPr>
      <w:i/>
      <w:iCs/>
      <w:color w:val="2F5597" w:themeColor="accent1" w:themeShade="BF"/>
    </w:rPr>
  </w:style>
  <w:style w:type="character" w:customStyle="1" w:styleId="38">
    <w:name w:val="Intense Reference"/>
    <w:basedOn w:val="18"/>
    <w:qFormat/>
    <w:uiPriority w:val="32"/>
    <w:rPr>
      <w:b/>
      <w:bCs/>
      <w:smallCaps/>
      <w:color w:val="2F5597" w:themeColor="accent1" w:themeShade="BF"/>
      <w:spacing w:val="5"/>
    </w:rPr>
  </w:style>
  <w:style w:type="paragraph" w:customStyle="1" w:styleId="39">
    <w:name w:val="EndNote Bibliography Title"/>
    <w:basedOn w:val="1"/>
    <w:link w:val="40"/>
    <w:uiPriority w:val="0"/>
    <w:pPr>
      <w:spacing w:after="0"/>
      <w:jc w:val="center"/>
    </w:pPr>
    <w:rPr>
      <w:rFonts w:ascii="Calibri" w:hAnsi="Calibri" w:cs="Calibri"/>
    </w:rPr>
  </w:style>
  <w:style w:type="character" w:customStyle="1" w:styleId="40">
    <w:name w:val="EndNote Bibliography Title Char"/>
    <w:basedOn w:val="18"/>
    <w:link w:val="39"/>
    <w:uiPriority w:val="0"/>
    <w:rPr>
      <w:rFonts w:ascii="Calibri" w:hAnsi="Calibri" w:cs="Calibri"/>
    </w:rPr>
  </w:style>
  <w:style w:type="paragraph" w:customStyle="1" w:styleId="41">
    <w:name w:val="EndNote Bibliography"/>
    <w:basedOn w:val="1"/>
    <w:link w:val="42"/>
    <w:uiPriority w:val="0"/>
    <w:pPr>
      <w:spacing w:line="240" w:lineRule="auto"/>
    </w:pPr>
    <w:rPr>
      <w:rFonts w:ascii="Calibri" w:hAnsi="Calibri" w:cs="Calibri"/>
    </w:rPr>
  </w:style>
  <w:style w:type="character" w:customStyle="1" w:styleId="42">
    <w:name w:val="EndNote Bibliography Char"/>
    <w:basedOn w:val="18"/>
    <w:link w:val="41"/>
    <w:uiPriority w:val="0"/>
    <w:rPr>
      <w:rFonts w:ascii="Calibri" w:hAnsi="Calibri" w:cs="Calibri"/>
    </w:rPr>
  </w:style>
  <w:style w:type="character" w:customStyle="1" w:styleId="43">
    <w:name w:val="Unresolved Mention"/>
    <w:basedOn w:val="18"/>
    <w:semiHidden/>
    <w:unhideWhenUsed/>
    <w:uiPriority w:val="99"/>
    <w:rPr>
      <w:color w:val="605E5C"/>
      <w:shd w:val="clear" w:color="auto" w:fill="E1DFDD"/>
    </w:rPr>
  </w:style>
  <w:style w:type="character" w:customStyle="1" w:styleId="44">
    <w:name w:val="Header Char"/>
    <w:basedOn w:val="18"/>
    <w:link w:val="12"/>
    <w:uiPriority w:val="99"/>
  </w:style>
  <w:style w:type="character" w:customStyle="1" w:styleId="45">
    <w:name w:val="Footer Char"/>
    <w:basedOn w:val="18"/>
    <w:link w:val="11"/>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1192</Words>
  <Characters>7146</Characters>
  <Lines>200</Lines>
  <Paragraphs>56</Paragraphs>
  <TotalTime>9</TotalTime>
  <ScaleCrop>false</ScaleCrop>
  <LinksUpToDate>false</LinksUpToDate>
  <CharactersWithSpaces>8227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2026-02-28T18:37:00Z</dcterms:created>
  <dc:creator>李源 李源</dc:creator>
  <cp:lastModifiedBy>lisicheng</cp:lastModifiedBy>
  <dcterms:modified xsi:type="dcterms:W3CDTF">2026-03-09T11:39:07Z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eyJoZGlkIjoiYTllZGU4ODZjN2E2MjU2MzBiYjkyMzllM2E1NTAwYmEiLCJ1c2VySWQiOiI1OTA3NDkwMDEifQ==</vt:lpwstr>
  </property>
  <property fmtid="{D5CDD505-2E9C-101B-9397-08002B2CF9AE}" pid="3" name="KSOProductBuildVer">
    <vt:lpwstr>2052-12.1.0.25225</vt:lpwstr>
  </property>
  <property fmtid="{D5CDD505-2E9C-101B-9397-08002B2CF9AE}" pid="4" name="ICV">
    <vt:lpwstr>CEB3F5850EBB4F33836B6B21A3D4F694_12</vt:lpwstr>
  </property>
</Properties>
</file>