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25B98" w14:textId="77777777" w:rsidR="00667824" w:rsidRDefault="008B160B" w:rsidP="00BA156B">
      <w:pPr>
        <w:pStyle w:val="Title"/>
      </w:pPr>
      <w:r>
        <w:t>Imaging-based biological age</w:t>
      </w:r>
      <w:r w:rsidR="00AE2805">
        <w:t xml:space="preserve"> estimation</w:t>
      </w:r>
      <w:r w:rsidR="04984682">
        <w:t xml:space="preserve"> </w:t>
      </w:r>
      <w:r w:rsidR="7EA780F8">
        <w:t>pr</w:t>
      </w:r>
      <w:r w:rsidR="7D37A074">
        <w:t>edicts</w:t>
      </w:r>
      <w:r w:rsidR="1F7E9282">
        <w:t xml:space="preserve"> </w:t>
      </w:r>
      <w:r w:rsidR="737ED5B7">
        <w:t>competing</w:t>
      </w:r>
      <w:r w:rsidR="23C1287B">
        <w:t xml:space="preserve"> </w:t>
      </w:r>
      <w:r w:rsidR="737ED5B7">
        <w:t xml:space="preserve">mortality risk </w:t>
      </w:r>
      <w:r w:rsidR="23C1287B">
        <w:t xml:space="preserve">in </w:t>
      </w:r>
      <w:r w:rsidR="11ED3C90">
        <w:t xml:space="preserve">lung cancer </w:t>
      </w:r>
      <w:r w:rsidR="23C1287B">
        <w:t>screening</w:t>
      </w:r>
      <w:r w:rsidR="00EF74C7">
        <w:t>:</w:t>
      </w:r>
    </w:p>
    <w:p w14:paraId="38D0DBBE" w14:textId="77777777" w:rsidR="00EF74C7" w:rsidRPr="00EE53EC" w:rsidRDefault="00EF74C7" w:rsidP="00EF74C7">
      <w:pPr>
        <w:pStyle w:val="Title"/>
        <w:rPr>
          <w:u w:val="single"/>
        </w:rPr>
      </w:pPr>
      <w:r w:rsidRPr="00EE53EC">
        <w:rPr>
          <w:u w:val="single"/>
        </w:rPr>
        <w:t>Supplementary Materials</w:t>
      </w:r>
    </w:p>
    <w:p w14:paraId="3F8AD5E0" w14:textId="77777777" w:rsidR="00667824" w:rsidRDefault="00667824" w:rsidP="00F11BA2"/>
    <w:p w14:paraId="4C3BC1A6" w14:textId="77777777" w:rsidR="4329289C" w:rsidRPr="00D42027" w:rsidRDefault="09B41CC7" w:rsidP="006C736B">
      <w:pPr>
        <w:rPr>
          <w:vertAlign w:val="superscript"/>
        </w:rPr>
      </w:pPr>
      <w:r>
        <w:t xml:space="preserve">Daryl </w:t>
      </w:r>
      <w:r w:rsidR="784DF2B8">
        <w:t xml:space="preserve">O. </w:t>
      </w:r>
      <w:r>
        <w:t>Cheng</w:t>
      </w:r>
      <w:r w:rsidR="1CE8D975">
        <w:t xml:space="preserve"> </w:t>
      </w:r>
      <w:r w:rsidR="1CE8D975" w:rsidRPr="4B29E1AF">
        <w:rPr>
          <w:vertAlign w:val="superscript"/>
        </w:rPr>
        <w:t>1,2</w:t>
      </w:r>
      <w:r w:rsidR="65F8E42F" w:rsidRPr="4B29E1AF">
        <w:rPr>
          <w:vertAlign w:val="superscript"/>
        </w:rPr>
        <w:t xml:space="preserve">, </w:t>
      </w:r>
      <w:r w:rsidR="00194273" w:rsidRPr="00194273">
        <w:rPr>
          <w:vertAlign w:val="superscript"/>
        </w:rPr>
        <w:t>‡</w:t>
      </w:r>
      <w:r w:rsidR="356B09DA">
        <w:br/>
      </w:r>
      <w:r w:rsidR="7CF30538">
        <w:t>John McCabe</w:t>
      </w:r>
      <w:r w:rsidR="233C80ED" w:rsidRPr="4B29E1AF">
        <w:rPr>
          <w:vertAlign w:val="superscript"/>
        </w:rPr>
        <w:t xml:space="preserve"> 1,2</w:t>
      </w:r>
      <w:r w:rsidR="356B09DA">
        <w:br/>
      </w:r>
      <w:r w:rsidR="161D4BFE" w:rsidRPr="4B29E1AF">
        <w:t xml:space="preserve">Tanya Patrick </w:t>
      </w:r>
      <w:r w:rsidR="161D4BFE" w:rsidRPr="4B29E1AF">
        <w:rPr>
          <w:vertAlign w:val="superscript"/>
        </w:rPr>
        <w:t>2</w:t>
      </w:r>
      <w:r w:rsidR="356B09DA">
        <w:br/>
      </w:r>
      <w:r w:rsidR="70FBA9BE">
        <w:t>Robert Chapman</w:t>
      </w:r>
      <w:r w:rsidR="7F4D934E" w:rsidRPr="4B29E1AF">
        <w:rPr>
          <w:vertAlign w:val="superscript"/>
        </w:rPr>
        <w:t xml:space="preserve"> 1</w:t>
      </w:r>
      <w:r w:rsidR="356B09DA">
        <w:br/>
      </w:r>
      <w:r w:rsidR="7E9242BA">
        <w:t>Shanshan Wang</w:t>
      </w:r>
      <w:r w:rsidR="7E9242BA" w:rsidRPr="4B29E1AF">
        <w:rPr>
          <w:vertAlign w:val="superscript"/>
        </w:rPr>
        <w:t xml:space="preserve"> 1</w:t>
      </w:r>
      <w:r w:rsidR="356B09DA">
        <w:br/>
      </w:r>
      <w:r w:rsidR="7E9242BA" w:rsidRPr="4B29E1AF">
        <w:t>Tianqi Yang</w:t>
      </w:r>
      <w:r w:rsidR="7E9242BA" w:rsidRPr="4B29E1AF">
        <w:rPr>
          <w:vertAlign w:val="superscript"/>
        </w:rPr>
        <w:t xml:space="preserve"> 1</w:t>
      </w:r>
      <w:r w:rsidR="356B09DA">
        <w:br/>
      </w:r>
      <w:r w:rsidR="7019CD6D" w:rsidRPr="4B29E1AF">
        <w:t xml:space="preserve">Adam </w:t>
      </w:r>
      <w:proofErr w:type="spellStart"/>
      <w:r w:rsidR="7019CD6D" w:rsidRPr="4B29E1AF">
        <w:t>Szmul</w:t>
      </w:r>
      <w:proofErr w:type="spellEnd"/>
      <w:r w:rsidR="7019CD6D" w:rsidRPr="4B29E1AF">
        <w:rPr>
          <w:vertAlign w:val="superscript"/>
        </w:rPr>
        <w:t xml:space="preserve"> 1</w:t>
      </w:r>
      <w:r w:rsidR="356B09DA">
        <w:br/>
      </w:r>
      <w:r w:rsidR="7E9242BA">
        <w:t xml:space="preserve">Mehran </w:t>
      </w:r>
      <w:proofErr w:type="spellStart"/>
      <w:r w:rsidR="7E9242BA">
        <w:t>Azimbagirad</w:t>
      </w:r>
      <w:proofErr w:type="spellEnd"/>
      <w:r w:rsidR="7E9242BA" w:rsidRPr="4B29E1AF">
        <w:rPr>
          <w:vertAlign w:val="superscript"/>
        </w:rPr>
        <w:t xml:space="preserve"> 1</w:t>
      </w:r>
      <w:r w:rsidR="356B09DA">
        <w:br/>
      </w:r>
      <w:r w:rsidR="6E2EF31A" w:rsidRPr="4B29E1AF">
        <w:t>Shahab Aslani</w:t>
      </w:r>
      <w:r w:rsidR="6E2EF31A" w:rsidRPr="4B29E1AF">
        <w:rPr>
          <w:vertAlign w:val="superscript"/>
        </w:rPr>
        <w:t xml:space="preserve"> 1</w:t>
      </w:r>
      <w:r w:rsidR="004807A8">
        <w:rPr>
          <w:vertAlign w:val="superscript"/>
        </w:rPr>
        <w:t>,</w:t>
      </w:r>
      <w:r w:rsidR="005F3470">
        <w:rPr>
          <w:vertAlign w:val="superscript"/>
        </w:rPr>
        <w:t>3</w:t>
      </w:r>
      <w:r w:rsidR="356B09DA">
        <w:br/>
      </w:r>
      <w:r w:rsidR="322C0C0B" w:rsidRPr="4B29E1AF">
        <w:t>Monica L</w:t>
      </w:r>
      <w:r w:rsidR="14922ED2" w:rsidRPr="4B29E1AF">
        <w:t>.</w:t>
      </w:r>
      <w:r w:rsidR="322C0C0B" w:rsidRPr="4B29E1AF">
        <w:t xml:space="preserve"> Mullin</w:t>
      </w:r>
      <w:r w:rsidR="322C0C0B" w:rsidRPr="4B29E1AF">
        <w:rPr>
          <w:vertAlign w:val="superscript"/>
        </w:rPr>
        <w:t xml:space="preserve"> </w:t>
      </w:r>
      <w:r w:rsidR="00CB1A47">
        <w:rPr>
          <w:vertAlign w:val="superscript"/>
        </w:rPr>
        <w:t>4</w:t>
      </w:r>
      <w:r w:rsidR="356B09DA">
        <w:br/>
      </w:r>
      <w:r w:rsidR="5CAE8B8E" w:rsidRPr="4B29E1AF">
        <w:t xml:space="preserve">Sindhu </w:t>
      </w:r>
      <w:proofErr w:type="spellStart"/>
      <w:r w:rsidR="006A4945">
        <w:t>Bhaarrati</w:t>
      </w:r>
      <w:proofErr w:type="spellEnd"/>
      <w:r w:rsidR="006A4945">
        <w:t xml:space="preserve"> </w:t>
      </w:r>
      <w:r w:rsidR="5CAE8B8E" w:rsidRPr="4B29E1AF">
        <w:t>Naidu</w:t>
      </w:r>
      <w:r w:rsidR="5CAE8B8E" w:rsidRPr="4B29E1AF">
        <w:rPr>
          <w:vertAlign w:val="superscript"/>
        </w:rPr>
        <w:t xml:space="preserve"> 2</w:t>
      </w:r>
      <w:r w:rsidR="356B09DA">
        <w:br/>
      </w:r>
      <w:r w:rsidR="6FFF46CA">
        <w:t xml:space="preserve">Chuen Ryan Khaw </w:t>
      </w:r>
      <w:r w:rsidR="6FFF46CA" w:rsidRPr="4B29E1AF">
        <w:rPr>
          <w:vertAlign w:val="superscript"/>
        </w:rPr>
        <w:t>2</w:t>
      </w:r>
      <w:r w:rsidR="356B09DA">
        <w:br/>
      </w:r>
      <w:r w:rsidR="15C8FBBB">
        <w:t xml:space="preserve">Alfred </w:t>
      </w:r>
      <w:r w:rsidR="00386913">
        <w:t xml:space="preserve">CP </w:t>
      </w:r>
      <w:r w:rsidR="15C8FBBB">
        <w:t xml:space="preserve">So </w:t>
      </w:r>
      <w:r w:rsidR="15C8FBBB" w:rsidRPr="4B29E1AF">
        <w:rPr>
          <w:vertAlign w:val="superscript"/>
        </w:rPr>
        <w:t>1</w:t>
      </w:r>
      <w:r w:rsidR="356B09DA">
        <w:br/>
      </w:r>
      <w:r w:rsidR="5019FDFA">
        <w:t>SUMMIT consortium</w:t>
      </w:r>
      <w:r w:rsidR="15CE166A">
        <w:t xml:space="preserve"> *</w:t>
      </w:r>
      <w:r w:rsidR="356B09DA">
        <w:br/>
      </w:r>
      <w:r w:rsidR="5F2E8490">
        <w:t>Neal Navani</w:t>
      </w:r>
      <w:r w:rsidR="5F2E8490" w:rsidRPr="4B29E1AF">
        <w:rPr>
          <w:vertAlign w:val="superscript"/>
        </w:rPr>
        <w:t xml:space="preserve"> 1</w:t>
      </w:r>
      <w:r w:rsidR="356B09DA">
        <w:br/>
      </w:r>
      <w:r w:rsidR="24F8984C">
        <w:t>Arjun Nair</w:t>
      </w:r>
      <w:r w:rsidR="711EE0C9">
        <w:t xml:space="preserve"> </w:t>
      </w:r>
      <w:r w:rsidR="00CB1A47">
        <w:rPr>
          <w:vertAlign w:val="superscript"/>
        </w:rPr>
        <w:t>5</w:t>
      </w:r>
      <w:r w:rsidR="356B09DA">
        <w:br/>
      </w:r>
      <w:r w:rsidR="00B537C2">
        <w:t xml:space="preserve">John </w:t>
      </w:r>
      <w:r w:rsidR="00EF7610">
        <w:t xml:space="preserve">R </w:t>
      </w:r>
      <w:r w:rsidR="00B537C2">
        <w:t>Hurst</w:t>
      </w:r>
      <w:r w:rsidR="004A1A91">
        <w:t xml:space="preserve"> </w:t>
      </w:r>
      <w:r w:rsidR="004A1A91" w:rsidRPr="0056555E">
        <w:rPr>
          <w:vertAlign w:val="superscript"/>
        </w:rPr>
        <w:t>3</w:t>
      </w:r>
      <w:r w:rsidR="00B537C2">
        <w:br/>
      </w:r>
      <w:r w:rsidR="4FD9C6C6" w:rsidRPr="4B29E1AF">
        <w:t>Andre Altmann</w:t>
      </w:r>
      <w:r w:rsidR="4FD9C6C6" w:rsidRPr="4B29E1AF">
        <w:rPr>
          <w:vertAlign w:val="superscript"/>
        </w:rPr>
        <w:t xml:space="preserve"> </w:t>
      </w:r>
      <w:r w:rsidR="009F3B58">
        <w:rPr>
          <w:vertAlign w:val="superscript"/>
        </w:rPr>
        <w:t>6</w:t>
      </w:r>
      <w:r w:rsidR="00A672DA">
        <w:br/>
        <w:t xml:space="preserve">Adam </w:t>
      </w:r>
      <w:proofErr w:type="spellStart"/>
      <w:r w:rsidR="00A672DA">
        <w:t>Pennycuick</w:t>
      </w:r>
      <w:proofErr w:type="spellEnd"/>
      <w:r w:rsidR="00A672DA">
        <w:t xml:space="preserve"> </w:t>
      </w:r>
      <w:r w:rsidR="00A672DA" w:rsidRPr="4B29E1AF">
        <w:rPr>
          <w:vertAlign w:val="superscript"/>
        </w:rPr>
        <w:t>2</w:t>
      </w:r>
      <w:r w:rsidR="00A672DA">
        <w:t xml:space="preserve"> </w:t>
      </w:r>
      <w:r w:rsidR="00A672DA">
        <w:br/>
        <w:t xml:space="preserve">Daniel C. Alexander </w:t>
      </w:r>
      <w:r w:rsidR="00A672DA" w:rsidRPr="4B29E1AF">
        <w:rPr>
          <w:vertAlign w:val="superscript"/>
        </w:rPr>
        <w:t>1</w:t>
      </w:r>
      <w:r w:rsidR="356B09DA">
        <w:br/>
      </w:r>
      <w:r w:rsidR="680DC3D3" w:rsidRPr="4B29E1AF">
        <w:t>Neil Oxtoby</w:t>
      </w:r>
      <w:r w:rsidR="680DC3D3" w:rsidRPr="4B29E1AF">
        <w:rPr>
          <w:vertAlign w:val="superscript"/>
        </w:rPr>
        <w:t xml:space="preserve"> 1</w:t>
      </w:r>
      <w:r w:rsidR="356B09DA">
        <w:br/>
      </w:r>
      <w:r w:rsidR="3B326583">
        <w:t>Alexandra Young</w:t>
      </w:r>
      <w:r w:rsidR="31524E04">
        <w:t xml:space="preserve"> </w:t>
      </w:r>
      <w:r w:rsidR="31524E04" w:rsidRPr="4B29E1AF">
        <w:rPr>
          <w:vertAlign w:val="superscript"/>
        </w:rPr>
        <w:t>1</w:t>
      </w:r>
      <w:r w:rsidR="00C634BF">
        <w:br/>
      </w:r>
      <w:r w:rsidR="00A672DA">
        <w:t xml:space="preserve">Matthew Sperrin </w:t>
      </w:r>
      <w:r w:rsidR="009F3B58">
        <w:rPr>
          <w:vertAlign w:val="superscript"/>
        </w:rPr>
        <w:t>7</w:t>
      </w:r>
      <w:r w:rsidR="00194273">
        <w:br/>
      </w:r>
      <w:r w:rsidR="5F46801C">
        <w:t>Sam</w:t>
      </w:r>
      <w:r w:rsidR="70ED1924">
        <w:t xml:space="preserve"> </w:t>
      </w:r>
      <w:r w:rsidR="0FAAA133">
        <w:t xml:space="preserve">M. </w:t>
      </w:r>
      <w:r w:rsidR="70ED1924">
        <w:t>Janes</w:t>
      </w:r>
      <w:r w:rsidR="71C55DA1">
        <w:t xml:space="preserve"> </w:t>
      </w:r>
      <w:proofErr w:type="gramStart"/>
      <w:r w:rsidR="71C55DA1" w:rsidRPr="4B29E1AF">
        <w:rPr>
          <w:vertAlign w:val="superscript"/>
        </w:rPr>
        <w:t>2</w:t>
      </w:r>
      <w:r w:rsidR="00151B36">
        <w:rPr>
          <w:vertAlign w:val="superscript"/>
        </w:rPr>
        <w:t>,</w:t>
      </w:r>
      <w:r w:rsidR="00151B36" w:rsidRPr="00151B36">
        <w:rPr>
          <w:vertAlign w:val="superscript"/>
        </w:rPr>
        <w:t>†</w:t>
      </w:r>
      <w:proofErr w:type="gramEnd"/>
      <w:r w:rsidR="356B09DA">
        <w:br/>
      </w:r>
      <w:r>
        <w:t>Joseph Jacob</w:t>
      </w:r>
      <w:r w:rsidR="56051020">
        <w:t xml:space="preserve"> </w:t>
      </w:r>
      <w:proofErr w:type="gramStart"/>
      <w:r w:rsidR="56051020" w:rsidRPr="4B29E1AF">
        <w:rPr>
          <w:vertAlign w:val="superscript"/>
        </w:rPr>
        <w:t>1</w:t>
      </w:r>
      <w:r w:rsidR="00E50963">
        <w:rPr>
          <w:vertAlign w:val="superscript"/>
        </w:rPr>
        <w:t>,</w:t>
      </w:r>
      <w:r w:rsidR="00151B36" w:rsidRPr="00151B36">
        <w:rPr>
          <w:vertAlign w:val="superscript"/>
        </w:rPr>
        <w:t>†</w:t>
      </w:r>
      <w:proofErr w:type="gramEnd"/>
    </w:p>
    <w:p w14:paraId="2B80DDE4" w14:textId="77777777" w:rsidR="007A20CB" w:rsidRDefault="7BACD34C" w:rsidP="00CB45F7">
      <w:r>
        <w:lastRenderedPageBreak/>
        <w:t>1</w:t>
      </w:r>
      <w:r w:rsidR="006C736B">
        <w:t>:</w:t>
      </w:r>
      <w:r>
        <w:t xml:space="preserve"> </w:t>
      </w:r>
      <w:r w:rsidR="00B91382">
        <w:t xml:space="preserve">UCL </w:t>
      </w:r>
      <w:r w:rsidR="17C0B07C">
        <w:t>Hawkes Institute</w:t>
      </w:r>
      <w:r w:rsidR="00B91382">
        <w:t xml:space="preserve"> and Department of Computer Science</w:t>
      </w:r>
      <w:r w:rsidR="17C0B07C">
        <w:t>, University College London, UK</w:t>
      </w:r>
    </w:p>
    <w:p w14:paraId="09CD2C7A" w14:textId="079E683A" w:rsidR="776022EE" w:rsidRDefault="009F3B58" w:rsidP="00CB45F7">
      <w:r>
        <w:br/>
      </w:r>
      <w:r w:rsidR="24C2579E">
        <w:t>2</w:t>
      </w:r>
      <w:r w:rsidR="006C736B">
        <w:t>:</w:t>
      </w:r>
      <w:r w:rsidR="24C2579E">
        <w:t xml:space="preserve"> Lungs for Living Research Centre, University College London, UK</w:t>
      </w:r>
      <w:r w:rsidR="004C123F">
        <w:br/>
        <w:t xml:space="preserve">3: </w:t>
      </w:r>
      <w:r w:rsidR="004A1A91">
        <w:t>UCL Respiratory, University College London, UK</w:t>
      </w:r>
      <w:r w:rsidR="00AD1222">
        <w:br/>
      </w:r>
      <w:r w:rsidR="00CB1A47">
        <w:t xml:space="preserve">4: </w:t>
      </w:r>
      <w:r w:rsidR="00CB1A47" w:rsidRPr="00CB1A47">
        <w:t>Division of Respiratory Medicine, Cumming School of Medicine, University of Calgary, Canada</w:t>
      </w:r>
      <w:r w:rsidR="4B1EF913">
        <w:br/>
      </w:r>
      <w:r w:rsidR="00CB1A47">
        <w:t>5</w:t>
      </w:r>
      <w:r w:rsidR="006C736B">
        <w:t>:</w:t>
      </w:r>
      <w:r w:rsidR="6E1FD0CD">
        <w:t xml:space="preserve"> </w:t>
      </w:r>
      <w:r w:rsidR="6112D24D">
        <w:t>Department of Radiology, University College London Hospitals NHS Trust,</w:t>
      </w:r>
      <w:r w:rsidR="1AEC745C">
        <w:t xml:space="preserve"> UK</w:t>
      </w:r>
      <w:r>
        <w:br/>
        <w:t>6: UCL Hawkes Institute and Department of Medical Physics and Biomedical Engineering, University College London, UK</w:t>
      </w:r>
      <w:r w:rsidR="4B1EF913">
        <w:br/>
      </w:r>
      <w:r>
        <w:t>7</w:t>
      </w:r>
      <w:r w:rsidR="006C736B">
        <w:t>:</w:t>
      </w:r>
      <w:r w:rsidR="3EAECE3A">
        <w:t xml:space="preserve"> </w:t>
      </w:r>
      <w:r w:rsidR="08AC8AEB">
        <w:t>Division of Informatics</w:t>
      </w:r>
      <w:r w:rsidR="1DFBC0D0">
        <w:t>, Imaging &amp; Data Sciences, University of Manchester, UK</w:t>
      </w:r>
      <w:r w:rsidR="4B1EF913">
        <w:br/>
      </w:r>
      <w:r w:rsidR="2898A350">
        <w:t>*</w:t>
      </w:r>
      <w:r w:rsidR="006C736B">
        <w:t>:</w:t>
      </w:r>
      <w:r w:rsidR="2898A350">
        <w:t xml:space="preserve"> listed in acknowledgements</w:t>
      </w:r>
      <w:r w:rsidR="00151B36">
        <w:br/>
      </w:r>
      <w:r w:rsidR="00151B36" w:rsidRPr="006C736B">
        <w:t>†</w:t>
      </w:r>
      <w:r w:rsidR="006C736B" w:rsidRPr="006C736B">
        <w:t>:</w:t>
      </w:r>
      <w:r w:rsidR="00554C5B">
        <w:rPr>
          <w:vertAlign w:val="superscript"/>
        </w:rPr>
        <w:t xml:space="preserve"> </w:t>
      </w:r>
      <w:r w:rsidR="00554C5B">
        <w:t xml:space="preserve">represents joint </w:t>
      </w:r>
      <w:r w:rsidR="00194273">
        <w:t>senior</w:t>
      </w:r>
      <w:r w:rsidR="00554C5B">
        <w:t xml:space="preserve"> authorship</w:t>
      </w:r>
      <w:r w:rsidR="4B1EF913">
        <w:br/>
      </w:r>
      <w:r w:rsidR="00194273" w:rsidRPr="00194273">
        <w:t>‡</w:t>
      </w:r>
      <w:r w:rsidR="006C736B">
        <w:t>:</w:t>
      </w:r>
      <w:r w:rsidR="325D0A0A">
        <w:t xml:space="preserve"> Corresponding author</w:t>
      </w:r>
      <w:r w:rsidR="7A7BC4A1">
        <w:t xml:space="preserve">: </w:t>
      </w:r>
      <w:hyperlink r:id="rId8">
        <w:r w:rsidR="08EED17F" w:rsidRPr="4B29E1AF">
          <w:rPr>
            <w:rStyle w:val="Hyperlink"/>
          </w:rPr>
          <w:t>daryl.cheng@ucl.ac.uk</w:t>
        </w:r>
      </w:hyperlink>
      <w:r w:rsidR="08EED17F">
        <w:t xml:space="preserve"> </w:t>
      </w:r>
    </w:p>
    <w:p w14:paraId="1F300416" w14:textId="77777777" w:rsidR="323CF8D4" w:rsidRDefault="323CF8D4"/>
    <w:p w14:paraId="10198993" w14:textId="77777777" w:rsidR="4B29E1AF" w:rsidRDefault="4B29E1AF" w:rsidP="00621D05">
      <w:pPr>
        <w:spacing w:after="160" w:line="279" w:lineRule="auto"/>
      </w:pPr>
    </w:p>
    <w:p w14:paraId="3EBF8E1D" w14:textId="77777777" w:rsidR="0020010B" w:rsidRDefault="0020010B" w:rsidP="00647358">
      <w:r>
        <w:br w:type="page"/>
      </w:r>
    </w:p>
    <w:sdt>
      <w:sdtPr>
        <w:rPr>
          <w:rFonts w:eastAsia="Arial"/>
          <w:color w:val="auto"/>
          <w:sz w:val="24"/>
          <w:szCs w:val="24"/>
          <w:lang w:eastAsia="ja-JP"/>
        </w:rPr>
        <w:id w:val="329565700"/>
        <w:docPartObj>
          <w:docPartGallery w:val="Table of Contents"/>
          <w:docPartUnique/>
        </w:docPartObj>
      </w:sdtPr>
      <w:sdtEndPr>
        <w:rPr>
          <w:b/>
          <w:bCs/>
          <w:noProof/>
        </w:rPr>
      </w:sdtEndPr>
      <w:sdtContent>
        <w:p w14:paraId="55BBD3D6" w14:textId="77777777" w:rsidR="003067D6" w:rsidRPr="00EE53EC" w:rsidRDefault="003067D6" w:rsidP="00EE53EC">
          <w:pPr>
            <w:pStyle w:val="TOCHeading"/>
          </w:pPr>
          <w:r w:rsidRPr="00EE53EC">
            <w:t>Table of Contents</w:t>
          </w:r>
        </w:p>
        <w:p w14:paraId="470CDF7B" w14:textId="3ECC042D" w:rsidR="00AC2EF6" w:rsidRDefault="003067D6">
          <w:pPr>
            <w:pStyle w:val="TOC1"/>
            <w:tabs>
              <w:tab w:val="right" w:leader="dot" w:pos="9016"/>
            </w:tabs>
            <w:rPr>
              <w:rFonts w:asciiTheme="minorHAnsi" w:eastAsiaTheme="minorEastAsia" w:hAnsiTheme="minorHAnsi" w:cstheme="minorBidi"/>
              <w:noProof/>
              <w:kern w:val="2"/>
              <w:lang w:eastAsia="en-US"/>
              <w14:ligatures w14:val="standardContextual"/>
            </w:rPr>
          </w:pPr>
          <w:r>
            <w:fldChar w:fldCharType="begin"/>
          </w:r>
          <w:r>
            <w:instrText xml:space="preserve"> TOC \o "1-3" \h \z \u </w:instrText>
          </w:r>
          <w:r>
            <w:fldChar w:fldCharType="separate"/>
          </w:r>
          <w:hyperlink w:anchor="_Toc237015169" w:history="1">
            <w:r w:rsidR="00AC2EF6" w:rsidRPr="00F91809">
              <w:rPr>
                <w:rStyle w:val="Hyperlink"/>
                <w:noProof/>
              </w:rPr>
              <w:t>Definition of non-lung cancer related death</w:t>
            </w:r>
            <w:r w:rsidR="00AC2EF6">
              <w:rPr>
                <w:noProof/>
                <w:webHidden/>
              </w:rPr>
              <w:tab/>
            </w:r>
            <w:r w:rsidR="00AC2EF6">
              <w:rPr>
                <w:noProof/>
                <w:webHidden/>
              </w:rPr>
              <w:fldChar w:fldCharType="begin"/>
            </w:r>
            <w:r w:rsidR="00AC2EF6">
              <w:rPr>
                <w:noProof/>
                <w:webHidden/>
              </w:rPr>
              <w:instrText xml:space="preserve"> PAGEREF _Toc237015169 \h </w:instrText>
            </w:r>
            <w:r w:rsidR="00AC2EF6">
              <w:rPr>
                <w:noProof/>
                <w:webHidden/>
              </w:rPr>
            </w:r>
            <w:r w:rsidR="00AC2EF6">
              <w:rPr>
                <w:noProof/>
                <w:webHidden/>
              </w:rPr>
              <w:fldChar w:fldCharType="separate"/>
            </w:r>
            <w:r w:rsidR="00AC2EF6">
              <w:rPr>
                <w:noProof/>
                <w:webHidden/>
              </w:rPr>
              <w:t>8</w:t>
            </w:r>
            <w:r w:rsidR="00AC2EF6">
              <w:rPr>
                <w:noProof/>
                <w:webHidden/>
              </w:rPr>
              <w:fldChar w:fldCharType="end"/>
            </w:r>
          </w:hyperlink>
        </w:p>
        <w:p w14:paraId="53E65051" w14:textId="42DCBF7F" w:rsidR="00AC2EF6" w:rsidRDefault="00AC2EF6">
          <w:pPr>
            <w:pStyle w:val="TOC1"/>
            <w:tabs>
              <w:tab w:val="right" w:leader="dot" w:pos="9016"/>
            </w:tabs>
            <w:rPr>
              <w:rFonts w:asciiTheme="minorHAnsi" w:eastAsiaTheme="minorEastAsia" w:hAnsiTheme="minorHAnsi" w:cstheme="minorBidi"/>
              <w:noProof/>
              <w:kern w:val="2"/>
              <w:lang w:eastAsia="en-US"/>
              <w14:ligatures w14:val="standardContextual"/>
            </w:rPr>
          </w:pPr>
          <w:hyperlink w:anchor="_Toc237015170" w:history="1">
            <w:r w:rsidRPr="00F91809">
              <w:rPr>
                <w:rStyle w:val="Hyperlink"/>
                <w:noProof/>
              </w:rPr>
              <w:t>Characteristics of participants with unknown vital status</w:t>
            </w:r>
            <w:r>
              <w:rPr>
                <w:noProof/>
                <w:webHidden/>
              </w:rPr>
              <w:tab/>
            </w:r>
            <w:r>
              <w:rPr>
                <w:noProof/>
                <w:webHidden/>
              </w:rPr>
              <w:fldChar w:fldCharType="begin"/>
            </w:r>
            <w:r>
              <w:rPr>
                <w:noProof/>
                <w:webHidden/>
              </w:rPr>
              <w:instrText xml:space="preserve"> PAGEREF _Toc237015170 \h </w:instrText>
            </w:r>
            <w:r>
              <w:rPr>
                <w:noProof/>
                <w:webHidden/>
              </w:rPr>
            </w:r>
            <w:r>
              <w:rPr>
                <w:noProof/>
                <w:webHidden/>
              </w:rPr>
              <w:fldChar w:fldCharType="separate"/>
            </w:r>
            <w:r>
              <w:rPr>
                <w:noProof/>
                <w:webHidden/>
              </w:rPr>
              <w:t>9</w:t>
            </w:r>
            <w:r>
              <w:rPr>
                <w:noProof/>
                <w:webHidden/>
              </w:rPr>
              <w:fldChar w:fldCharType="end"/>
            </w:r>
          </w:hyperlink>
        </w:p>
        <w:p w14:paraId="45A41D13" w14:textId="2C4B07EE" w:rsidR="00AC2EF6" w:rsidRDefault="00AC2EF6">
          <w:pPr>
            <w:pStyle w:val="TOC1"/>
            <w:tabs>
              <w:tab w:val="right" w:leader="dot" w:pos="9016"/>
            </w:tabs>
            <w:rPr>
              <w:rFonts w:asciiTheme="minorHAnsi" w:eastAsiaTheme="minorEastAsia" w:hAnsiTheme="minorHAnsi" w:cstheme="minorBidi"/>
              <w:noProof/>
              <w:kern w:val="2"/>
              <w:lang w:eastAsia="en-US"/>
              <w14:ligatures w14:val="standardContextual"/>
            </w:rPr>
          </w:pPr>
          <w:hyperlink w:anchor="_Toc237015171" w:history="1">
            <w:r w:rsidRPr="00F91809">
              <w:rPr>
                <w:rStyle w:val="Hyperlink"/>
                <w:noProof/>
              </w:rPr>
              <w:t>Imaging feature extraction</w:t>
            </w:r>
            <w:r>
              <w:rPr>
                <w:noProof/>
                <w:webHidden/>
              </w:rPr>
              <w:tab/>
            </w:r>
            <w:r>
              <w:rPr>
                <w:noProof/>
                <w:webHidden/>
              </w:rPr>
              <w:fldChar w:fldCharType="begin"/>
            </w:r>
            <w:r>
              <w:rPr>
                <w:noProof/>
                <w:webHidden/>
              </w:rPr>
              <w:instrText xml:space="preserve"> PAGEREF _Toc237015171 \h </w:instrText>
            </w:r>
            <w:r>
              <w:rPr>
                <w:noProof/>
                <w:webHidden/>
              </w:rPr>
            </w:r>
            <w:r>
              <w:rPr>
                <w:noProof/>
                <w:webHidden/>
              </w:rPr>
              <w:fldChar w:fldCharType="separate"/>
            </w:r>
            <w:r>
              <w:rPr>
                <w:noProof/>
                <w:webHidden/>
              </w:rPr>
              <w:t>11</w:t>
            </w:r>
            <w:r>
              <w:rPr>
                <w:noProof/>
                <w:webHidden/>
              </w:rPr>
              <w:fldChar w:fldCharType="end"/>
            </w:r>
          </w:hyperlink>
        </w:p>
        <w:p w14:paraId="43FC4016" w14:textId="12DCB4BA" w:rsidR="00AC2EF6" w:rsidRDefault="00AC2EF6">
          <w:pPr>
            <w:pStyle w:val="TOC2"/>
            <w:tabs>
              <w:tab w:val="right" w:leader="dot" w:pos="9016"/>
            </w:tabs>
            <w:rPr>
              <w:rFonts w:asciiTheme="minorHAnsi" w:eastAsiaTheme="minorEastAsia" w:hAnsiTheme="minorHAnsi" w:cstheme="minorBidi"/>
              <w:noProof/>
              <w:kern w:val="2"/>
              <w:lang w:eastAsia="en-US"/>
              <w14:ligatures w14:val="standardContextual"/>
            </w:rPr>
          </w:pPr>
          <w:hyperlink w:anchor="_Toc237015172" w:history="1">
            <w:r w:rsidRPr="00F91809">
              <w:rPr>
                <w:rStyle w:val="Hyperlink"/>
                <w:noProof/>
              </w:rPr>
              <w:t>Segmentation quality control for trabecular bone density</w:t>
            </w:r>
            <w:r>
              <w:rPr>
                <w:noProof/>
                <w:webHidden/>
              </w:rPr>
              <w:tab/>
            </w:r>
            <w:r>
              <w:rPr>
                <w:noProof/>
                <w:webHidden/>
              </w:rPr>
              <w:fldChar w:fldCharType="begin"/>
            </w:r>
            <w:r>
              <w:rPr>
                <w:noProof/>
                <w:webHidden/>
              </w:rPr>
              <w:instrText xml:space="preserve"> PAGEREF _Toc237015172 \h </w:instrText>
            </w:r>
            <w:r>
              <w:rPr>
                <w:noProof/>
                <w:webHidden/>
              </w:rPr>
            </w:r>
            <w:r>
              <w:rPr>
                <w:noProof/>
                <w:webHidden/>
              </w:rPr>
              <w:fldChar w:fldCharType="separate"/>
            </w:r>
            <w:r>
              <w:rPr>
                <w:noProof/>
                <w:webHidden/>
              </w:rPr>
              <w:t>11</w:t>
            </w:r>
            <w:r>
              <w:rPr>
                <w:noProof/>
                <w:webHidden/>
              </w:rPr>
              <w:fldChar w:fldCharType="end"/>
            </w:r>
          </w:hyperlink>
        </w:p>
        <w:p w14:paraId="3F337232" w14:textId="0B01F694" w:rsidR="00AC2EF6" w:rsidRDefault="00AC2EF6">
          <w:pPr>
            <w:pStyle w:val="TOC1"/>
            <w:tabs>
              <w:tab w:val="right" w:leader="dot" w:pos="9016"/>
            </w:tabs>
            <w:rPr>
              <w:rFonts w:asciiTheme="minorHAnsi" w:eastAsiaTheme="minorEastAsia" w:hAnsiTheme="minorHAnsi" w:cstheme="minorBidi"/>
              <w:noProof/>
              <w:kern w:val="2"/>
              <w:lang w:eastAsia="en-US"/>
              <w14:ligatures w14:val="standardContextual"/>
            </w:rPr>
          </w:pPr>
          <w:hyperlink w:anchor="_Toc237015173" w:history="1">
            <w:r w:rsidRPr="00F91809">
              <w:rPr>
                <w:rStyle w:val="Hyperlink"/>
                <w:noProof/>
              </w:rPr>
              <w:t>Disease course mapping</w:t>
            </w:r>
            <w:r>
              <w:rPr>
                <w:noProof/>
                <w:webHidden/>
              </w:rPr>
              <w:tab/>
            </w:r>
            <w:r>
              <w:rPr>
                <w:noProof/>
                <w:webHidden/>
              </w:rPr>
              <w:fldChar w:fldCharType="begin"/>
            </w:r>
            <w:r>
              <w:rPr>
                <w:noProof/>
                <w:webHidden/>
              </w:rPr>
              <w:instrText xml:space="preserve"> PAGEREF _Toc237015173 \h </w:instrText>
            </w:r>
            <w:r>
              <w:rPr>
                <w:noProof/>
                <w:webHidden/>
              </w:rPr>
            </w:r>
            <w:r>
              <w:rPr>
                <w:noProof/>
                <w:webHidden/>
              </w:rPr>
              <w:fldChar w:fldCharType="separate"/>
            </w:r>
            <w:r>
              <w:rPr>
                <w:noProof/>
                <w:webHidden/>
              </w:rPr>
              <w:t>13</w:t>
            </w:r>
            <w:r>
              <w:rPr>
                <w:noProof/>
                <w:webHidden/>
              </w:rPr>
              <w:fldChar w:fldCharType="end"/>
            </w:r>
          </w:hyperlink>
        </w:p>
        <w:p w14:paraId="33B0B8B7" w14:textId="450262B0" w:rsidR="00AC2EF6" w:rsidRDefault="00AC2EF6">
          <w:pPr>
            <w:pStyle w:val="TOC1"/>
            <w:tabs>
              <w:tab w:val="right" w:leader="dot" w:pos="9016"/>
            </w:tabs>
            <w:rPr>
              <w:rFonts w:asciiTheme="minorHAnsi" w:eastAsiaTheme="minorEastAsia" w:hAnsiTheme="minorHAnsi" w:cstheme="minorBidi"/>
              <w:noProof/>
              <w:kern w:val="2"/>
              <w:lang w:eastAsia="en-US"/>
              <w14:ligatures w14:val="standardContextual"/>
            </w:rPr>
          </w:pPr>
          <w:hyperlink w:anchor="_Toc237015174" w:history="1">
            <w:r w:rsidRPr="00F91809">
              <w:rPr>
                <w:rStyle w:val="Hyperlink"/>
                <w:noProof/>
              </w:rPr>
              <w:t>Internal-external Cross Validation</w:t>
            </w:r>
            <w:r>
              <w:rPr>
                <w:noProof/>
                <w:webHidden/>
              </w:rPr>
              <w:tab/>
            </w:r>
            <w:r>
              <w:rPr>
                <w:noProof/>
                <w:webHidden/>
              </w:rPr>
              <w:fldChar w:fldCharType="begin"/>
            </w:r>
            <w:r>
              <w:rPr>
                <w:noProof/>
                <w:webHidden/>
              </w:rPr>
              <w:instrText xml:space="preserve"> PAGEREF _Toc237015174 \h </w:instrText>
            </w:r>
            <w:r>
              <w:rPr>
                <w:noProof/>
                <w:webHidden/>
              </w:rPr>
            </w:r>
            <w:r>
              <w:rPr>
                <w:noProof/>
                <w:webHidden/>
              </w:rPr>
              <w:fldChar w:fldCharType="separate"/>
            </w:r>
            <w:r>
              <w:rPr>
                <w:noProof/>
                <w:webHidden/>
              </w:rPr>
              <w:t>14</w:t>
            </w:r>
            <w:r>
              <w:rPr>
                <w:noProof/>
                <w:webHidden/>
              </w:rPr>
              <w:fldChar w:fldCharType="end"/>
            </w:r>
          </w:hyperlink>
        </w:p>
        <w:p w14:paraId="1DAB0213" w14:textId="59757256" w:rsidR="00AC2EF6" w:rsidRDefault="00AC2EF6">
          <w:pPr>
            <w:pStyle w:val="TOC1"/>
            <w:tabs>
              <w:tab w:val="right" w:leader="dot" w:pos="9016"/>
            </w:tabs>
            <w:rPr>
              <w:rFonts w:asciiTheme="minorHAnsi" w:eastAsiaTheme="minorEastAsia" w:hAnsiTheme="minorHAnsi" w:cstheme="minorBidi"/>
              <w:noProof/>
              <w:kern w:val="2"/>
              <w:lang w:eastAsia="en-US"/>
              <w14:ligatures w14:val="standardContextual"/>
            </w:rPr>
          </w:pPr>
          <w:hyperlink w:anchor="_Toc237015175" w:history="1">
            <w:r w:rsidRPr="00F91809">
              <w:rPr>
                <w:rStyle w:val="Hyperlink"/>
                <w:noProof/>
              </w:rPr>
              <w:t>Sample size calculation</w:t>
            </w:r>
            <w:r>
              <w:rPr>
                <w:noProof/>
                <w:webHidden/>
              </w:rPr>
              <w:tab/>
            </w:r>
            <w:r>
              <w:rPr>
                <w:noProof/>
                <w:webHidden/>
              </w:rPr>
              <w:fldChar w:fldCharType="begin"/>
            </w:r>
            <w:r>
              <w:rPr>
                <w:noProof/>
                <w:webHidden/>
              </w:rPr>
              <w:instrText xml:space="preserve"> PAGEREF _Toc237015175 \h </w:instrText>
            </w:r>
            <w:r>
              <w:rPr>
                <w:noProof/>
                <w:webHidden/>
              </w:rPr>
            </w:r>
            <w:r>
              <w:rPr>
                <w:noProof/>
                <w:webHidden/>
              </w:rPr>
              <w:fldChar w:fldCharType="separate"/>
            </w:r>
            <w:r>
              <w:rPr>
                <w:noProof/>
                <w:webHidden/>
              </w:rPr>
              <w:t>16</w:t>
            </w:r>
            <w:r>
              <w:rPr>
                <w:noProof/>
                <w:webHidden/>
              </w:rPr>
              <w:fldChar w:fldCharType="end"/>
            </w:r>
          </w:hyperlink>
        </w:p>
        <w:p w14:paraId="447B5238" w14:textId="467BFAEE" w:rsidR="00AC2EF6" w:rsidRDefault="00AC2EF6">
          <w:pPr>
            <w:pStyle w:val="TOC1"/>
            <w:tabs>
              <w:tab w:val="right" w:leader="dot" w:pos="9016"/>
            </w:tabs>
            <w:rPr>
              <w:rFonts w:asciiTheme="minorHAnsi" w:eastAsiaTheme="minorEastAsia" w:hAnsiTheme="minorHAnsi" w:cstheme="minorBidi"/>
              <w:noProof/>
              <w:kern w:val="2"/>
              <w:lang w:eastAsia="en-US"/>
              <w14:ligatures w14:val="standardContextual"/>
            </w:rPr>
          </w:pPr>
          <w:hyperlink w:anchor="_Toc237015176" w:history="1">
            <w:r w:rsidRPr="00F91809">
              <w:rPr>
                <w:rStyle w:val="Hyperlink"/>
                <w:noProof/>
              </w:rPr>
              <w:t>Clinical characteristics and associations with age gap</w:t>
            </w:r>
            <w:r>
              <w:rPr>
                <w:noProof/>
                <w:webHidden/>
              </w:rPr>
              <w:tab/>
            </w:r>
            <w:r>
              <w:rPr>
                <w:noProof/>
                <w:webHidden/>
              </w:rPr>
              <w:fldChar w:fldCharType="begin"/>
            </w:r>
            <w:r>
              <w:rPr>
                <w:noProof/>
                <w:webHidden/>
              </w:rPr>
              <w:instrText xml:space="preserve"> PAGEREF _Toc237015176 \h </w:instrText>
            </w:r>
            <w:r>
              <w:rPr>
                <w:noProof/>
                <w:webHidden/>
              </w:rPr>
            </w:r>
            <w:r>
              <w:rPr>
                <w:noProof/>
                <w:webHidden/>
              </w:rPr>
              <w:fldChar w:fldCharType="separate"/>
            </w:r>
            <w:r>
              <w:rPr>
                <w:noProof/>
                <w:webHidden/>
              </w:rPr>
              <w:t>18</w:t>
            </w:r>
            <w:r>
              <w:rPr>
                <w:noProof/>
                <w:webHidden/>
              </w:rPr>
              <w:fldChar w:fldCharType="end"/>
            </w:r>
          </w:hyperlink>
        </w:p>
        <w:p w14:paraId="4A0DF47A" w14:textId="13734292" w:rsidR="00AC2EF6" w:rsidRDefault="00AC2EF6">
          <w:pPr>
            <w:pStyle w:val="TOC1"/>
            <w:tabs>
              <w:tab w:val="right" w:leader="dot" w:pos="9016"/>
            </w:tabs>
            <w:rPr>
              <w:rFonts w:asciiTheme="minorHAnsi" w:eastAsiaTheme="minorEastAsia" w:hAnsiTheme="minorHAnsi" w:cstheme="minorBidi"/>
              <w:noProof/>
              <w:kern w:val="2"/>
              <w:lang w:eastAsia="en-US"/>
              <w14:ligatures w14:val="standardContextual"/>
            </w:rPr>
          </w:pPr>
          <w:hyperlink w:anchor="_Toc237015177" w:history="1">
            <w:r w:rsidRPr="00F91809">
              <w:rPr>
                <w:rStyle w:val="Hyperlink"/>
                <w:noProof/>
              </w:rPr>
              <w:t>Evaluation of model discrimination &amp; calibration</w:t>
            </w:r>
            <w:r>
              <w:rPr>
                <w:noProof/>
                <w:webHidden/>
              </w:rPr>
              <w:tab/>
            </w:r>
            <w:r>
              <w:rPr>
                <w:noProof/>
                <w:webHidden/>
              </w:rPr>
              <w:fldChar w:fldCharType="begin"/>
            </w:r>
            <w:r>
              <w:rPr>
                <w:noProof/>
                <w:webHidden/>
              </w:rPr>
              <w:instrText xml:space="preserve"> PAGEREF _Toc237015177 \h </w:instrText>
            </w:r>
            <w:r>
              <w:rPr>
                <w:noProof/>
                <w:webHidden/>
              </w:rPr>
            </w:r>
            <w:r>
              <w:rPr>
                <w:noProof/>
                <w:webHidden/>
              </w:rPr>
              <w:fldChar w:fldCharType="separate"/>
            </w:r>
            <w:r>
              <w:rPr>
                <w:noProof/>
                <w:webHidden/>
              </w:rPr>
              <w:t>21</w:t>
            </w:r>
            <w:r>
              <w:rPr>
                <w:noProof/>
                <w:webHidden/>
              </w:rPr>
              <w:fldChar w:fldCharType="end"/>
            </w:r>
          </w:hyperlink>
        </w:p>
        <w:p w14:paraId="1468C6C3" w14:textId="362E751D" w:rsidR="00AC2EF6" w:rsidRDefault="00AC2EF6">
          <w:pPr>
            <w:pStyle w:val="TOC2"/>
            <w:tabs>
              <w:tab w:val="right" w:leader="dot" w:pos="9016"/>
            </w:tabs>
            <w:rPr>
              <w:rFonts w:asciiTheme="minorHAnsi" w:eastAsiaTheme="minorEastAsia" w:hAnsiTheme="minorHAnsi" w:cstheme="minorBidi"/>
              <w:noProof/>
              <w:kern w:val="2"/>
              <w:lang w:eastAsia="en-US"/>
              <w14:ligatures w14:val="standardContextual"/>
            </w:rPr>
          </w:pPr>
          <w:hyperlink w:anchor="_Toc237015178" w:history="1">
            <w:r w:rsidRPr="00F91809">
              <w:rPr>
                <w:rStyle w:val="Hyperlink"/>
                <w:noProof/>
              </w:rPr>
              <w:t>Comparison with established risk prediction tools</w:t>
            </w:r>
            <w:r>
              <w:rPr>
                <w:noProof/>
                <w:webHidden/>
              </w:rPr>
              <w:tab/>
            </w:r>
            <w:r>
              <w:rPr>
                <w:noProof/>
                <w:webHidden/>
              </w:rPr>
              <w:fldChar w:fldCharType="begin"/>
            </w:r>
            <w:r>
              <w:rPr>
                <w:noProof/>
                <w:webHidden/>
              </w:rPr>
              <w:instrText xml:space="preserve"> PAGEREF _Toc237015178 \h </w:instrText>
            </w:r>
            <w:r>
              <w:rPr>
                <w:noProof/>
                <w:webHidden/>
              </w:rPr>
            </w:r>
            <w:r>
              <w:rPr>
                <w:noProof/>
                <w:webHidden/>
              </w:rPr>
              <w:fldChar w:fldCharType="separate"/>
            </w:r>
            <w:r>
              <w:rPr>
                <w:noProof/>
                <w:webHidden/>
              </w:rPr>
              <w:t>34</w:t>
            </w:r>
            <w:r>
              <w:rPr>
                <w:noProof/>
                <w:webHidden/>
              </w:rPr>
              <w:fldChar w:fldCharType="end"/>
            </w:r>
          </w:hyperlink>
        </w:p>
        <w:p w14:paraId="129DE389" w14:textId="1F705DBF" w:rsidR="00AC2EF6" w:rsidRDefault="00AC2EF6">
          <w:pPr>
            <w:pStyle w:val="TOC2"/>
            <w:tabs>
              <w:tab w:val="right" w:leader="dot" w:pos="9016"/>
            </w:tabs>
            <w:rPr>
              <w:rFonts w:asciiTheme="minorHAnsi" w:eastAsiaTheme="minorEastAsia" w:hAnsiTheme="minorHAnsi" w:cstheme="minorBidi"/>
              <w:noProof/>
              <w:kern w:val="2"/>
              <w:lang w:eastAsia="en-US"/>
              <w14:ligatures w14:val="standardContextual"/>
            </w:rPr>
          </w:pPr>
          <w:hyperlink w:anchor="_Toc237015179" w:history="1">
            <w:r w:rsidRPr="00F91809">
              <w:rPr>
                <w:rStyle w:val="Hyperlink"/>
                <w:noProof/>
              </w:rPr>
              <w:t>Subgroup analysis by ethnicity and socioeconomic deprivation</w:t>
            </w:r>
            <w:r>
              <w:rPr>
                <w:noProof/>
                <w:webHidden/>
              </w:rPr>
              <w:tab/>
            </w:r>
            <w:r>
              <w:rPr>
                <w:noProof/>
                <w:webHidden/>
              </w:rPr>
              <w:fldChar w:fldCharType="begin"/>
            </w:r>
            <w:r>
              <w:rPr>
                <w:noProof/>
                <w:webHidden/>
              </w:rPr>
              <w:instrText xml:space="preserve"> PAGEREF _Toc237015179 \h </w:instrText>
            </w:r>
            <w:r>
              <w:rPr>
                <w:noProof/>
                <w:webHidden/>
              </w:rPr>
            </w:r>
            <w:r>
              <w:rPr>
                <w:noProof/>
                <w:webHidden/>
              </w:rPr>
              <w:fldChar w:fldCharType="separate"/>
            </w:r>
            <w:r>
              <w:rPr>
                <w:noProof/>
                <w:webHidden/>
              </w:rPr>
              <w:t>39</w:t>
            </w:r>
            <w:r>
              <w:rPr>
                <w:noProof/>
                <w:webHidden/>
              </w:rPr>
              <w:fldChar w:fldCharType="end"/>
            </w:r>
          </w:hyperlink>
        </w:p>
        <w:p w14:paraId="4E2EB731" w14:textId="26ED6908" w:rsidR="00AC2EF6" w:rsidRDefault="00AC2EF6">
          <w:pPr>
            <w:pStyle w:val="TOC1"/>
            <w:tabs>
              <w:tab w:val="right" w:leader="dot" w:pos="9016"/>
            </w:tabs>
            <w:rPr>
              <w:rFonts w:asciiTheme="minorHAnsi" w:eastAsiaTheme="minorEastAsia" w:hAnsiTheme="minorHAnsi" w:cstheme="minorBidi"/>
              <w:noProof/>
              <w:kern w:val="2"/>
              <w:lang w:eastAsia="en-US"/>
              <w14:ligatures w14:val="standardContextual"/>
            </w:rPr>
          </w:pPr>
          <w:hyperlink w:anchor="_Toc237015180" w:history="1">
            <w:r w:rsidRPr="00F91809">
              <w:rPr>
                <w:rStyle w:val="Hyperlink"/>
                <w:noProof/>
              </w:rPr>
              <w:t>Decision curve analysis</w:t>
            </w:r>
            <w:r>
              <w:rPr>
                <w:noProof/>
                <w:webHidden/>
              </w:rPr>
              <w:tab/>
            </w:r>
            <w:r>
              <w:rPr>
                <w:noProof/>
                <w:webHidden/>
              </w:rPr>
              <w:fldChar w:fldCharType="begin"/>
            </w:r>
            <w:r>
              <w:rPr>
                <w:noProof/>
                <w:webHidden/>
              </w:rPr>
              <w:instrText xml:space="preserve"> PAGEREF _Toc237015180 \h </w:instrText>
            </w:r>
            <w:r>
              <w:rPr>
                <w:noProof/>
                <w:webHidden/>
              </w:rPr>
            </w:r>
            <w:r>
              <w:rPr>
                <w:noProof/>
                <w:webHidden/>
              </w:rPr>
              <w:fldChar w:fldCharType="separate"/>
            </w:r>
            <w:r>
              <w:rPr>
                <w:noProof/>
                <w:webHidden/>
              </w:rPr>
              <w:t>41</w:t>
            </w:r>
            <w:r>
              <w:rPr>
                <w:noProof/>
                <w:webHidden/>
              </w:rPr>
              <w:fldChar w:fldCharType="end"/>
            </w:r>
          </w:hyperlink>
        </w:p>
        <w:p w14:paraId="7136A405" w14:textId="2E551379" w:rsidR="00AC2EF6" w:rsidRDefault="00AC2EF6">
          <w:pPr>
            <w:pStyle w:val="TOC1"/>
            <w:tabs>
              <w:tab w:val="right" w:leader="dot" w:pos="9016"/>
            </w:tabs>
            <w:rPr>
              <w:rFonts w:asciiTheme="minorHAnsi" w:eastAsiaTheme="minorEastAsia" w:hAnsiTheme="minorHAnsi" w:cstheme="minorBidi"/>
              <w:noProof/>
              <w:kern w:val="2"/>
              <w:lang w:eastAsia="en-US"/>
              <w14:ligatures w14:val="standardContextual"/>
            </w:rPr>
          </w:pPr>
          <w:hyperlink w:anchor="_Toc237015181" w:history="1">
            <w:r w:rsidRPr="00F91809">
              <w:rPr>
                <w:rStyle w:val="Hyperlink"/>
                <w:noProof/>
              </w:rPr>
              <w:t>Comparison with aortic calcification</w:t>
            </w:r>
            <w:r>
              <w:rPr>
                <w:noProof/>
                <w:webHidden/>
              </w:rPr>
              <w:tab/>
            </w:r>
            <w:r>
              <w:rPr>
                <w:noProof/>
                <w:webHidden/>
              </w:rPr>
              <w:fldChar w:fldCharType="begin"/>
            </w:r>
            <w:r>
              <w:rPr>
                <w:noProof/>
                <w:webHidden/>
              </w:rPr>
              <w:instrText xml:space="preserve"> PAGEREF _Toc237015181 \h </w:instrText>
            </w:r>
            <w:r>
              <w:rPr>
                <w:noProof/>
                <w:webHidden/>
              </w:rPr>
            </w:r>
            <w:r>
              <w:rPr>
                <w:noProof/>
                <w:webHidden/>
              </w:rPr>
              <w:fldChar w:fldCharType="separate"/>
            </w:r>
            <w:r>
              <w:rPr>
                <w:noProof/>
                <w:webHidden/>
              </w:rPr>
              <w:t>46</w:t>
            </w:r>
            <w:r>
              <w:rPr>
                <w:noProof/>
                <w:webHidden/>
              </w:rPr>
              <w:fldChar w:fldCharType="end"/>
            </w:r>
          </w:hyperlink>
        </w:p>
        <w:p w14:paraId="583F501F" w14:textId="67CCE875" w:rsidR="00AC2EF6" w:rsidRDefault="00AC2EF6">
          <w:pPr>
            <w:pStyle w:val="TOC1"/>
            <w:tabs>
              <w:tab w:val="right" w:leader="dot" w:pos="9016"/>
            </w:tabs>
            <w:rPr>
              <w:rFonts w:asciiTheme="minorHAnsi" w:eastAsiaTheme="minorEastAsia" w:hAnsiTheme="minorHAnsi" w:cstheme="minorBidi"/>
              <w:noProof/>
              <w:kern w:val="2"/>
              <w:lang w:eastAsia="en-US"/>
              <w14:ligatures w14:val="standardContextual"/>
            </w:rPr>
          </w:pPr>
          <w:hyperlink w:anchor="_Toc237015182" w:history="1">
            <w:r w:rsidRPr="00F91809">
              <w:rPr>
                <w:rStyle w:val="Hyperlink"/>
                <w:noProof/>
              </w:rPr>
              <w:t>References</w:t>
            </w:r>
            <w:r>
              <w:rPr>
                <w:noProof/>
                <w:webHidden/>
              </w:rPr>
              <w:tab/>
            </w:r>
            <w:r>
              <w:rPr>
                <w:noProof/>
                <w:webHidden/>
              </w:rPr>
              <w:fldChar w:fldCharType="begin"/>
            </w:r>
            <w:r>
              <w:rPr>
                <w:noProof/>
                <w:webHidden/>
              </w:rPr>
              <w:instrText xml:space="preserve"> PAGEREF _Toc237015182 \h </w:instrText>
            </w:r>
            <w:r>
              <w:rPr>
                <w:noProof/>
                <w:webHidden/>
              </w:rPr>
            </w:r>
            <w:r>
              <w:rPr>
                <w:noProof/>
                <w:webHidden/>
              </w:rPr>
              <w:fldChar w:fldCharType="separate"/>
            </w:r>
            <w:r>
              <w:rPr>
                <w:noProof/>
                <w:webHidden/>
              </w:rPr>
              <w:t>49</w:t>
            </w:r>
            <w:r>
              <w:rPr>
                <w:noProof/>
                <w:webHidden/>
              </w:rPr>
              <w:fldChar w:fldCharType="end"/>
            </w:r>
          </w:hyperlink>
        </w:p>
        <w:p w14:paraId="2CE02D12" w14:textId="0FF19C4B" w:rsidR="003067D6" w:rsidRDefault="003067D6">
          <w:r>
            <w:rPr>
              <w:b/>
              <w:bCs/>
              <w:noProof/>
            </w:rPr>
            <w:fldChar w:fldCharType="end"/>
          </w:r>
        </w:p>
      </w:sdtContent>
    </w:sdt>
    <w:p w14:paraId="2F2DE694" w14:textId="77777777" w:rsidR="00FA65B1" w:rsidRDefault="00FA65B1">
      <w:pPr>
        <w:spacing w:after="160" w:line="279" w:lineRule="auto"/>
      </w:pPr>
      <w:r>
        <w:br w:type="page"/>
      </w:r>
    </w:p>
    <w:p w14:paraId="0EF389D8" w14:textId="77777777" w:rsidR="00FA65B1" w:rsidRPr="00EE53EC" w:rsidRDefault="00FA65B1" w:rsidP="00EE53EC">
      <w:pPr>
        <w:pStyle w:val="TableofFigures"/>
        <w:tabs>
          <w:tab w:val="right" w:leader="dot" w:pos="9016"/>
        </w:tabs>
        <w:rPr>
          <w:color w:val="156082" w:themeColor="accent1"/>
          <w:sz w:val="32"/>
          <w:szCs w:val="32"/>
        </w:rPr>
      </w:pPr>
      <w:r w:rsidRPr="00FA65B1">
        <w:rPr>
          <w:color w:val="156082" w:themeColor="accent1"/>
          <w:sz w:val="32"/>
          <w:szCs w:val="32"/>
        </w:rPr>
        <w:lastRenderedPageBreak/>
        <w:t>List of Tables</w:t>
      </w:r>
    </w:p>
    <w:p w14:paraId="3FE6678C" w14:textId="5FC016C2" w:rsidR="00AC2EF6" w:rsidRDefault="00A902BC">
      <w:pPr>
        <w:pStyle w:val="TableofFigures"/>
        <w:tabs>
          <w:tab w:val="right" w:leader="dot" w:pos="9016"/>
        </w:tabs>
        <w:rPr>
          <w:rFonts w:asciiTheme="minorHAnsi" w:eastAsiaTheme="minorEastAsia" w:hAnsiTheme="minorHAnsi" w:cstheme="minorBidi"/>
          <w:noProof/>
          <w:kern w:val="2"/>
          <w:lang w:eastAsia="en-US"/>
          <w14:ligatures w14:val="standardContextual"/>
        </w:rPr>
      </w:pPr>
      <w:r>
        <w:fldChar w:fldCharType="begin"/>
      </w:r>
      <w:r>
        <w:instrText xml:space="preserve"> TOC \h \z \c "Supplementary Table" </w:instrText>
      </w:r>
      <w:r>
        <w:fldChar w:fldCharType="separate"/>
      </w:r>
      <w:hyperlink w:anchor="_Toc237015183" w:history="1">
        <w:r w:rsidR="00AC2EF6" w:rsidRPr="00D12BFC">
          <w:rPr>
            <w:rStyle w:val="Hyperlink"/>
            <w:noProof/>
          </w:rPr>
          <w:t>Supplementary Table 1. Cumulative incidence of lung cancer diagnoses and non-lung cancer deaths.</w:t>
        </w:r>
        <w:r w:rsidR="00AC2EF6">
          <w:rPr>
            <w:noProof/>
            <w:webHidden/>
          </w:rPr>
          <w:tab/>
        </w:r>
        <w:r w:rsidR="00AC2EF6">
          <w:rPr>
            <w:noProof/>
            <w:webHidden/>
          </w:rPr>
          <w:fldChar w:fldCharType="begin"/>
        </w:r>
        <w:r w:rsidR="00AC2EF6">
          <w:rPr>
            <w:noProof/>
            <w:webHidden/>
          </w:rPr>
          <w:instrText xml:space="preserve"> PAGEREF _Toc237015183 \h </w:instrText>
        </w:r>
        <w:r w:rsidR="00AC2EF6">
          <w:rPr>
            <w:noProof/>
            <w:webHidden/>
          </w:rPr>
        </w:r>
        <w:r w:rsidR="00AC2EF6">
          <w:rPr>
            <w:noProof/>
            <w:webHidden/>
          </w:rPr>
          <w:fldChar w:fldCharType="separate"/>
        </w:r>
        <w:r w:rsidR="00AC2EF6">
          <w:rPr>
            <w:noProof/>
            <w:webHidden/>
          </w:rPr>
          <w:t>8</w:t>
        </w:r>
        <w:r w:rsidR="00AC2EF6">
          <w:rPr>
            <w:noProof/>
            <w:webHidden/>
          </w:rPr>
          <w:fldChar w:fldCharType="end"/>
        </w:r>
      </w:hyperlink>
    </w:p>
    <w:p w14:paraId="051F2ADF" w14:textId="1AAA3441"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184" w:history="1">
        <w:r w:rsidRPr="00D12BFC">
          <w:rPr>
            <w:rStyle w:val="Hyperlink"/>
            <w:noProof/>
          </w:rPr>
          <w:t>Supplementary Table 2. Baseline characteristics of participants with unknown vital status compared with the remainder of the cohort.</w:t>
        </w:r>
        <w:r>
          <w:rPr>
            <w:noProof/>
            <w:webHidden/>
          </w:rPr>
          <w:tab/>
        </w:r>
        <w:r>
          <w:rPr>
            <w:noProof/>
            <w:webHidden/>
          </w:rPr>
          <w:fldChar w:fldCharType="begin"/>
        </w:r>
        <w:r>
          <w:rPr>
            <w:noProof/>
            <w:webHidden/>
          </w:rPr>
          <w:instrText xml:space="preserve"> PAGEREF _Toc237015184 \h </w:instrText>
        </w:r>
        <w:r>
          <w:rPr>
            <w:noProof/>
            <w:webHidden/>
          </w:rPr>
        </w:r>
        <w:r>
          <w:rPr>
            <w:noProof/>
            <w:webHidden/>
          </w:rPr>
          <w:fldChar w:fldCharType="separate"/>
        </w:r>
        <w:r>
          <w:rPr>
            <w:noProof/>
            <w:webHidden/>
          </w:rPr>
          <w:t>9</w:t>
        </w:r>
        <w:r>
          <w:rPr>
            <w:noProof/>
            <w:webHidden/>
          </w:rPr>
          <w:fldChar w:fldCharType="end"/>
        </w:r>
      </w:hyperlink>
    </w:p>
    <w:p w14:paraId="17BC6BA8" w14:textId="2E9BFBA5"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185" w:history="1">
        <w:r w:rsidRPr="00D12BFC">
          <w:rPr>
            <w:rStyle w:val="Hyperlink"/>
            <w:noProof/>
          </w:rPr>
          <w:t>Supplementary Table 3. Disease course mapping model residual noise parameters across internal-external cross-validation clusters.</w:t>
        </w:r>
        <w:r>
          <w:rPr>
            <w:noProof/>
            <w:webHidden/>
          </w:rPr>
          <w:tab/>
        </w:r>
        <w:r>
          <w:rPr>
            <w:noProof/>
            <w:webHidden/>
          </w:rPr>
          <w:fldChar w:fldCharType="begin"/>
        </w:r>
        <w:r>
          <w:rPr>
            <w:noProof/>
            <w:webHidden/>
          </w:rPr>
          <w:instrText xml:space="preserve"> PAGEREF _Toc237015185 \h </w:instrText>
        </w:r>
        <w:r>
          <w:rPr>
            <w:noProof/>
            <w:webHidden/>
          </w:rPr>
        </w:r>
        <w:r>
          <w:rPr>
            <w:noProof/>
            <w:webHidden/>
          </w:rPr>
          <w:fldChar w:fldCharType="separate"/>
        </w:r>
        <w:r>
          <w:rPr>
            <w:noProof/>
            <w:webHidden/>
          </w:rPr>
          <w:t>13</w:t>
        </w:r>
        <w:r>
          <w:rPr>
            <w:noProof/>
            <w:webHidden/>
          </w:rPr>
          <w:fldChar w:fldCharType="end"/>
        </w:r>
      </w:hyperlink>
    </w:p>
    <w:p w14:paraId="327AB9D0" w14:textId="0F311DF0"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186" w:history="1">
        <w:r w:rsidRPr="00D12BFC">
          <w:rPr>
            <w:rStyle w:val="Hyperlink"/>
            <w:noProof/>
          </w:rPr>
          <w:t>Supplementary Table 4</w:t>
        </w:r>
        <w:r w:rsidRPr="00D12BFC">
          <w:rPr>
            <w:rStyle w:val="Hyperlink"/>
            <w:b/>
            <w:bCs/>
            <w:noProof/>
          </w:rPr>
          <w:t xml:space="preserve">. </w:t>
        </w:r>
        <w:r w:rsidRPr="00D12BFC">
          <w:rPr>
            <w:rStyle w:val="Hyperlink"/>
            <w:noProof/>
          </w:rPr>
          <w:t>Number of participants in each International Territorial Level and grouping into groups for IECV clusters.</w:t>
        </w:r>
        <w:r>
          <w:rPr>
            <w:noProof/>
            <w:webHidden/>
          </w:rPr>
          <w:tab/>
        </w:r>
        <w:r>
          <w:rPr>
            <w:noProof/>
            <w:webHidden/>
          </w:rPr>
          <w:fldChar w:fldCharType="begin"/>
        </w:r>
        <w:r>
          <w:rPr>
            <w:noProof/>
            <w:webHidden/>
          </w:rPr>
          <w:instrText xml:space="preserve"> PAGEREF _Toc237015186 \h </w:instrText>
        </w:r>
        <w:r>
          <w:rPr>
            <w:noProof/>
            <w:webHidden/>
          </w:rPr>
        </w:r>
        <w:r>
          <w:rPr>
            <w:noProof/>
            <w:webHidden/>
          </w:rPr>
          <w:fldChar w:fldCharType="separate"/>
        </w:r>
        <w:r>
          <w:rPr>
            <w:noProof/>
            <w:webHidden/>
          </w:rPr>
          <w:t>15</w:t>
        </w:r>
        <w:r>
          <w:rPr>
            <w:noProof/>
            <w:webHidden/>
          </w:rPr>
          <w:fldChar w:fldCharType="end"/>
        </w:r>
      </w:hyperlink>
    </w:p>
    <w:p w14:paraId="293739BB" w14:textId="0984415D"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187" w:history="1">
        <w:r w:rsidRPr="00D12BFC">
          <w:rPr>
            <w:rStyle w:val="Hyperlink"/>
            <w:noProof/>
          </w:rPr>
          <w:t>Supplementary Table 5</w:t>
        </w:r>
        <w:r w:rsidRPr="00D12BFC">
          <w:rPr>
            <w:rStyle w:val="Hyperlink"/>
            <w:b/>
            <w:bCs/>
            <w:noProof/>
          </w:rPr>
          <w:t xml:space="preserve">. </w:t>
        </w:r>
        <w:r w:rsidRPr="00D12BFC">
          <w:rPr>
            <w:rStyle w:val="Hyperlink"/>
            <w:noProof/>
          </w:rPr>
          <w:t>Minimum required sample size for the combined clinical and age gap model, by competing-risk endpoint.</w:t>
        </w:r>
        <w:r>
          <w:rPr>
            <w:noProof/>
            <w:webHidden/>
          </w:rPr>
          <w:tab/>
        </w:r>
        <w:r>
          <w:rPr>
            <w:noProof/>
            <w:webHidden/>
          </w:rPr>
          <w:fldChar w:fldCharType="begin"/>
        </w:r>
        <w:r>
          <w:rPr>
            <w:noProof/>
            <w:webHidden/>
          </w:rPr>
          <w:instrText xml:space="preserve"> PAGEREF _Toc237015187 \h </w:instrText>
        </w:r>
        <w:r>
          <w:rPr>
            <w:noProof/>
            <w:webHidden/>
          </w:rPr>
        </w:r>
        <w:r>
          <w:rPr>
            <w:noProof/>
            <w:webHidden/>
          </w:rPr>
          <w:fldChar w:fldCharType="separate"/>
        </w:r>
        <w:r>
          <w:rPr>
            <w:noProof/>
            <w:webHidden/>
          </w:rPr>
          <w:t>17</w:t>
        </w:r>
        <w:r>
          <w:rPr>
            <w:noProof/>
            <w:webHidden/>
          </w:rPr>
          <w:fldChar w:fldCharType="end"/>
        </w:r>
      </w:hyperlink>
    </w:p>
    <w:p w14:paraId="46AE7441" w14:textId="02B068B1"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188" w:history="1">
        <w:r w:rsidRPr="00D12BFC">
          <w:rPr>
            <w:rStyle w:val="Hyperlink"/>
            <w:noProof/>
          </w:rPr>
          <w:t>Supplementary Table 6</w:t>
        </w:r>
        <w:r w:rsidRPr="00D12BFC">
          <w:rPr>
            <w:rStyle w:val="Hyperlink"/>
            <w:b/>
            <w:bCs/>
            <w:noProof/>
          </w:rPr>
          <w:t xml:space="preserve">. </w:t>
        </w:r>
        <w:r w:rsidRPr="00D12BFC">
          <w:rPr>
            <w:rStyle w:val="Hyperlink"/>
            <w:noProof/>
          </w:rPr>
          <w:t>Multivariable linear regression of age offset and clinical characteristics.</w:t>
        </w:r>
        <w:r>
          <w:rPr>
            <w:noProof/>
            <w:webHidden/>
          </w:rPr>
          <w:tab/>
        </w:r>
        <w:r>
          <w:rPr>
            <w:noProof/>
            <w:webHidden/>
          </w:rPr>
          <w:fldChar w:fldCharType="begin"/>
        </w:r>
        <w:r>
          <w:rPr>
            <w:noProof/>
            <w:webHidden/>
          </w:rPr>
          <w:instrText xml:space="preserve"> PAGEREF _Toc237015188 \h </w:instrText>
        </w:r>
        <w:r>
          <w:rPr>
            <w:noProof/>
            <w:webHidden/>
          </w:rPr>
        </w:r>
        <w:r>
          <w:rPr>
            <w:noProof/>
            <w:webHidden/>
          </w:rPr>
          <w:fldChar w:fldCharType="separate"/>
        </w:r>
        <w:r>
          <w:rPr>
            <w:noProof/>
            <w:webHidden/>
          </w:rPr>
          <w:t>20</w:t>
        </w:r>
        <w:r>
          <w:rPr>
            <w:noProof/>
            <w:webHidden/>
          </w:rPr>
          <w:fldChar w:fldCharType="end"/>
        </w:r>
      </w:hyperlink>
    </w:p>
    <w:p w14:paraId="2DAEB9BB" w14:textId="3961210A"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189" w:history="1">
        <w:r w:rsidRPr="00D12BFC">
          <w:rPr>
            <w:rStyle w:val="Hyperlink"/>
            <w:noProof/>
          </w:rPr>
          <w:t>Supplementary Table 7</w:t>
        </w:r>
        <w:r w:rsidRPr="00D12BFC">
          <w:rPr>
            <w:rStyle w:val="Hyperlink"/>
            <w:b/>
            <w:bCs/>
            <w:noProof/>
          </w:rPr>
          <w:t xml:space="preserve">. </w:t>
        </w:r>
        <w:r w:rsidRPr="00D12BFC">
          <w:rPr>
            <w:rStyle w:val="Hyperlink"/>
            <w:noProof/>
          </w:rPr>
          <w:t>Calibration slope and intercept for LC diagnosis in IECV clusters and pooled estimate in random effects meta-analysis, 5-year time horizon.</w:t>
        </w:r>
        <w:r>
          <w:rPr>
            <w:noProof/>
            <w:webHidden/>
          </w:rPr>
          <w:tab/>
        </w:r>
        <w:r>
          <w:rPr>
            <w:noProof/>
            <w:webHidden/>
          </w:rPr>
          <w:fldChar w:fldCharType="begin"/>
        </w:r>
        <w:r>
          <w:rPr>
            <w:noProof/>
            <w:webHidden/>
          </w:rPr>
          <w:instrText xml:space="preserve"> PAGEREF _Toc237015189 \h </w:instrText>
        </w:r>
        <w:r>
          <w:rPr>
            <w:noProof/>
            <w:webHidden/>
          </w:rPr>
        </w:r>
        <w:r>
          <w:rPr>
            <w:noProof/>
            <w:webHidden/>
          </w:rPr>
          <w:fldChar w:fldCharType="separate"/>
        </w:r>
        <w:r>
          <w:rPr>
            <w:noProof/>
            <w:webHidden/>
          </w:rPr>
          <w:t>21</w:t>
        </w:r>
        <w:r>
          <w:rPr>
            <w:noProof/>
            <w:webHidden/>
          </w:rPr>
          <w:fldChar w:fldCharType="end"/>
        </w:r>
      </w:hyperlink>
    </w:p>
    <w:p w14:paraId="231805CA" w14:textId="737B827F"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190" w:history="1">
        <w:r w:rsidRPr="00D12BFC">
          <w:rPr>
            <w:rStyle w:val="Hyperlink"/>
            <w:noProof/>
          </w:rPr>
          <w:t>Supplementary Table 8. Calibration slope and intercept for non-LC-related death in IECV clusters and pooled estimate in random effects meta-analysis, 5-year time horizon.</w:t>
        </w:r>
        <w:r>
          <w:rPr>
            <w:noProof/>
            <w:webHidden/>
          </w:rPr>
          <w:tab/>
        </w:r>
        <w:r>
          <w:rPr>
            <w:noProof/>
            <w:webHidden/>
          </w:rPr>
          <w:fldChar w:fldCharType="begin"/>
        </w:r>
        <w:r>
          <w:rPr>
            <w:noProof/>
            <w:webHidden/>
          </w:rPr>
          <w:instrText xml:space="preserve"> PAGEREF _Toc237015190 \h </w:instrText>
        </w:r>
        <w:r>
          <w:rPr>
            <w:noProof/>
            <w:webHidden/>
          </w:rPr>
        </w:r>
        <w:r>
          <w:rPr>
            <w:noProof/>
            <w:webHidden/>
          </w:rPr>
          <w:fldChar w:fldCharType="separate"/>
        </w:r>
        <w:r>
          <w:rPr>
            <w:noProof/>
            <w:webHidden/>
          </w:rPr>
          <w:t>22</w:t>
        </w:r>
        <w:r>
          <w:rPr>
            <w:noProof/>
            <w:webHidden/>
          </w:rPr>
          <w:fldChar w:fldCharType="end"/>
        </w:r>
      </w:hyperlink>
    </w:p>
    <w:p w14:paraId="6BA2DB77" w14:textId="0C8A1BD7"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191" w:history="1">
        <w:r w:rsidRPr="00D12BFC">
          <w:rPr>
            <w:rStyle w:val="Hyperlink"/>
            <w:noProof/>
          </w:rPr>
          <w:t>Supplementary Table 9. Calibration slope and intercept for LC diagnosis in IECV clusters and pooled estimate in random effects meta-analysis, 2-year time horizon.</w:t>
        </w:r>
        <w:r>
          <w:rPr>
            <w:noProof/>
            <w:webHidden/>
          </w:rPr>
          <w:tab/>
        </w:r>
        <w:r>
          <w:rPr>
            <w:noProof/>
            <w:webHidden/>
          </w:rPr>
          <w:fldChar w:fldCharType="begin"/>
        </w:r>
        <w:r>
          <w:rPr>
            <w:noProof/>
            <w:webHidden/>
          </w:rPr>
          <w:instrText xml:space="preserve"> PAGEREF _Toc237015191 \h </w:instrText>
        </w:r>
        <w:r>
          <w:rPr>
            <w:noProof/>
            <w:webHidden/>
          </w:rPr>
        </w:r>
        <w:r>
          <w:rPr>
            <w:noProof/>
            <w:webHidden/>
          </w:rPr>
          <w:fldChar w:fldCharType="separate"/>
        </w:r>
        <w:r>
          <w:rPr>
            <w:noProof/>
            <w:webHidden/>
          </w:rPr>
          <w:t>22</w:t>
        </w:r>
        <w:r>
          <w:rPr>
            <w:noProof/>
            <w:webHidden/>
          </w:rPr>
          <w:fldChar w:fldCharType="end"/>
        </w:r>
      </w:hyperlink>
    </w:p>
    <w:p w14:paraId="61CA5033" w14:textId="1A2D46DD"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192" w:history="1">
        <w:r w:rsidRPr="00D12BFC">
          <w:rPr>
            <w:rStyle w:val="Hyperlink"/>
            <w:noProof/>
          </w:rPr>
          <w:t>Supplementary Table 10. Calibration slope and intercept for non-LC-related death in IECV clusters and pooled estimate in random effects meta-analysis, 2-year time horizon.</w:t>
        </w:r>
        <w:r>
          <w:rPr>
            <w:noProof/>
            <w:webHidden/>
          </w:rPr>
          <w:tab/>
        </w:r>
        <w:r>
          <w:rPr>
            <w:noProof/>
            <w:webHidden/>
          </w:rPr>
          <w:fldChar w:fldCharType="begin"/>
        </w:r>
        <w:r>
          <w:rPr>
            <w:noProof/>
            <w:webHidden/>
          </w:rPr>
          <w:instrText xml:space="preserve"> PAGEREF _Toc237015192 \h </w:instrText>
        </w:r>
        <w:r>
          <w:rPr>
            <w:noProof/>
            <w:webHidden/>
          </w:rPr>
        </w:r>
        <w:r>
          <w:rPr>
            <w:noProof/>
            <w:webHidden/>
          </w:rPr>
          <w:fldChar w:fldCharType="separate"/>
        </w:r>
        <w:r>
          <w:rPr>
            <w:noProof/>
            <w:webHidden/>
          </w:rPr>
          <w:t>23</w:t>
        </w:r>
        <w:r>
          <w:rPr>
            <w:noProof/>
            <w:webHidden/>
          </w:rPr>
          <w:fldChar w:fldCharType="end"/>
        </w:r>
      </w:hyperlink>
    </w:p>
    <w:p w14:paraId="2973AAFE" w14:textId="7B935312"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193" w:history="1">
        <w:r w:rsidRPr="00D12BFC">
          <w:rPr>
            <w:rStyle w:val="Hyperlink"/>
            <w:noProof/>
          </w:rPr>
          <w:t>Supplementary Table 11. Complete case sensitivity analysis, calibration slope and intercept for LC diagnosis in IECV clusters and pooled estimate in random effects meta-analysis, 5-year time horizon.</w:t>
        </w:r>
        <w:r>
          <w:rPr>
            <w:noProof/>
            <w:webHidden/>
          </w:rPr>
          <w:tab/>
        </w:r>
        <w:r>
          <w:rPr>
            <w:noProof/>
            <w:webHidden/>
          </w:rPr>
          <w:fldChar w:fldCharType="begin"/>
        </w:r>
        <w:r>
          <w:rPr>
            <w:noProof/>
            <w:webHidden/>
          </w:rPr>
          <w:instrText xml:space="preserve"> PAGEREF _Toc237015193 \h </w:instrText>
        </w:r>
        <w:r>
          <w:rPr>
            <w:noProof/>
            <w:webHidden/>
          </w:rPr>
        </w:r>
        <w:r>
          <w:rPr>
            <w:noProof/>
            <w:webHidden/>
          </w:rPr>
          <w:fldChar w:fldCharType="separate"/>
        </w:r>
        <w:r>
          <w:rPr>
            <w:noProof/>
            <w:webHidden/>
          </w:rPr>
          <w:t>23</w:t>
        </w:r>
        <w:r>
          <w:rPr>
            <w:noProof/>
            <w:webHidden/>
          </w:rPr>
          <w:fldChar w:fldCharType="end"/>
        </w:r>
      </w:hyperlink>
    </w:p>
    <w:p w14:paraId="55738C6B" w14:textId="79FA59D6"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194" w:history="1">
        <w:r w:rsidRPr="00D12BFC">
          <w:rPr>
            <w:rStyle w:val="Hyperlink"/>
            <w:noProof/>
          </w:rPr>
          <w:t>Supplementary Table 12. Complete case sensitivity analysis, calibration slope and intercept for non-LC-related death in IECV clusters and pooled estimate in random effects meta-analysis, 5-year time horizon.</w:t>
        </w:r>
        <w:r>
          <w:rPr>
            <w:noProof/>
            <w:webHidden/>
          </w:rPr>
          <w:tab/>
        </w:r>
        <w:r>
          <w:rPr>
            <w:noProof/>
            <w:webHidden/>
          </w:rPr>
          <w:fldChar w:fldCharType="begin"/>
        </w:r>
        <w:r>
          <w:rPr>
            <w:noProof/>
            <w:webHidden/>
          </w:rPr>
          <w:instrText xml:space="preserve"> PAGEREF _Toc237015194 \h </w:instrText>
        </w:r>
        <w:r>
          <w:rPr>
            <w:noProof/>
            <w:webHidden/>
          </w:rPr>
        </w:r>
        <w:r>
          <w:rPr>
            <w:noProof/>
            <w:webHidden/>
          </w:rPr>
          <w:fldChar w:fldCharType="separate"/>
        </w:r>
        <w:r>
          <w:rPr>
            <w:noProof/>
            <w:webHidden/>
          </w:rPr>
          <w:t>24</w:t>
        </w:r>
        <w:r>
          <w:rPr>
            <w:noProof/>
            <w:webHidden/>
          </w:rPr>
          <w:fldChar w:fldCharType="end"/>
        </w:r>
      </w:hyperlink>
    </w:p>
    <w:p w14:paraId="4CDEBCE9" w14:textId="2B07C77D"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195" w:history="1">
        <w:r w:rsidRPr="00D12BFC">
          <w:rPr>
            <w:rStyle w:val="Hyperlink"/>
            <w:noProof/>
          </w:rPr>
          <w:t>Supplementary Table 13</w:t>
        </w:r>
        <w:r w:rsidRPr="00D12BFC">
          <w:rPr>
            <w:rStyle w:val="Hyperlink"/>
            <w:b/>
            <w:bCs/>
            <w:noProof/>
          </w:rPr>
          <w:t xml:space="preserve">. </w:t>
        </w:r>
        <w:r w:rsidRPr="00D12BFC">
          <w:rPr>
            <w:rStyle w:val="Hyperlink"/>
            <w:noProof/>
          </w:rPr>
          <w:t xml:space="preserve">Calibration slope and intercept for non-LC-related death, comparing established risk tools (PLCO-ci, LYFS-CT) with the Base and Base + Age </w:t>
        </w:r>
        <w:r w:rsidRPr="00D12BFC">
          <w:rPr>
            <w:rStyle w:val="Hyperlink"/>
            <w:noProof/>
          </w:rPr>
          <w:lastRenderedPageBreak/>
          <w:t>gap models, in IECV clusters and pooled estimate in random effects meta-analysis, 5-year time horizon.</w:t>
        </w:r>
        <w:r>
          <w:rPr>
            <w:noProof/>
            <w:webHidden/>
          </w:rPr>
          <w:tab/>
        </w:r>
        <w:r>
          <w:rPr>
            <w:noProof/>
            <w:webHidden/>
          </w:rPr>
          <w:fldChar w:fldCharType="begin"/>
        </w:r>
        <w:r>
          <w:rPr>
            <w:noProof/>
            <w:webHidden/>
          </w:rPr>
          <w:instrText xml:space="preserve"> PAGEREF _Toc237015195 \h </w:instrText>
        </w:r>
        <w:r>
          <w:rPr>
            <w:noProof/>
            <w:webHidden/>
          </w:rPr>
        </w:r>
        <w:r>
          <w:rPr>
            <w:noProof/>
            <w:webHidden/>
          </w:rPr>
          <w:fldChar w:fldCharType="separate"/>
        </w:r>
        <w:r>
          <w:rPr>
            <w:noProof/>
            <w:webHidden/>
          </w:rPr>
          <w:t>35</w:t>
        </w:r>
        <w:r>
          <w:rPr>
            <w:noProof/>
            <w:webHidden/>
          </w:rPr>
          <w:fldChar w:fldCharType="end"/>
        </w:r>
      </w:hyperlink>
    </w:p>
    <w:p w14:paraId="180220E5" w14:textId="22A30C3B"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196" w:history="1">
        <w:r w:rsidRPr="00D12BFC">
          <w:rPr>
            <w:rStyle w:val="Hyperlink"/>
            <w:noProof/>
          </w:rPr>
          <w:t>Supplementary Table 14</w:t>
        </w:r>
        <w:r w:rsidRPr="00D12BFC">
          <w:rPr>
            <w:rStyle w:val="Hyperlink"/>
            <w:b/>
            <w:bCs/>
            <w:noProof/>
          </w:rPr>
          <w:t xml:space="preserve">. </w:t>
        </w:r>
        <w:r w:rsidRPr="00D12BFC">
          <w:rPr>
            <w:rStyle w:val="Hyperlink"/>
            <w:noProof/>
          </w:rPr>
          <w:t>Calibration slope and intercept for non-LC-related death, comparing established risk tools (PLCO-ci, LYFS-CT) with the Base and Base + Age gap models, in IECV clusters and pooled estimate in random effects meta-analysis, 2-year time horizon.</w:t>
        </w:r>
        <w:r>
          <w:rPr>
            <w:noProof/>
            <w:webHidden/>
          </w:rPr>
          <w:tab/>
        </w:r>
        <w:r>
          <w:rPr>
            <w:noProof/>
            <w:webHidden/>
          </w:rPr>
          <w:fldChar w:fldCharType="begin"/>
        </w:r>
        <w:r>
          <w:rPr>
            <w:noProof/>
            <w:webHidden/>
          </w:rPr>
          <w:instrText xml:space="preserve"> PAGEREF _Toc237015196 \h </w:instrText>
        </w:r>
        <w:r>
          <w:rPr>
            <w:noProof/>
            <w:webHidden/>
          </w:rPr>
        </w:r>
        <w:r>
          <w:rPr>
            <w:noProof/>
            <w:webHidden/>
          </w:rPr>
          <w:fldChar w:fldCharType="separate"/>
        </w:r>
        <w:r>
          <w:rPr>
            <w:noProof/>
            <w:webHidden/>
          </w:rPr>
          <w:t>36</w:t>
        </w:r>
        <w:r>
          <w:rPr>
            <w:noProof/>
            <w:webHidden/>
          </w:rPr>
          <w:fldChar w:fldCharType="end"/>
        </w:r>
      </w:hyperlink>
    </w:p>
    <w:p w14:paraId="24B4BA66" w14:textId="2C2E157F"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197" w:history="1">
        <w:r w:rsidRPr="00D12BFC">
          <w:rPr>
            <w:rStyle w:val="Hyperlink"/>
            <w:noProof/>
          </w:rPr>
          <w:t>Supplementary Table 15. Discrimination and calibration of the combined clinical and age gap model for non-lung cancer death at 5 years, by IMD quintile.</w:t>
        </w:r>
        <w:r>
          <w:rPr>
            <w:noProof/>
            <w:webHidden/>
          </w:rPr>
          <w:tab/>
        </w:r>
        <w:r>
          <w:rPr>
            <w:noProof/>
            <w:webHidden/>
          </w:rPr>
          <w:fldChar w:fldCharType="begin"/>
        </w:r>
        <w:r>
          <w:rPr>
            <w:noProof/>
            <w:webHidden/>
          </w:rPr>
          <w:instrText xml:space="preserve"> PAGEREF _Toc237015197 \h </w:instrText>
        </w:r>
        <w:r>
          <w:rPr>
            <w:noProof/>
            <w:webHidden/>
          </w:rPr>
        </w:r>
        <w:r>
          <w:rPr>
            <w:noProof/>
            <w:webHidden/>
          </w:rPr>
          <w:fldChar w:fldCharType="separate"/>
        </w:r>
        <w:r>
          <w:rPr>
            <w:noProof/>
            <w:webHidden/>
          </w:rPr>
          <w:t>39</w:t>
        </w:r>
        <w:r>
          <w:rPr>
            <w:noProof/>
            <w:webHidden/>
          </w:rPr>
          <w:fldChar w:fldCharType="end"/>
        </w:r>
      </w:hyperlink>
    </w:p>
    <w:p w14:paraId="445FA04A" w14:textId="101936CD"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198" w:history="1">
        <w:r w:rsidRPr="00D12BFC">
          <w:rPr>
            <w:rStyle w:val="Hyperlink"/>
            <w:noProof/>
          </w:rPr>
          <w:t>Supplementary Table 16. Discrimination and calibration of the combined clinical and age gap model for non-lung cancer death at 5 years, by ethnicity (White vs. non-white).</w:t>
        </w:r>
        <w:r>
          <w:rPr>
            <w:noProof/>
            <w:webHidden/>
          </w:rPr>
          <w:tab/>
        </w:r>
        <w:r>
          <w:rPr>
            <w:noProof/>
            <w:webHidden/>
          </w:rPr>
          <w:fldChar w:fldCharType="begin"/>
        </w:r>
        <w:r>
          <w:rPr>
            <w:noProof/>
            <w:webHidden/>
          </w:rPr>
          <w:instrText xml:space="preserve"> PAGEREF _Toc237015198 \h </w:instrText>
        </w:r>
        <w:r>
          <w:rPr>
            <w:noProof/>
            <w:webHidden/>
          </w:rPr>
        </w:r>
        <w:r>
          <w:rPr>
            <w:noProof/>
            <w:webHidden/>
          </w:rPr>
          <w:fldChar w:fldCharType="separate"/>
        </w:r>
        <w:r>
          <w:rPr>
            <w:noProof/>
            <w:webHidden/>
          </w:rPr>
          <w:t>40</w:t>
        </w:r>
        <w:r>
          <w:rPr>
            <w:noProof/>
            <w:webHidden/>
          </w:rPr>
          <w:fldChar w:fldCharType="end"/>
        </w:r>
      </w:hyperlink>
    </w:p>
    <w:p w14:paraId="23950A6E" w14:textId="75ADCA84"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199" w:history="1">
        <w:r w:rsidRPr="00D12BFC">
          <w:rPr>
            <w:rStyle w:val="Hyperlink"/>
            <w:noProof/>
          </w:rPr>
          <w:t>Supplementary Table 17. Discrimination (C-index) for non-lung cancer death for the Base, Base + Aortic calcification, and Base + Age gap models, pooled estimate in random effects meta-analysis, 5- and 2-year time horizons.</w:t>
        </w:r>
        <w:r>
          <w:rPr>
            <w:noProof/>
            <w:webHidden/>
          </w:rPr>
          <w:tab/>
        </w:r>
        <w:r>
          <w:rPr>
            <w:noProof/>
            <w:webHidden/>
          </w:rPr>
          <w:fldChar w:fldCharType="begin"/>
        </w:r>
        <w:r>
          <w:rPr>
            <w:noProof/>
            <w:webHidden/>
          </w:rPr>
          <w:instrText xml:space="preserve"> PAGEREF _Toc237015199 \h </w:instrText>
        </w:r>
        <w:r>
          <w:rPr>
            <w:noProof/>
            <w:webHidden/>
          </w:rPr>
        </w:r>
        <w:r>
          <w:rPr>
            <w:noProof/>
            <w:webHidden/>
          </w:rPr>
          <w:fldChar w:fldCharType="separate"/>
        </w:r>
        <w:r>
          <w:rPr>
            <w:noProof/>
            <w:webHidden/>
          </w:rPr>
          <w:t>46</w:t>
        </w:r>
        <w:r>
          <w:rPr>
            <w:noProof/>
            <w:webHidden/>
          </w:rPr>
          <w:fldChar w:fldCharType="end"/>
        </w:r>
      </w:hyperlink>
    </w:p>
    <w:p w14:paraId="12FBF791" w14:textId="27BDE5BE" w:rsidR="003067D6" w:rsidRDefault="00A902BC" w:rsidP="003067D6">
      <w:r>
        <w:fldChar w:fldCharType="end"/>
      </w:r>
    </w:p>
    <w:p w14:paraId="675541F3" w14:textId="77777777" w:rsidR="00FA65B1" w:rsidRDefault="00FA65B1">
      <w:pPr>
        <w:spacing w:after="160" w:line="279" w:lineRule="auto"/>
      </w:pPr>
      <w:r>
        <w:br w:type="page"/>
      </w:r>
    </w:p>
    <w:p w14:paraId="4CD00408" w14:textId="77777777" w:rsidR="00FA65B1" w:rsidRPr="00FA65B1" w:rsidRDefault="00FA65B1" w:rsidP="003067D6">
      <w:pPr>
        <w:rPr>
          <w:color w:val="156082" w:themeColor="accent1"/>
          <w:sz w:val="32"/>
          <w:szCs w:val="32"/>
        </w:rPr>
      </w:pPr>
      <w:r w:rsidRPr="00FA65B1">
        <w:rPr>
          <w:color w:val="156082" w:themeColor="accent1"/>
          <w:sz w:val="32"/>
          <w:szCs w:val="32"/>
        </w:rPr>
        <w:lastRenderedPageBreak/>
        <w:t>List of Figures</w:t>
      </w:r>
    </w:p>
    <w:p w14:paraId="40FBD0E7" w14:textId="71B5A500" w:rsidR="00AC2EF6" w:rsidRDefault="0090078E">
      <w:pPr>
        <w:pStyle w:val="TableofFigures"/>
        <w:tabs>
          <w:tab w:val="right" w:leader="dot" w:pos="9016"/>
        </w:tabs>
        <w:rPr>
          <w:rFonts w:asciiTheme="minorHAnsi" w:eastAsiaTheme="minorEastAsia" w:hAnsiTheme="minorHAnsi" w:cstheme="minorBidi"/>
          <w:noProof/>
          <w:kern w:val="2"/>
          <w:lang w:eastAsia="en-US"/>
          <w14:ligatures w14:val="standardContextual"/>
        </w:rPr>
      </w:pPr>
      <w:r>
        <w:fldChar w:fldCharType="begin"/>
      </w:r>
      <w:r>
        <w:instrText xml:space="preserve"> TOC \h \z \c "Supplementary Figure" </w:instrText>
      </w:r>
      <w:r>
        <w:fldChar w:fldCharType="separate"/>
      </w:r>
      <w:hyperlink w:anchor="_Toc237015200" w:history="1">
        <w:r w:rsidR="00AC2EF6" w:rsidRPr="00B04B9B">
          <w:rPr>
            <w:rStyle w:val="Hyperlink"/>
            <w:noProof/>
          </w:rPr>
          <w:t>Supplementary Figure 1</w:t>
        </w:r>
        <w:r w:rsidR="00AC2EF6" w:rsidRPr="00B04B9B">
          <w:rPr>
            <w:rStyle w:val="Hyperlink"/>
            <w:b/>
            <w:bCs/>
            <w:noProof/>
          </w:rPr>
          <w:t xml:space="preserve">. </w:t>
        </w:r>
        <w:r w:rsidR="00AC2EF6" w:rsidRPr="00B04B9B">
          <w:rPr>
            <w:rStyle w:val="Hyperlink"/>
            <w:noProof/>
          </w:rPr>
          <w:t>Associations between clinical characteristics and age gap.</w:t>
        </w:r>
        <w:r w:rsidR="00AC2EF6">
          <w:rPr>
            <w:noProof/>
            <w:webHidden/>
          </w:rPr>
          <w:tab/>
        </w:r>
        <w:r w:rsidR="00AC2EF6">
          <w:rPr>
            <w:noProof/>
            <w:webHidden/>
          </w:rPr>
          <w:fldChar w:fldCharType="begin"/>
        </w:r>
        <w:r w:rsidR="00AC2EF6">
          <w:rPr>
            <w:noProof/>
            <w:webHidden/>
          </w:rPr>
          <w:instrText xml:space="preserve"> PAGEREF _Toc237015200 \h </w:instrText>
        </w:r>
        <w:r w:rsidR="00AC2EF6">
          <w:rPr>
            <w:noProof/>
            <w:webHidden/>
          </w:rPr>
        </w:r>
        <w:r w:rsidR="00AC2EF6">
          <w:rPr>
            <w:noProof/>
            <w:webHidden/>
          </w:rPr>
          <w:fldChar w:fldCharType="separate"/>
        </w:r>
        <w:r w:rsidR="00AC2EF6">
          <w:rPr>
            <w:noProof/>
            <w:webHidden/>
          </w:rPr>
          <w:t>19</w:t>
        </w:r>
        <w:r w:rsidR="00AC2EF6">
          <w:rPr>
            <w:noProof/>
            <w:webHidden/>
          </w:rPr>
          <w:fldChar w:fldCharType="end"/>
        </w:r>
      </w:hyperlink>
    </w:p>
    <w:p w14:paraId="178A0716" w14:textId="590F574A"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201" w:history="1">
        <w:r w:rsidRPr="00B04B9B">
          <w:rPr>
            <w:rStyle w:val="Hyperlink"/>
            <w:noProof/>
          </w:rPr>
          <w:t>Supplementary Figure 2. Forest plot of competing risks model concordance at 5 years by IECV clusters and random effects meta-analyzed estimates.</w:t>
        </w:r>
        <w:r>
          <w:rPr>
            <w:noProof/>
            <w:webHidden/>
          </w:rPr>
          <w:tab/>
        </w:r>
        <w:r>
          <w:rPr>
            <w:noProof/>
            <w:webHidden/>
          </w:rPr>
          <w:fldChar w:fldCharType="begin"/>
        </w:r>
        <w:r>
          <w:rPr>
            <w:noProof/>
            <w:webHidden/>
          </w:rPr>
          <w:instrText xml:space="preserve"> PAGEREF _Toc237015201 \h </w:instrText>
        </w:r>
        <w:r>
          <w:rPr>
            <w:noProof/>
            <w:webHidden/>
          </w:rPr>
        </w:r>
        <w:r>
          <w:rPr>
            <w:noProof/>
            <w:webHidden/>
          </w:rPr>
          <w:fldChar w:fldCharType="separate"/>
        </w:r>
        <w:r>
          <w:rPr>
            <w:noProof/>
            <w:webHidden/>
          </w:rPr>
          <w:t>25</w:t>
        </w:r>
        <w:r>
          <w:rPr>
            <w:noProof/>
            <w:webHidden/>
          </w:rPr>
          <w:fldChar w:fldCharType="end"/>
        </w:r>
      </w:hyperlink>
    </w:p>
    <w:p w14:paraId="253E9050" w14:textId="2D61801C"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202" w:history="1">
        <w:r w:rsidRPr="00B04B9B">
          <w:rPr>
            <w:rStyle w:val="Hyperlink"/>
            <w:noProof/>
          </w:rPr>
          <w:t>Supplementary Figure 3. Forest plot of competing risks model concordance at 2 years by IECV clusters and random effects meta-analyzed estimates.</w:t>
        </w:r>
        <w:r>
          <w:rPr>
            <w:noProof/>
            <w:webHidden/>
          </w:rPr>
          <w:tab/>
        </w:r>
        <w:r>
          <w:rPr>
            <w:noProof/>
            <w:webHidden/>
          </w:rPr>
          <w:fldChar w:fldCharType="begin"/>
        </w:r>
        <w:r>
          <w:rPr>
            <w:noProof/>
            <w:webHidden/>
          </w:rPr>
          <w:instrText xml:space="preserve"> PAGEREF _Toc237015202 \h </w:instrText>
        </w:r>
        <w:r>
          <w:rPr>
            <w:noProof/>
            <w:webHidden/>
          </w:rPr>
        </w:r>
        <w:r>
          <w:rPr>
            <w:noProof/>
            <w:webHidden/>
          </w:rPr>
          <w:fldChar w:fldCharType="separate"/>
        </w:r>
        <w:r>
          <w:rPr>
            <w:noProof/>
            <w:webHidden/>
          </w:rPr>
          <w:t>26</w:t>
        </w:r>
        <w:r>
          <w:rPr>
            <w:noProof/>
            <w:webHidden/>
          </w:rPr>
          <w:fldChar w:fldCharType="end"/>
        </w:r>
      </w:hyperlink>
    </w:p>
    <w:p w14:paraId="6C33252D" w14:textId="1100AFB6"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203" w:history="1">
        <w:r w:rsidRPr="00B04B9B">
          <w:rPr>
            <w:rStyle w:val="Hyperlink"/>
            <w:noProof/>
          </w:rPr>
          <w:t>Supplementary Figure 4. Forest plot of competing risks model concordance at 2 years by IECV clusters and random effects meta-analyzed estimates.</w:t>
        </w:r>
        <w:r>
          <w:rPr>
            <w:noProof/>
            <w:webHidden/>
          </w:rPr>
          <w:tab/>
        </w:r>
        <w:r>
          <w:rPr>
            <w:noProof/>
            <w:webHidden/>
          </w:rPr>
          <w:fldChar w:fldCharType="begin"/>
        </w:r>
        <w:r>
          <w:rPr>
            <w:noProof/>
            <w:webHidden/>
          </w:rPr>
          <w:instrText xml:space="preserve"> PAGEREF _Toc237015203 \h </w:instrText>
        </w:r>
        <w:r>
          <w:rPr>
            <w:noProof/>
            <w:webHidden/>
          </w:rPr>
        </w:r>
        <w:r>
          <w:rPr>
            <w:noProof/>
            <w:webHidden/>
          </w:rPr>
          <w:fldChar w:fldCharType="separate"/>
        </w:r>
        <w:r>
          <w:rPr>
            <w:noProof/>
            <w:webHidden/>
          </w:rPr>
          <w:t>27</w:t>
        </w:r>
        <w:r>
          <w:rPr>
            <w:noProof/>
            <w:webHidden/>
          </w:rPr>
          <w:fldChar w:fldCharType="end"/>
        </w:r>
      </w:hyperlink>
    </w:p>
    <w:p w14:paraId="01262092" w14:textId="5341960E"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204" w:history="1">
        <w:r w:rsidRPr="00B04B9B">
          <w:rPr>
            <w:rStyle w:val="Hyperlink"/>
            <w:noProof/>
          </w:rPr>
          <w:t>Supplementary Figure 5. Forest plot of competing risks model concordance by IECV clusters and random effects meta-analyzed estimates, complete case sensitivity analysis.</w:t>
        </w:r>
        <w:r>
          <w:rPr>
            <w:noProof/>
            <w:webHidden/>
          </w:rPr>
          <w:tab/>
        </w:r>
        <w:r>
          <w:rPr>
            <w:noProof/>
            <w:webHidden/>
          </w:rPr>
          <w:fldChar w:fldCharType="begin"/>
        </w:r>
        <w:r>
          <w:rPr>
            <w:noProof/>
            <w:webHidden/>
          </w:rPr>
          <w:instrText xml:space="preserve"> PAGEREF _Toc237015204 \h </w:instrText>
        </w:r>
        <w:r>
          <w:rPr>
            <w:noProof/>
            <w:webHidden/>
          </w:rPr>
        </w:r>
        <w:r>
          <w:rPr>
            <w:noProof/>
            <w:webHidden/>
          </w:rPr>
          <w:fldChar w:fldCharType="separate"/>
        </w:r>
        <w:r>
          <w:rPr>
            <w:noProof/>
            <w:webHidden/>
          </w:rPr>
          <w:t>28</w:t>
        </w:r>
        <w:r>
          <w:rPr>
            <w:noProof/>
            <w:webHidden/>
          </w:rPr>
          <w:fldChar w:fldCharType="end"/>
        </w:r>
      </w:hyperlink>
    </w:p>
    <w:p w14:paraId="2EBC1FD6" w14:textId="5B84E8BE"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205" w:history="1">
        <w:r w:rsidRPr="00B04B9B">
          <w:rPr>
            <w:rStyle w:val="Hyperlink"/>
            <w:noProof/>
          </w:rPr>
          <w:t>Supplementary Figure 6. Forest plot of competing risks model concordance by IECV clusters and random effects meta-analyzed estimates, complete case sensitivity analysis.</w:t>
        </w:r>
        <w:r>
          <w:rPr>
            <w:noProof/>
            <w:webHidden/>
          </w:rPr>
          <w:tab/>
        </w:r>
        <w:r>
          <w:rPr>
            <w:noProof/>
            <w:webHidden/>
          </w:rPr>
          <w:fldChar w:fldCharType="begin"/>
        </w:r>
        <w:r>
          <w:rPr>
            <w:noProof/>
            <w:webHidden/>
          </w:rPr>
          <w:instrText xml:space="preserve"> PAGEREF _Toc237015205 \h </w:instrText>
        </w:r>
        <w:r>
          <w:rPr>
            <w:noProof/>
            <w:webHidden/>
          </w:rPr>
        </w:r>
        <w:r>
          <w:rPr>
            <w:noProof/>
            <w:webHidden/>
          </w:rPr>
          <w:fldChar w:fldCharType="separate"/>
        </w:r>
        <w:r>
          <w:rPr>
            <w:noProof/>
            <w:webHidden/>
          </w:rPr>
          <w:t>29</w:t>
        </w:r>
        <w:r>
          <w:rPr>
            <w:noProof/>
            <w:webHidden/>
          </w:rPr>
          <w:fldChar w:fldCharType="end"/>
        </w:r>
      </w:hyperlink>
    </w:p>
    <w:p w14:paraId="021E2153" w14:textId="30A26391"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206" w:history="1">
        <w:r w:rsidRPr="00B04B9B">
          <w:rPr>
            <w:rStyle w:val="Hyperlink"/>
            <w:noProof/>
          </w:rPr>
          <w:t>Supplementary Figure 7. Calibration plots for non-lung cancer related death at 5 years across IECV clusters.</w:t>
        </w:r>
        <w:r>
          <w:rPr>
            <w:noProof/>
            <w:webHidden/>
          </w:rPr>
          <w:tab/>
        </w:r>
        <w:r>
          <w:rPr>
            <w:noProof/>
            <w:webHidden/>
          </w:rPr>
          <w:fldChar w:fldCharType="begin"/>
        </w:r>
        <w:r>
          <w:rPr>
            <w:noProof/>
            <w:webHidden/>
          </w:rPr>
          <w:instrText xml:space="preserve"> PAGEREF _Toc237015206 \h </w:instrText>
        </w:r>
        <w:r>
          <w:rPr>
            <w:noProof/>
            <w:webHidden/>
          </w:rPr>
        </w:r>
        <w:r>
          <w:rPr>
            <w:noProof/>
            <w:webHidden/>
          </w:rPr>
          <w:fldChar w:fldCharType="separate"/>
        </w:r>
        <w:r>
          <w:rPr>
            <w:noProof/>
            <w:webHidden/>
          </w:rPr>
          <w:t>30</w:t>
        </w:r>
        <w:r>
          <w:rPr>
            <w:noProof/>
            <w:webHidden/>
          </w:rPr>
          <w:fldChar w:fldCharType="end"/>
        </w:r>
      </w:hyperlink>
    </w:p>
    <w:p w14:paraId="58F11E31" w14:textId="06C68992"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207" w:history="1">
        <w:r w:rsidRPr="00B04B9B">
          <w:rPr>
            <w:rStyle w:val="Hyperlink"/>
            <w:noProof/>
          </w:rPr>
          <w:t>Supplementary Figure 8. Calibration plots for lung cancer diagnosis at 5 years across IECV clusters.</w:t>
        </w:r>
        <w:r>
          <w:rPr>
            <w:noProof/>
            <w:webHidden/>
          </w:rPr>
          <w:tab/>
        </w:r>
        <w:r>
          <w:rPr>
            <w:noProof/>
            <w:webHidden/>
          </w:rPr>
          <w:fldChar w:fldCharType="begin"/>
        </w:r>
        <w:r>
          <w:rPr>
            <w:noProof/>
            <w:webHidden/>
          </w:rPr>
          <w:instrText xml:space="preserve"> PAGEREF _Toc237015207 \h </w:instrText>
        </w:r>
        <w:r>
          <w:rPr>
            <w:noProof/>
            <w:webHidden/>
          </w:rPr>
        </w:r>
        <w:r>
          <w:rPr>
            <w:noProof/>
            <w:webHidden/>
          </w:rPr>
          <w:fldChar w:fldCharType="separate"/>
        </w:r>
        <w:r>
          <w:rPr>
            <w:noProof/>
            <w:webHidden/>
          </w:rPr>
          <w:t>31</w:t>
        </w:r>
        <w:r>
          <w:rPr>
            <w:noProof/>
            <w:webHidden/>
          </w:rPr>
          <w:fldChar w:fldCharType="end"/>
        </w:r>
      </w:hyperlink>
    </w:p>
    <w:p w14:paraId="3520265E" w14:textId="35080A9E"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208" w:history="1">
        <w:r w:rsidRPr="00B04B9B">
          <w:rPr>
            <w:rStyle w:val="Hyperlink"/>
            <w:noProof/>
          </w:rPr>
          <w:t>Supplementary Figure 9. Calibration plots for non-lung cancer death at 5 years across IECV clusters, complete case sensitivity analysis.</w:t>
        </w:r>
        <w:r>
          <w:rPr>
            <w:noProof/>
            <w:webHidden/>
          </w:rPr>
          <w:tab/>
        </w:r>
        <w:r>
          <w:rPr>
            <w:noProof/>
            <w:webHidden/>
          </w:rPr>
          <w:fldChar w:fldCharType="begin"/>
        </w:r>
        <w:r>
          <w:rPr>
            <w:noProof/>
            <w:webHidden/>
          </w:rPr>
          <w:instrText xml:space="preserve"> PAGEREF _Toc237015208 \h </w:instrText>
        </w:r>
        <w:r>
          <w:rPr>
            <w:noProof/>
            <w:webHidden/>
          </w:rPr>
        </w:r>
        <w:r>
          <w:rPr>
            <w:noProof/>
            <w:webHidden/>
          </w:rPr>
          <w:fldChar w:fldCharType="separate"/>
        </w:r>
        <w:r>
          <w:rPr>
            <w:noProof/>
            <w:webHidden/>
          </w:rPr>
          <w:t>32</w:t>
        </w:r>
        <w:r>
          <w:rPr>
            <w:noProof/>
            <w:webHidden/>
          </w:rPr>
          <w:fldChar w:fldCharType="end"/>
        </w:r>
      </w:hyperlink>
    </w:p>
    <w:p w14:paraId="2D6CADCE" w14:textId="6A1FD176"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209" w:history="1">
        <w:r w:rsidRPr="00B04B9B">
          <w:rPr>
            <w:rStyle w:val="Hyperlink"/>
            <w:noProof/>
          </w:rPr>
          <w:t>Supplementary Figure 10. Calibration plots for lung cancer diagnosis at 5 years across IECV clusters, complete case sensitivity analysis.</w:t>
        </w:r>
        <w:r>
          <w:rPr>
            <w:noProof/>
            <w:webHidden/>
          </w:rPr>
          <w:tab/>
        </w:r>
        <w:r>
          <w:rPr>
            <w:noProof/>
            <w:webHidden/>
          </w:rPr>
          <w:fldChar w:fldCharType="begin"/>
        </w:r>
        <w:r>
          <w:rPr>
            <w:noProof/>
            <w:webHidden/>
          </w:rPr>
          <w:instrText xml:space="preserve"> PAGEREF _Toc237015209 \h </w:instrText>
        </w:r>
        <w:r>
          <w:rPr>
            <w:noProof/>
            <w:webHidden/>
          </w:rPr>
        </w:r>
        <w:r>
          <w:rPr>
            <w:noProof/>
            <w:webHidden/>
          </w:rPr>
          <w:fldChar w:fldCharType="separate"/>
        </w:r>
        <w:r>
          <w:rPr>
            <w:noProof/>
            <w:webHidden/>
          </w:rPr>
          <w:t>33</w:t>
        </w:r>
        <w:r>
          <w:rPr>
            <w:noProof/>
            <w:webHidden/>
          </w:rPr>
          <w:fldChar w:fldCharType="end"/>
        </w:r>
      </w:hyperlink>
    </w:p>
    <w:p w14:paraId="3D548084" w14:textId="413DDE4F"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210" w:history="1">
        <w:r w:rsidRPr="00B04B9B">
          <w:rPr>
            <w:rStyle w:val="Hyperlink"/>
            <w:noProof/>
          </w:rPr>
          <w:t>Supplementary Figure 11. Forest plot of competing risks model concordance for non-lung cancer death at 5 years, comparing established risk tools (PLCO-ci, LYFS-CT) with the Base and Base + Age gap models, by IECV clusters and random effects meta-analyzed estimates.</w:t>
        </w:r>
        <w:r>
          <w:rPr>
            <w:noProof/>
            <w:webHidden/>
          </w:rPr>
          <w:tab/>
        </w:r>
        <w:r>
          <w:rPr>
            <w:noProof/>
            <w:webHidden/>
          </w:rPr>
          <w:fldChar w:fldCharType="begin"/>
        </w:r>
        <w:r>
          <w:rPr>
            <w:noProof/>
            <w:webHidden/>
          </w:rPr>
          <w:instrText xml:space="preserve"> PAGEREF _Toc237015210 \h </w:instrText>
        </w:r>
        <w:r>
          <w:rPr>
            <w:noProof/>
            <w:webHidden/>
          </w:rPr>
        </w:r>
        <w:r>
          <w:rPr>
            <w:noProof/>
            <w:webHidden/>
          </w:rPr>
          <w:fldChar w:fldCharType="separate"/>
        </w:r>
        <w:r>
          <w:rPr>
            <w:noProof/>
            <w:webHidden/>
          </w:rPr>
          <w:t>37</w:t>
        </w:r>
        <w:r>
          <w:rPr>
            <w:noProof/>
            <w:webHidden/>
          </w:rPr>
          <w:fldChar w:fldCharType="end"/>
        </w:r>
      </w:hyperlink>
    </w:p>
    <w:p w14:paraId="6DD32922" w14:textId="23F531DA"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211" w:history="1">
        <w:r w:rsidRPr="00B04B9B">
          <w:rPr>
            <w:rStyle w:val="Hyperlink"/>
            <w:noProof/>
          </w:rPr>
          <w:t>Supplementary Figure 12. Forest plot of competing risks model concordance for non-lung cancer death at 2 years, comparing established risk tools (PLCO-ci, LYFS-CT) with the Base and Base + Age gap models, by IECV clusters and random effects meta-analyzed estimates.</w:t>
        </w:r>
        <w:r>
          <w:rPr>
            <w:noProof/>
            <w:webHidden/>
          </w:rPr>
          <w:tab/>
        </w:r>
        <w:r>
          <w:rPr>
            <w:noProof/>
            <w:webHidden/>
          </w:rPr>
          <w:fldChar w:fldCharType="begin"/>
        </w:r>
        <w:r>
          <w:rPr>
            <w:noProof/>
            <w:webHidden/>
          </w:rPr>
          <w:instrText xml:space="preserve"> PAGEREF _Toc237015211 \h </w:instrText>
        </w:r>
        <w:r>
          <w:rPr>
            <w:noProof/>
            <w:webHidden/>
          </w:rPr>
        </w:r>
        <w:r>
          <w:rPr>
            <w:noProof/>
            <w:webHidden/>
          </w:rPr>
          <w:fldChar w:fldCharType="separate"/>
        </w:r>
        <w:r>
          <w:rPr>
            <w:noProof/>
            <w:webHidden/>
          </w:rPr>
          <w:t>38</w:t>
        </w:r>
        <w:r>
          <w:rPr>
            <w:noProof/>
            <w:webHidden/>
          </w:rPr>
          <w:fldChar w:fldCharType="end"/>
        </w:r>
      </w:hyperlink>
    </w:p>
    <w:p w14:paraId="58DDEDBE" w14:textId="09F50CBE"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212" w:history="1">
        <w:r w:rsidRPr="00B04B9B">
          <w:rPr>
            <w:rStyle w:val="Hyperlink"/>
            <w:noProof/>
          </w:rPr>
          <w:t>Supplementary Figure 13. Decision curve analysis for non-lung cancer death at 5 years.</w:t>
        </w:r>
        <w:r>
          <w:rPr>
            <w:noProof/>
            <w:webHidden/>
          </w:rPr>
          <w:tab/>
        </w:r>
        <w:r>
          <w:rPr>
            <w:noProof/>
            <w:webHidden/>
          </w:rPr>
          <w:fldChar w:fldCharType="begin"/>
        </w:r>
        <w:r>
          <w:rPr>
            <w:noProof/>
            <w:webHidden/>
          </w:rPr>
          <w:instrText xml:space="preserve"> PAGEREF _Toc237015212 \h </w:instrText>
        </w:r>
        <w:r>
          <w:rPr>
            <w:noProof/>
            <w:webHidden/>
          </w:rPr>
        </w:r>
        <w:r>
          <w:rPr>
            <w:noProof/>
            <w:webHidden/>
          </w:rPr>
          <w:fldChar w:fldCharType="separate"/>
        </w:r>
        <w:r>
          <w:rPr>
            <w:noProof/>
            <w:webHidden/>
          </w:rPr>
          <w:t>42</w:t>
        </w:r>
        <w:r>
          <w:rPr>
            <w:noProof/>
            <w:webHidden/>
          </w:rPr>
          <w:fldChar w:fldCharType="end"/>
        </w:r>
      </w:hyperlink>
    </w:p>
    <w:p w14:paraId="54F67D8B" w14:textId="43753878"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213" w:history="1">
        <w:r w:rsidRPr="00B04B9B">
          <w:rPr>
            <w:rStyle w:val="Hyperlink"/>
            <w:noProof/>
          </w:rPr>
          <w:t>Supplementary Figure 14. Decision curve analysis for non-lung cancer death at 2 years.</w:t>
        </w:r>
        <w:r>
          <w:rPr>
            <w:noProof/>
            <w:webHidden/>
          </w:rPr>
          <w:tab/>
        </w:r>
        <w:r>
          <w:rPr>
            <w:noProof/>
            <w:webHidden/>
          </w:rPr>
          <w:fldChar w:fldCharType="begin"/>
        </w:r>
        <w:r>
          <w:rPr>
            <w:noProof/>
            <w:webHidden/>
          </w:rPr>
          <w:instrText xml:space="preserve"> PAGEREF _Toc237015213 \h </w:instrText>
        </w:r>
        <w:r>
          <w:rPr>
            <w:noProof/>
            <w:webHidden/>
          </w:rPr>
        </w:r>
        <w:r>
          <w:rPr>
            <w:noProof/>
            <w:webHidden/>
          </w:rPr>
          <w:fldChar w:fldCharType="separate"/>
        </w:r>
        <w:r>
          <w:rPr>
            <w:noProof/>
            <w:webHidden/>
          </w:rPr>
          <w:t>43</w:t>
        </w:r>
        <w:r>
          <w:rPr>
            <w:noProof/>
            <w:webHidden/>
          </w:rPr>
          <w:fldChar w:fldCharType="end"/>
        </w:r>
      </w:hyperlink>
    </w:p>
    <w:p w14:paraId="0F3B3070" w14:textId="4F926C8D"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214" w:history="1">
        <w:r w:rsidRPr="00B04B9B">
          <w:rPr>
            <w:rStyle w:val="Hyperlink"/>
            <w:noProof/>
          </w:rPr>
          <w:t>Supplementary Figure 15. Decision curve analysis for lung cancer diagnosis at 5 years.</w:t>
        </w:r>
        <w:r>
          <w:rPr>
            <w:noProof/>
            <w:webHidden/>
          </w:rPr>
          <w:tab/>
        </w:r>
        <w:r>
          <w:rPr>
            <w:noProof/>
            <w:webHidden/>
          </w:rPr>
          <w:fldChar w:fldCharType="begin"/>
        </w:r>
        <w:r>
          <w:rPr>
            <w:noProof/>
            <w:webHidden/>
          </w:rPr>
          <w:instrText xml:space="preserve"> PAGEREF _Toc237015214 \h </w:instrText>
        </w:r>
        <w:r>
          <w:rPr>
            <w:noProof/>
            <w:webHidden/>
          </w:rPr>
        </w:r>
        <w:r>
          <w:rPr>
            <w:noProof/>
            <w:webHidden/>
          </w:rPr>
          <w:fldChar w:fldCharType="separate"/>
        </w:r>
        <w:r>
          <w:rPr>
            <w:noProof/>
            <w:webHidden/>
          </w:rPr>
          <w:t>44</w:t>
        </w:r>
        <w:r>
          <w:rPr>
            <w:noProof/>
            <w:webHidden/>
          </w:rPr>
          <w:fldChar w:fldCharType="end"/>
        </w:r>
      </w:hyperlink>
    </w:p>
    <w:p w14:paraId="6CBE0496" w14:textId="2A817C4C"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215" w:history="1">
        <w:r w:rsidRPr="00B04B9B">
          <w:rPr>
            <w:rStyle w:val="Hyperlink"/>
            <w:noProof/>
          </w:rPr>
          <w:t>Supplementary Figure 16. Decision curve analysis for lung cancer diagnosis at 2 years.</w:t>
        </w:r>
        <w:r>
          <w:rPr>
            <w:noProof/>
            <w:webHidden/>
          </w:rPr>
          <w:tab/>
        </w:r>
        <w:r>
          <w:rPr>
            <w:noProof/>
            <w:webHidden/>
          </w:rPr>
          <w:fldChar w:fldCharType="begin"/>
        </w:r>
        <w:r>
          <w:rPr>
            <w:noProof/>
            <w:webHidden/>
          </w:rPr>
          <w:instrText xml:space="preserve"> PAGEREF _Toc237015215 \h </w:instrText>
        </w:r>
        <w:r>
          <w:rPr>
            <w:noProof/>
            <w:webHidden/>
          </w:rPr>
        </w:r>
        <w:r>
          <w:rPr>
            <w:noProof/>
            <w:webHidden/>
          </w:rPr>
          <w:fldChar w:fldCharType="separate"/>
        </w:r>
        <w:r>
          <w:rPr>
            <w:noProof/>
            <w:webHidden/>
          </w:rPr>
          <w:t>45</w:t>
        </w:r>
        <w:r>
          <w:rPr>
            <w:noProof/>
            <w:webHidden/>
          </w:rPr>
          <w:fldChar w:fldCharType="end"/>
        </w:r>
      </w:hyperlink>
    </w:p>
    <w:p w14:paraId="50C2EEC5" w14:textId="0702C008"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216" w:history="1">
        <w:r w:rsidRPr="00B04B9B">
          <w:rPr>
            <w:rStyle w:val="Hyperlink"/>
            <w:noProof/>
          </w:rPr>
          <w:t>Supplementary Figure 17. Forest plot of competing risks model concordance for non-lung cancer death at 5 years, comparing aortic calcification alone with the Base and Base + Age gap models, by IECV clusters and random effects meta-analyzed estimates.</w:t>
        </w:r>
        <w:r>
          <w:rPr>
            <w:noProof/>
            <w:webHidden/>
          </w:rPr>
          <w:tab/>
        </w:r>
        <w:r>
          <w:rPr>
            <w:noProof/>
            <w:webHidden/>
          </w:rPr>
          <w:fldChar w:fldCharType="begin"/>
        </w:r>
        <w:r>
          <w:rPr>
            <w:noProof/>
            <w:webHidden/>
          </w:rPr>
          <w:instrText xml:space="preserve"> PAGEREF _Toc237015216 \h </w:instrText>
        </w:r>
        <w:r>
          <w:rPr>
            <w:noProof/>
            <w:webHidden/>
          </w:rPr>
        </w:r>
        <w:r>
          <w:rPr>
            <w:noProof/>
            <w:webHidden/>
          </w:rPr>
          <w:fldChar w:fldCharType="separate"/>
        </w:r>
        <w:r>
          <w:rPr>
            <w:noProof/>
            <w:webHidden/>
          </w:rPr>
          <w:t>47</w:t>
        </w:r>
        <w:r>
          <w:rPr>
            <w:noProof/>
            <w:webHidden/>
          </w:rPr>
          <w:fldChar w:fldCharType="end"/>
        </w:r>
      </w:hyperlink>
    </w:p>
    <w:p w14:paraId="614ED434" w14:textId="49BE9D8E" w:rsidR="00AC2EF6" w:rsidRDefault="00AC2EF6">
      <w:pPr>
        <w:pStyle w:val="TableofFigures"/>
        <w:tabs>
          <w:tab w:val="right" w:leader="dot" w:pos="9016"/>
        </w:tabs>
        <w:rPr>
          <w:rFonts w:asciiTheme="minorHAnsi" w:eastAsiaTheme="minorEastAsia" w:hAnsiTheme="minorHAnsi" w:cstheme="minorBidi"/>
          <w:noProof/>
          <w:kern w:val="2"/>
          <w:lang w:eastAsia="en-US"/>
          <w14:ligatures w14:val="standardContextual"/>
        </w:rPr>
      </w:pPr>
      <w:hyperlink w:anchor="_Toc237015217" w:history="1">
        <w:r w:rsidRPr="00B04B9B">
          <w:rPr>
            <w:rStyle w:val="Hyperlink"/>
            <w:noProof/>
          </w:rPr>
          <w:t>Supplementary Figure 18. Forest plot of competing risks model concordance for non-lung cancer death at 2 years, comparing aortic calcification alone with the Base and Base + Age gap models, by IECV clusters and random effects meta-analyzed estimates.</w:t>
        </w:r>
        <w:r>
          <w:rPr>
            <w:noProof/>
            <w:webHidden/>
          </w:rPr>
          <w:tab/>
        </w:r>
        <w:r>
          <w:rPr>
            <w:noProof/>
            <w:webHidden/>
          </w:rPr>
          <w:fldChar w:fldCharType="begin"/>
        </w:r>
        <w:r>
          <w:rPr>
            <w:noProof/>
            <w:webHidden/>
          </w:rPr>
          <w:instrText xml:space="preserve"> PAGEREF _Toc237015217 \h </w:instrText>
        </w:r>
        <w:r>
          <w:rPr>
            <w:noProof/>
            <w:webHidden/>
          </w:rPr>
        </w:r>
        <w:r>
          <w:rPr>
            <w:noProof/>
            <w:webHidden/>
          </w:rPr>
          <w:fldChar w:fldCharType="separate"/>
        </w:r>
        <w:r>
          <w:rPr>
            <w:noProof/>
            <w:webHidden/>
          </w:rPr>
          <w:t>48</w:t>
        </w:r>
        <w:r>
          <w:rPr>
            <w:noProof/>
            <w:webHidden/>
          </w:rPr>
          <w:fldChar w:fldCharType="end"/>
        </w:r>
      </w:hyperlink>
    </w:p>
    <w:p w14:paraId="27D70D6C" w14:textId="282FCA86" w:rsidR="003067D6" w:rsidRDefault="0090078E">
      <w:pPr>
        <w:spacing w:after="160" w:line="279" w:lineRule="auto"/>
      </w:pPr>
      <w:r>
        <w:fldChar w:fldCharType="end"/>
      </w:r>
      <w:r w:rsidR="003067D6">
        <w:br w:type="page"/>
      </w:r>
    </w:p>
    <w:p w14:paraId="002AA0BC" w14:textId="77777777" w:rsidR="00E373BC" w:rsidRPr="002779F0" w:rsidRDefault="00E373BC" w:rsidP="002779F0">
      <w:pPr>
        <w:pStyle w:val="Heading1"/>
      </w:pPr>
      <w:bookmarkStart w:id="0" w:name="_Toc237015169"/>
      <w:r w:rsidRPr="002779F0">
        <w:lastRenderedPageBreak/>
        <w:t xml:space="preserve">Definition of </w:t>
      </w:r>
      <w:r w:rsidR="008E3090" w:rsidRPr="002779F0">
        <w:t>non-</w:t>
      </w:r>
      <w:r w:rsidR="000550F9" w:rsidRPr="002779F0">
        <w:t>lung cancer related death</w:t>
      </w:r>
      <w:bookmarkEnd w:id="0"/>
    </w:p>
    <w:p w14:paraId="7E64FE1F" w14:textId="77777777" w:rsidR="000550F9" w:rsidRDefault="008E3090" w:rsidP="00E373BC">
      <w:r>
        <w:t xml:space="preserve">Non-lung cancer related death was defined using death certificate data from the National Cancer Registration and Analysis Service, where International Classification of Disease-10 </w:t>
      </w:r>
      <w:r w:rsidR="0032687C">
        <w:t xml:space="preserve">(ICD-10) </w:t>
      </w:r>
      <w:r>
        <w:t xml:space="preserve">codes for lung cancer related terms did not appear in </w:t>
      </w:r>
      <w:r w:rsidR="00DA6BE4">
        <w:t>part</w:t>
      </w:r>
      <w:r>
        <w:t xml:space="preserve"> 1a, 1b or 1c. </w:t>
      </w:r>
      <w:r w:rsidR="009534CF">
        <w:t xml:space="preserve">Part 1a is: </w:t>
      </w:r>
      <w:r w:rsidR="009534CF" w:rsidRPr="009534CF">
        <w:t>disease or condition leading directly to death</w:t>
      </w:r>
      <w:r w:rsidR="009534CF">
        <w:t>; 1b</w:t>
      </w:r>
      <w:r w:rsidR="006C7728">
        <w:t xml:space="preserve">: </w:t>
      </w:r>
      <w:r w:rsidR="006C7728" w:rsidRPr="006C7728">
        <w:t>other disease or condition, if any, leading to 1a</w:t>
      </w:r>
      <w:r w:rsidR="006C7728">
        <w:t xml:space="preserve">; and 1c: </w:t>
      </w:r>
      <w:r w:rsidR="006C7728" w:rsidRPr="006C7728">
        <w:t>other disease or condition, if any, leading to 1b</w:t>
      </w:r>
      <w:r w:rsidR="006C7728">
        <w:t>.</w:t>
      </w:r>
      <w:r w:rsidR="009534CF">
        <w:t xml:space="preserve"> </w:t>
      </w:r>
      <w:r w:rsidR="0032687C">
        <w:t>Lung cancer ICD-10 codes were taken as any code beginning with</w:t>
      </w:r>
      <w:r w:rsidR="003646F4">
        <w:t xml:space="preserve"> ‘C34 – Malignant neoplasm of bronchus or lung’.</w:t>
      </w:r>
    </w:p>
    <w:tbl>
      <w:tblPr>
        <w:tblStyle w:val="PlainTable3"/>
        <w:tblW w:w="0" w:type="auto"/>
        <w:tblLook w:val="04A0" w:firstRow="1" w:lastRow="0" w:firstColumn="1" w:lastColumn="0" w:noHBand="0" w:noVBand="1"/>
      </w:tblPr>
      <w:tblGrid>
        <w:gridCol w:w="2764"/>
        <w:gridCol w:w="3556"/>
        <w:gridCol w:w="1196"/>
        <w:gridCol w:w="1510"/>
      </w:tblGrid>
      <w:tr w:rsidR="003067D6" w14:paraId="6BB88E4C" w14:textId="77777777" w:rsidTr="003C34D1">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775" w:type="dxa"/>
          </w:tcPr>
          <w:p w14:paraId="0375E374" w14:textId="77777777" w:rsidR="003067D6" w:rsidRDefault="003067D6" w:rsidP="003C34D1">
            <w:pPr>
              <w:pStyle w:val="Tablebody"/>
            </w:pPr>
            <w:r>
              <w:t>Age gap quartile</w:t>
            </w:r>
          </w:p>
        </w:tc>
        <w:tc>
          <w:tcPr>
            <w:tcW w:w="3570" w:type="dxa"/>
          </w:tcPr>
          <w:p w14:paraId="5CA38220" w14:textId="77777777" w:rsidR="003067D6" w:rsidRDefault="003067D6" w:rsidP="003C34D1">
            <w:pPr>
              <w:pStyle w:val="Tablebody"/>
              <w:cnfStyle w:val="100000000000" w:firstRow="1" w:lastRow="0" w:firstColumn="0" w:lastColumn="0" w:oddVBand="0" w:evenVBand="0" w:oddHBand="0" w:evenHBand="0" w:firstRowFirstColumn="0" w:firstRowLastColumn="0" w:lastRowFirstColumn="0" w:lastRowLastColumn="0"/>
            </w:pPr>
            <w:r>
              <w:t>Cumulative incidence (95% CI)</w:t>
            </w:r>
          </w:p>
        </w:tc>
        <w:tc>
          <w:tcPr>
            <w:tcW w:w="1200" w:type="dxa"/>
          </w:tcPr>
          <w:p w14:paraId="07C3ED2E" w14:textId="77777777" w:rsidR="003067D6" w:rsidRDefault="003067D6" w:rsidP="003C34D1">
            <w:pPr>
              <w:pStyle w:val="Tablebody"/>
              <w:cnfStyle w:val="100000000000" w:firstRow="1" w:lastRow="0" w:firstColumn="0" w:lastColumn="0" w:oddVBand="0" w:evenVBand="0" w:oddHBand="0" w:evenHBand="0" w:firstRowFirstColumn="0" w:firstRowLastColumn="0" w:lastRowFirstColumn="0" w:lastRowLastColumn="0"/>
            </w:pPr>
            <w:r>
              <w:t>N at risk</w:t>
            </w:r>
          </w:p>
        </w:tc>
        <w:tc>
          <w:tcPr>
            <w:tcW w:w="1514" w:type="dxa"/>
          </w:tcPr>
          <w:p w14:paraId="026EB23D" w14:textId="77777777" w:rsidR="003067D6" w:rsidRDefault="003067D6" w:rsidP="003C34D1">
            <w:pPr>
              <w:pStyle w:val="Tablebody"/>
              <w:cnfStyle w:val="100000000000" w:firstRow="1" w:lastRow="0" w:firstColumn="0" w:lastColumn="0" w:oddVBand="0" w:evenVBand="0" w:oddHBand="0" w:evenHBand="0" w:firstRowFirstColumn="0" w:firstRowLastColumn="0" w:lastRowFirstColumn="0" w:lastRowLastColumn="0"/>
            </w:pPr>
            <w:r>
              <w:t>N of events</w:t>
            </w:r>
          </w:p>
        </w:tc>
      </w:tr>
      <w:tr w:rsidR="003067D6" w14:paraId="5580AB61" w14:textId="77777777" w:rsidTr="003C34D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59" w:type="dxa"/>
            <w:gridSpan w:val="4"/>
          </w:tcPr>
          <w:p w14:paraId="2237E609" w14:textId="77777777" w:rsidR="003067D6" w:rsidRDefault="003067D6" w:rsidP="003C34D1">
            <w:pPr>
              <w:pStyle w:val="Tablebody"/>
            </w:pPr>
            <w:r>
              <w:t>Lung cancer diagnosis</w:t>
            </w:r>
          </w:p>
        </w:tc>
      </w:tr>
      <w:tr w:rsidR="003067D6" w14:paraId="6C8F810E"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775" w:type="dxa"/>
          </w:tcPr>
          <w:p w14:paraId="443B8659" w14:textId="77777777" w:rsidR="003067D6" w:rsidRDefault="003067D6" w:rsidP="003C34D1">
            <w:pPr>
              <w:pStyle w:val="Tablebody"/>
            </w:pPr>
            <w:r>
              <w:t>1</w:t>
            </w:r>
          </w:p>
        </w:tc>
        <w:tc>
          <w:tcPr>
            <w:tcW w:w="3570" w:type="dxa"/>
          </w:tcPr>
          <w:p w14:paraId="3A9DE391"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4.5% (3.8%–5.3%)</w:t>
            </w:r>
          </w:p>
        </w:tc>
        <w:tc>
          <w:tcPr>
            <w:tcW w:w="1200" w:type="dxa"/>
          </w:tcPr>
          <w:p w14:paraId="56300658"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1520</w:t>
            </w:r>
          </w:p>
        </w:tc>
        <w:tc>
          <w:tcPr>
            <w:tcW w:w="1514" w:type="dxa"/>
          </w:tcPr>
          <w:p w14:paraId="0B70418D"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136</w:t>
            </w:r>
          </w:p>
        </w:tc>
      </w:tr>
      <w:tr w:rsidR="003067D6" w14:paraId="6D818FBD" w14:textId="77777777" w:rsidTr="003C34D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75" w:type="dxa"/>
          </w:tcPr>
          <w:p w14:paraId="5856F730" w14:textId="77777777" w:rsidR="003067D6" w:rsidRDefault="003067D6" w:rsidP="003C34D1">
            <w:pPr>
              <w:pStyle w:val="Tablebody"/>
            </w:pPr>
            <w:r>
              <w:t>2</w:t>
            </w:r>
          </w:p>
        </w:tc>
        <w:tc>
          <w:tcPr>
            <w:tcW w:w="3570" w:type="dxa"/>
          </w:tcPr>
          <w:p w14:paraId="1B55C515"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4.4% (3.7%–5.2%)</w:t>
            </w:r>
          </w:p>
        </w:tc>
        <w:tc>
          <w:tcPr>
            <w:tcW w:w="1200" w:type="dxa"/>
          </w:tcPr>
          <w:p w14:paraId="44766589"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1443</w:t>
            </w:r>
          </w:p>
        </w:tc>
        <w:tc>
          <w:tcPr>
            <w:tcW w:w="1514" w:type="dxa"/>
          </w:tcPr>
          <w:p w14:paraId="0D22075F"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132</w:t>
            </w:r>
          </w:p>
        </w:tc>
      </w:tr>
      <w:tr w:rsidR="003067D6" w14:paraId="037B1256"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775" w:type="dxa"/>
          </w:tcPr>
          <w:p w14:paraId="1E7449C3" w14:textId="77777777" w:rsidR="003067D6" w:rsidRDefault="003067D6" w:rsidP="003C34D1">
            <w:pPr>
              <w:pStyle w:val="Tablebody"/>
            </w:pPr>
            <w:r>
              <w:t>3</w:t>
            </w:r>
          </w:p>
        </w:tc>
        <w:tc>
          <w:tcPr>
            <w:tcW w:w="3570" w:type="dxa"/>
          </w:tcPr>
          <w:p w14:paraId="6E3E7A4E"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4.8% (4.0%–5.6%)</w:t>
            </w:r>
          </w:p>
        </w:tc>
        <w:tc>
          <w:tcPr>
            <w:tcW w:w="1200" w:type="dxa"/>
          </w:tcPr>
          <w:p w14:paraId="6DE6F293"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1401</w:t>
            </w:r>
          </w:p>
        </w:tc>
        <w:tc>
          <w:tcPr>
            <w:tcW w:w="1514" w:type="dxa"/>
          </w:tcPr>
          <w:p w14:paraId="4FF4F580"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137</w:t>
            </w:r>
          </w:p>
        </w:tc>
      </w:tr>
      <w:tr w:rsidR="003067D6" w14:paraId="5130DB52" w14:textId="77777777" w:rsidTr="003C34D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75" w:type="dxa"/>
          </w:tcPr>
          <w:p w14:paraId="237B10C3" w14:textId="77777777" w:rsidR="003067D6" w:rsidRDefault="003067D6" w:rsidP="003C34D1">
            <w:pPr>
              <w:pStyle w:val="Tablebody"/>
            </w:pPr>
            <w:r>
              <w:t>4</w:t>
            </w:r>
          </w:p>
        </w:tc>
        <w:tc>
          <w:tcPr>
            <w:tcW w:w="3570" w:type="dxa"/>
          </w:tcPr>
          <w:p w14:paraId="433EC010"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5.7% (4.9%–6.6%)</w:t>
            </w:r>
          </w:p>
        </w:tc>
        <w:tc>
          <w:tcPr>
            <w:tcW w:w="1200" w:type="dxa"/>
          </w:tcPr>
          <w:p w14:paraId="595AFAA1"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1338</w:t>
            </w:r>
          </w:p>
        </w:tc>
        <w:tc>
          <w:tcPr>
            <w:tcW w:w="1514" w:type="dxa"/>
          </w:tcPr>
          <w:p w14:paraId="124DE402"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168</w:t>
            </w:r>
          </w:p>
        </w:tc>
      </w:tr>
      <w:tr w:rsidR="003067D6" w14:paraId="64C2D950"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9059" w:type="dxa"/>
            <w:gridSpan w:val="4"/>
          </w:tcPr>
          <w:p w14:paraId="5A5AB446" w14:textId="77777777" w:rsidR="003067D6" w:rsidRDefault="003067D6" w:rsidP="003C34D1">
            <w:pPr>
              <w:pStyle w:val="Tablebody"/>
            </w:pPr>
            <w:r>
              <w:t>Non-lung cancer death</w:t>
            </w:r>
          </w:p>
        </w:tc>
      </w:tr>
      <w:tr w:rsidR="003067D6" w14:paraId="5D3ECD5D" w14:textId="77777777" w:rsidTr="003C34D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75" w:type="dxa"/>
          </w:tcPr>
          <w:p w14:paraId="2217C3E1" w14:textId="77777777" w:rsidR="003067D6" w:rsidRDefault="003067D6" w:rsidP="003C34D1">
            <w:pPr>
              <w:pStyle w:val="Tablebody"/>
            </w:pPr>
            <w:r>
              <w:t>1</w:t>
            </w:r>
          </w:p>
        </w:tc>
        <w:tc>
          <w:tcPr>
            <w:tcW w:w="3570" w:type="dxa"/>
          </w:tcPr>
          <w:p w14:paraId="04C26536"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3.8% (3.2%–4.6%)</w:t>
            </w:r>
          </w:p>
        </w:tc>
        <w:tc>
          <w:tcPr>
            <w:tcW w:w="1200" w:type="dxa"/>
          </w:tcPr>
          <w:p w14:paraId="30B16D42"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1520</w:t>
            </w:r>
          </w:p>
        </w:tc>
        <w:tc>
          <w:tcPr>
            <w:tcW w:w="1514" w:type="dxa"/>
          </w:tcPr>
          <w:p w14:paraId="21B95000"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112</w:t>
            </w:r>
          </w:p>
        </w:tc>
      </w:tr>
      <w:tr w:rsidR="003067D6" w14:paraId="73AB0499"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775" w:type="dxa"/>
          </w:tcPr>
          <w:p w14:paraId="4D595FEC" w14:textId="77777777" w:rsidR="003067D6" w:rsidRDefault="003067D6" w:rsidP="003C34D1">
            <w:pPr>
              <w:pStyle w:val="Tablebody"/>
            </w:pPr>
            <w:r>
              <w:t>2</w:t>
            </w:r>
          </w:p>
        </w:tc>
        <w:tc>
          <w:tcPr>
            <w:tcW w:w="3570" w:type="dxa"/>
          </w:tcPr>
          <w:p w14:paraId="78C1B33A"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5.0% (4.2%–5.8%)</w:t>
            </w:r>
          </w:p>
        </w:tc>
        <w:tc>
          <w:tcPr>
            <w:tcW w:w="1200" w:type="dxa"/>
          </w:tcPr>
          <w:p w14:paraId="3A05B7C0"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1443</w:t>
            </w:r>
          </w:p>
        </w:tc>
        <w:tc>
          <w:tcPr>
            <w:tcW w:w="1514" w:type="dxa"/>
          </w:tcPr>
          <w:p w14:paraId="08670803"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146</w:t>
            </w:r>
          </w:p>
        </w:tc>
      </w:tr>
      <w:tr w:rsidR="003067D6" w14:paraId="3296F330" w14:textId="77777777" w:rsidTr="003C34D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75" w:type="dxa"/>
          </w:tcPr>
          <w:p w14:paraId="02DC538D" w14:textId="77777777" w:rsidR="003067D6" w:rsidRDefault="003067D6" w:rsidP="003C34D1">
            <w:pPr>
              <w:pStyle w:val="Tablebody"/>
            </w:pPr>
            <w:r>
              <w:t>3</w:t>
            </w:r>
          </w:p>
        </w:tc>
        <w:tc>
          <w:tcPr>
            <w:tcW w:w="3570" w:type="dxa"/>
          </w:tcPr>
          <w:p w14:paraId="597E0656"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7.3% (6.4%–8.3%)</w:t>
            </w:r>
          </w:p>
        </w:tc>
        <w:tc>
          <w:tcPr>
            <w:tcW w:w="1200" w:type="dxa"/>
          </w:tcPr>
          <w:p w14:paraId="52C60156"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1401</w:t>
            </w:r>
          </w:p>
        </w:tc>
        <w:tc>
          <w:tcPr>
            <w:tcW w:w="1514" w:type="dxa"/>
          </w:tcPr>
          <w:p w14:paraId="112E26E6"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214</w:t>
            </w:r>
          </w:p>
        </w:tc>
      </w:tr>
      <w:tr w:rsidR="003067D6" w14:paraId="4E49FEB5"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775" w:type="dxa"/>
          </w:tcPr>
          <w:p w14:paraId="63FC43AA" w14:textId="77777777" w:rsidR="003067D6" w:rsidRDefault="003067D6" w:rsidP="003C34D1">
            <w:pPr>
              <w:pStyle w:val="Tablebody"/>
            </w:pPr>
            <w:r>
              <w:t>4</w:t>
            </w:r>
          </w:p>
        </w:tc>
        <w:tc>
          <w:tcPr>
            <w:tcW w:w="3570" w:type="dxa"/>
          </w:tcPr>
          <w:p w14:paraId="5FBCB8AF"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10.0% (8.9%–11.1%)</w:t>
            </w:r>
          </w:p>
        </w:tc>
        <w:tc>
          <w:tcPr>
            <w:tcW w:w="1200" w:type="dxa"/>
          </w:tcPr>
          <w:p w14:paraId="6605E8F0"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1338</w:t>
            </w:r>
          </w:p>
        </w:tc>
        <w:tc>
          <w:tcPr>
            <w:tcW w:w="1514" w:type="dxa"/>
          </w:tcPr>
          <w:p w14:paraId="0BC63773"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292</w:t>
            </w:r>
          </w:p>
        </w:tc>
      </w:tr>
    </w:tbl>
    <w:p w14:paraId="07BD4DFC" w14:textId="77777777" w:rsidR="003067D6" w:rsidRDefault="003067D6" w:rsidP="003067D6">
      <w:pPr>
        <w:spacing w:after="160" w:line="279" w:lineRule="auto"/>
      </w:pPr>
    </w:p>
    <w:p w14:paraId="04656310" w14:textId="0104C3EB" w:rsidR="00A902BC" w:rsidRPr="00A902BC" w:rsidRDefault="00A902BC" w:rsidP="003B4C19">
      <w:pPr>
        <w:pStyle w:val="Caption"/>
      </w:pPr>
      <w:bookmarkStart w:id="1" w:name="_Toc237015183"/>
      <w:r w:rsidRPr="00A902BC">
        <w:t xml:space="preserve">Supplementary Table </w:t>
      </w:r>
      <w:fldSimple w:instr=" SEQ Supplementary_Table \* ARABIC ">
        <w:r w:rsidR="00AC2EF6">
          <w:rPr>
            <w:noProof/>
          </w:rPr>
          <w:t>1</w:t>
        </w:r>
      </w:fldSimple>
      <w:r w:rsidRPr="00A902BC">
        <w:t xml:space="preserve">. </w:t>
      </w:r>
      <w:r w:rsidR="003067D6" w:rsidRPr="00A902BC">
        <w:t>Cumulative incidence of lung cancer diagnoses and non-lung cancer deaths.</w:t>
      </w:r>
      <w:bookmarkEnd w:id="1"/>
      <w:r w:rsidR="003067D6" w:rsidRPr="00A902BC">
        <w:t xml:space="preserve"> </w:t>
      </w:r>
    </w:p>
    <w:p w14:paraId="40961E3A" w14:textId="77777777" w:rsidR="003067D6" w:rsidRDefault="003067D6" w:rsidP="003B4C19">
      <w:pPr>
        <w:pStyle w:val="Caption"/>
      </w:pPr>
      <w:r>
        <w:t>CI: Confidence Interval</w:t>
      </w:r>
    </w:p>
    <w:p w14:paraId="5A126080" w14:textId="77777777" w:rsidR="00EE53EC" w:rsidRDefault="00EE53EC">
      <w:pPr>
        <w:spacing w:after="160" w:line="279" w:lineRule="auto"/>
        <w:rPr>
          <w:color w:val="0F4761" w:themeColor="accent1" w:themeShade="BF"/>
          <w:sz w:val="36"/>
          <w:szCs w:val="36"/>
        </w:rPr>
      </w:pPr>
      <w:bookmarkStart w:id="2" w:name="X649db42c3a6e2be96f4f28e3be8f55e6f37f034"/>
      <w:r>
        <w:br w:type="page"/>
      </w:r>
    </w:p>
    <w:p w14:paraId="0E0CE8A4" w14:textId="77777777" w:rsidR="003067D6" w:rsidRDefault="003067D6" w:rsidP="002779F0">
      <w:pPr>
        <w:pStyle w:val="Heading1"/>
      </w:pPr>
      <w:bookmarkStart w:id="3" w:name="_Toc237015170"/>
      <w:r>
        <w:lastRenderedPageBreak/>
        <w:t>Characteristics of participants with unknown vital status</w:t>
      </w:r>
      <w:bookmarkEnd w:id="3"/>
    </w:p>
    <w:p w14:paraId="2045A2C3" w14:textId="77777777" w:rsidR="003067D6" w:rsidRDefault="003067D6" w:rsidP="003067D6">
      <w:r>
        <w:t xml:space="preserve">Vital status (alive/dead) and date of death or </w:t>
      </w:r>
      <w:r w:rsidR="007F0B35">
        <w:t>censor</w:t>
      </w:r>
      <w:r>
        <w:t xml:space="preserve"> for SUMMIT participants are obtained via linkage to national mortality registration records. Of the full cohort, 178 participants (1.4%) could not be matched to these records and have unknown vital status. Of these, 176 also lacked a last-known-status date and were consequently excluded from complete-case competing-risks analyses</w:t>
      </w:r>
      <w:r w:rsidR="007F0B35">
        <w:t>.</w:t>
      </w:r>
      <w:r>
        <w:t xml:space="preserve"> </w:t>
      </w:r>
      <w:r w:rsidR="007F0B35">
        <w:t>T</w:t>
      </w:r>
      <w:r>
        <w:t>he remaining 2 participants had a usable follow-up date and were retained as censored. To assess whether this exclusion could introduce bias, baseline characteristics of participants with unknown vital status were compared with the remainder of the cohort.</w:t>
      </w:r>
      <w:r w:rsidR="007F0B35">
        <w:t xml:space="preserve"> Given the small numbers of participants which were not of White ethnicity, they were combined for analysis.</w:t>
      </w:r>
    </w:p>
    <w:tbl>
      <w:tblPr>
        <w:tblStyle w:val="PlainTable3"/>
        <w:tblW w:w="5000" w:type="pct"/>
        <w:tblLook w:val="00A0" w:firstRow="1" w:lastRow="0" w:firstColumn="1" w:lastColumn="0" w:noHBand="0" w:noVBand="0"/>
      </w:tblPr>
      <w:tblGrid>
        <w:gridCol w:w="3584"/>
        <w:gridCol w:w="2735"/>
        <w:gridCol w:w="1813"/>
        <w:gridCol w:w="894"/>
      </w:tblGrid>
      <w:tr w:rsidR="003067D6" w14:paraId="7D62695B" w14:textId="77777777" w:rsidTr="003067D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2A81DBBF" w14:textId="77777777" w:rsidR="003067D6" w:rsidRDefault="003067D6" w:rsidP="003067D6">
            <w:pPr>
              <w:pStyle w:val="Tablebody"/>
            </w:pPr>
            <w:r>
              <w:t>Characteristic</w:t>
            </w:r>
          </w:p>
        </w:tc>
        <w:tc>
          <w:tcPr>
            <w:cnfStyle w:val="000010000000" w:firstRow="0" w:lastRow="0" w:firstColumn="0" w:lastColumn="0" w:oddVBand="1" w:evenVBand="0" w:oddHBand="0" w:evenHBand="0" w:firstRowFirstColumn="0" w:firstRowLastColumn="0" w:lastRowFirstColumn="0" w:lastRowLastColumn="0"/>
            <w:tcW w:w="0" w:type="auto"/>
          </w:tcPr>
          <w:p w14:paraId="52D7FE1C" w14:textId="77777777" w:rsidR="003067D6" w:rsidRDefault="003067D6" w:rsidP="003067D6">
            <w:pPr>
              <w:pStyle w:val="Tablebody"/>
            </w:pPr>
            <w:r>
              <w:t>Unknown vital status (N=178)</w:t>
            </w:r>
          </w:p>
        </w:tc>
        <w:tc>
          <w:tcPr>
            <w:tcW w:w="0" w:type="auto"/>
          </w:tcPr>
          <w:p w14:paraId="433C5C34" w14:textId="77777777" w:rsidR="003067D6" w:rsidRDefault="003067D6" w:rsidP="003067D6">
            <w:pPr>
              <w:pStyle w:val="Tablebody"/>
              <w:cnfStyle w:val="100000000000" w:firstRow="1" w:lastRow="0" w:firstColumn="0" w:lastColumn="0" w:oddVBand="0" w:evenVBand="0" w:oddHBand="0" w:evenHBand="0" w:firstRowFirstColumn="0" w:firstRowLastColumn="0" w:lastRowFirstColumn="0" w:lastRowLastColumn="0"/>
            </w:pPr>
            <w:r>
              <w:t xml:space="preserve">Known vital status </w:t>
            </w:r>
          </w:p>
        </w:tc>
        <w:tc>
          <w:tcPr>
            <w:cnfStyle w:val="000010000000" w:firstRow="0" w:lastRow="0" w:firstColumn="0" w:lastColumn="0" w:oddVBand="1" w:evenVBand="0" w:oddHBand="0" w:evenHBand="0" w:firstRowFirstColumn="0" w:firstRowLastColumn="0" w:lastRowFirstColumn="0" w:lastRowLastColumn="0"/>
            <w:tcW w:w="0" w:type="auto"/>
          </w:tcPr>
          <w:p w14:paraId="7DA9FD2C" w14:textId="77777777" w:rsidR="003067D6" w:rsidRDefault="003067D6" w:rsidP="003067D6">
            <w:pPr>
              <w:pStyle w:val="Tablebody"/>
            </w:pPr>
            <w:r>
              <w:t>p-value</w:t>
            </w:r>
          </w:p>
        </w:tc>
      </w:tr>
      <w:tr w:rsidR="003067D6" w14:paraId="61F2D9C4" w14:textId="77777777" w:rsidTr="00306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70C94F" w14:textId="77777777" w:rsidR="003067D6" w:rsidRDefault="003067D6" w:rsidP="003067D6">
            <w:pPr>
              <w:pStyle w:val="Tablebody"/>
            </w:pPr>
            <w:r>
              <w:t>Age at baseline, years</w:t>
            </w:r>
          </w:p>
        </w:tc>
        <w:tc>
          <w:tcPr>
            <w:cnfStyle w:val="000010000000" w:firstRow="0" w:lastRow="0" w:firstColumn="0" w:lastColumn="0" w:oddVBand="1" w:evenVBand="0" w:oddHBand="0" w:evenHBand="0" w:firstRowFirstColumn="0" w:firstRowLastColumn="0" w:lastRowFirstColumn="0" w:lastRowLastColumn="0"/>
            <w:tcW w:w="0" w:type="auto"/>
          </w:tcPr>
          <w:p w14:paraId="58E7C246" w14:textId="77777777" w:rsidR="003067D6" w:rsidRDefault="003067D6" w:rsidP="003067D6">
            <w:pPr>
              <w:pStyle w:val="Tablebody"/>
            </w:pPr>
            <w:r>
              <w:t>65.1</w:t>
            </w:r>
          </w:p>
        </w:tc>
        <w:tc>
          <w:tcPr>
            <w:tcW w:w="0" w:type="auto"/>
          </w:tcPr>
          <w:p w14:paraId="4E14EAD2"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65.4</w:t>
            </w:r>
          </w:p>
        </w:tc>
        <w:tc>
          <w:tcPr>
            <w:cnfStyle w:val="000010000000" w:firstRow="0" w:lastRow="0" w:firstColumn="0" w:lastColumn="0" w:oddVBand="1" w:evenVBand="0" w:oddHBand="0" w:evenHBand="0" w:firstRowFirstColumn="0" w:firstRowLastColumn="0" w:lastRowFirstColumn="0" w:lastRowLastColumn="0"/>
            <w:tcW w:w="0" w:type="auto"/>
          </w:tcPr>
          <w:p w14:paraId="138149A4" w14:textId="77777777" w:rsidR="003067D6" w:rsidRDefault="003067D6" w:rsidP="003067D6">
            <w:pPr>
              <w:pStyle w:val="Tablebody"/>
            </w:pPr>
            <w:r>
              <w:t>0.53</w:t>
            </w:r>
          </w:p>
        </w:tc>
      </w:tr>
      <w:tr w:rsidR="003067D6" w14:paraId="599AF9D8" w14:textId="77777777" w:rsidTr="003067D6">
        <w:tc>
          <w:tcPr>
            <w:cnfStyle w:val="001000000000" w:firstRow="0" w:lastRow="0" w:firstColumn="1" w:lastColumn="0" w:oddVBand="0" w:evenVBand="0" w:oddHBand="0" w:evenHBand="0" w:firstRowFirstColumn="0" w:firstRowLastColumn="0" w:lastRowFirstColumn="0" w:lastRowLastColumn="0"/>
            <w:tcW w:w="0" w:type="auto"/>
          </w:tcPr>
          <w:p w14:paraId="3C990F17" w14:textId="77777777" w:rsidR="003067D6" w:rsidRDefault="003067D6" w:rsidP="003067D6">
            <w:pPr>
              <w:pStyle w:val="Tablebody"/>
            </w:pPr>
            <w:r>
              <w:t>BMI, kg/m²</w:t>
            </w:r>
          </w:p>
        </w:tc>
        <w:tc>
          <w:tcPr>
            <w:cnfStyle w:val="000010000000" w:firstRow="0" w:lastRow="0" w:firstColumn="0" w:lastColumn="0" w:oddVBand="1" w:evenVBand="0" w:oddHBand="0" w:evenHBand="0" w:firstRowFirstColumn="0" w:firstRowLastColumn="0" w:lastRowFirstColumn="0" w:lastRowLastColumn="0"/>
            <w:tcW w:w="0" w:type="auto"/>
          </w:tcPr>
          <w:p w14:paraId="56E4CBDB" w14:textId="77777777" w:rsidR="003067D6" w:rsidRDefault="003067D6" w:rsidP="003067D6">
            <w:pPr>
              <w:pStyle w:val="Tablebody"/>
            </w:pPr>
            <w:r>
              <w:t>28.0</w:t>
            </w:r>
          </w:p>
        </w:tc>
        <w:tc>
          <w:tcPr>
            <w:tcW w:w="0" w:type="auto"/>
          </w:tcPr>
          <w:p w14:paraId="226D7CFB"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28.0</w:t>
            </w:r>
          </w:p>
        </w:tc>
        <w:tc>
          <w:tcPr>
            <w:cnfStyle w:val="000010000000" w:firstRow="0" w:lastRow="0" w:firstColumn="0" w:lastColumn="0" w:oddVBand="1" w:evenVBand="0" w:oddHBand="0" w:evenHBand="0" w:firstRowFirstColumn="0" w:firstRowLastColumn="0" w:lastRowFirstColumn="0" w:lastRowLastColumn="0"/>
            <w:tcW w:w="0" w:type="auto"/>
          </w:tcPr>
          <w:p w14:paraId="5D607CA7" w14:textId="77777777" w:rsidR="003067D6" w:rsidRDefault="003067D6" w:rsidP="003067D6">
            <w:pPr>
              <w:pStyle w:val="Tablebody"/>
            </w:pPr>
            <w:r>
              <w:t>0.91</w:t>
            </w:r>
          </w:p>
        </w:tc>
      </w:tr>
      <w:tr w:rsidR="003067D6" w14:paraId="30EEE6C7" w14:textId="77777777" w:rsidTr="00306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6FB1E1" w14:textId="77777777" w:rsidR="003067D6" w:rsidRDefault="003067D6" w:rsidP="003067D6">
            <w:pPr>
              <w:pStyle w:val="Tablebody"/>
            </w:pPr>
            <w:r>
              <w:t>Smoking amount, pack-years</w:t>
            </w:r>
          </w:p>
        </w:tc>
        <w:tc>
          <w:tcPr>
            <w:cnfStyle w:val="000010000000" w:firstRow="0" w:lastRow="0" w:firstColumn="0" w:lastColumn="0" w:oddVBand="1" w:evenVBand="0" w:oddHBand="0" w:evenHBand="0" w:firstRowFirstColumn="0" w:firstRowLastColumn="0" w:lastRowFirstColumn="0" w:lastRowLastColumn="0"/>
            <w:tcW w:w="0" w:type="auto"/>
          </w:tcPr>
          <w:p w14:paraId="3D07D97C" w14:textId="77777777" w:rsidR="003067D6" w:rsidRDefault="003067D6" w:rsidP="003067D6">
            <w:pPr>
              <w:pStyle w:val="Tablebody"/>
            </w:pPr>
            <w:r>
              <w:t>19.7</w:t>
            </w:r>
          </w:p>
        </w:tc>
        <w:tc>
          <w:tcPr>
            <w:tcW w:w="0" w:type="auto"/>
          </w:tcPr>
          <w:p w14:paraId="712F2E3B"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21.2</w:t>
            </w:r>
          </w:p>
        </w:tc>
        <w:tc>
          <w:tcPr>
            <w:cnfStyle w:val="000010000000" w:firstRow="0" w:lastRow="0" w:firstColumn="0" w:lastColumn="0" w:oddVBand="1" w:evenVBand="0" w:oddHBand="0" w:evenHBand="0" w:firstRowFirstColumn="0" w:firstRowLastColumn="0" w:lastRowFirstColumn="0" w:lastRowLastColumn="0"/>
            <w:tcW w:w="0" w:type="auto"/>
          </w:tcPr>
          <w:p w14:paraId="3A0D7283" w14:textId="77777777" w:rsidR="003067D6" w:rsidRDefault="003067D6" w:rsidP="003067D6">
            <w:pPr>
              <w:pStyle w:val="Tablebody"/>
            </w:pPr>
            <w:r>
              <w:t>0.034</w:t>
            </w:r>
          </w:p>
        </w:tc>
      </w:tr>
      <w:tr w:rsidR="003067D6" w14:paraId="10F7D83C" w14:textId="77777777" w:rsidTr="003067D6">
        <w:tc>
          <w:tcPr>
            <w:cnfStyle w:val="001000000000" w:firstRow="0" w:lastRow="0" w:firstColumn="1" w:lastColumn="0" w:oddVBand="0" w:evenVBand="0" w:oddHBand="0" w:evenHBand="0" w:firstRowFirstColumn="0" w:firstRowLastColumn="0" w:lastRowFirstColumn="0" w:lastRowLastColumn="0"/>
            <w:tcW w:w="0" w:type="auto"/>
          </w:tcPr>
          <w:p w14:paraId="58183C4E" w14:textId="77777777" w:rsidR="003067D6" w:rsidRDefault="003067D6" w:rsidP="003067D6">
            <w:pPr>
              <w:pStyle w:val="Tablebody"/>
            </w:pPr>
            <w:r>
              <w:t>Total smoking duration, years</w:t>
            </w:r>
          </w:p>
        </w:tc>
        <w:tc>
          <w:tcPr>
            <w:cnfStyle w:val="000010000000" w:firstRow="0" w:lastRow="0" w:firstColumn="0" w:lastColumn="0" w:oddVBand="1" w:evenVBand="0" w:oddHBand="0" w:evenHBand="0" w:firstRowFirstColumn="0" w:firstRowLastColumn="0" w:lastRowFirstColumn="0" w:lastRowLastColumn="0"/>
            <w:tcW w:w="0" w:type="auto"/>
          </w:tcPr>
          <w:p w14:paraId="34CE5846" w14:textId="77777777" w:rsidR="003067D6" w:rsidRDefault="003067D6" w:rsidP="003067D6">
            <w:pPr>
              <w:pStyle w:val="Tablebody"/>
            </w:pPr>
            <w:r>
              <w:t>43.7</w:t>
            </w:r>
          </w:p>
        </w:tc>
        <w:tc>
          <w:tcPr>
            <w:tcW w:w="0" w:type="auto"/>
          </w:tcPr>
          <w:p w14:paraId="6B1D4A65"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44.1</w:t>
            </w:r>
          </w:p>
        </w:tc>
        <w:tc>
          <w:tcPr>
            <w:cnfStyle w:val="000010000000" w:firstRow="0" w:lastRow="0" w:firstColumn="0" w:lastColumn="0" w:oddVBand="1" w:evenVBand="0" w:oddHBand="0" w:evenHBand="0" w:firstRowFirstColumn="0" w:firstRowLastColumn="0" w:lastRowFirstColumn="0" w:lastRowLastColumn="0"/>
            <w:tcW w:w="0" w:type="auto"/>
          </w:tcPr>
          <w:p w14:paraId="5DBC0425" w14:textId="77777777" w:rsidR="003067D6" w:rsidRDefault="003067D6" w:rsidP="003067D6">
            <w:pPr>
              <w:pStyle w:val="Tablebody"/>
            </w:pPr>
            <w:r>
              <w:t>0.47</w:t>
            </w:r>
          </w:p>
        </w:tc>
      </w:tr>
      <w:tr w:rsidR="003067D6" w14:paraId="17B953F9" w14:textId="77777777" w:rsidTr="00306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2F32A4" w14:textId="77777777" w:rsidR="003067D6" w:rsidRDefault="003067D6" w:rsidP="003067D6">
            <w:pPr>
              <w:pStyle w:val="Tablebody"/>
            </w:pPr>
            <w:r>
              <w:t>Female sex, %</w:t>
            </w:r>
          </w:p>
        </w:tc>
        <w:tc>
          <w:tcPr>
            <w:cnfStyle w:val="000010000000" w:firstRow="0" w:lastRow="0" w:firstColumn="0" w:lastColumn="0" w:oddVBand="1" w:evenVBand="0" w:oddHBand="0" w:evenHBand="0" w:firstRowFirstColumn="0" w:firstRowLastColumn="0" w:lastRowFirstColumn="0" w:lastRowLastColumn="0"/>
            <w:tcW w:w="0" w:type="auto"/>
          </w:tcPr>
          <w:p w14:paraId="20B683F0" w14:textId="77777777" w:rsidR="003067D6" w:rsidRDefault="003067D6" w:rsidP="003067D6">
            <w:pPr>
              <w:pStyle w:val="Tablebody"/>
            </w:pPr>
            <w:r>
              <w:t>43.3</w:t>
            </w:r>
          </w:p>
        </w:tc>
        <w:tc>
          <w:tcPr>
            <w:tcW w:w="0" w:type="auto"/>
          </w:tcPr>
          <w:p w14:paraId="14F0572C"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42.6</w:t>
            </w:r>
          </w:p>
        </w:tc>
        <w:tc>
          <w:tcPr>
            <w:cnfStyle w:val="000010000000" w:firstRow="0" w:lastRow="0" w:firstColumn="0" w:lastColumn="0" w:oddVBand="1" w:evenVBand="0" w:oddHBand="0" w:evenHBand="0" w:firstRowFirstColumn="0" w:firstRowLastColumn="0" w:lastRowFirstColumn="0" w:lastRowLastColumn="0"/>
            <w:tcW w:w="0" w:type="auto"/>
          </w:tcPr>
          <w:p w14:paraId="634CE350" w14:textId="77777777" w:rsidR="003067D6" w:rsidRDefault="003067D6" w:rsidP="003067D6">
            <w:pPr>
              <w:pStyle w:val="Tablebody"/>
            </w:pPr>
            <w:r>
              <w:t>0.85</w:t>
            </w:r>
          </w:p>
        </w:tc>
      </w:tr>
      <w:tr w:rsidR="003067D6" w14:paraId="6B7BE348" w14:textId="77777777" w:rsidTr="003067D6">
        <w:tc>
          <w:tcPr>
            <w:cnfStyle w:val="001000000000" w:firstRow="0" w:lastRow="0" w:firstColumn="1" w:lastColumn="0" w:oddVBand="0" w:evenVBand="0" w:oddHBand="0" w:evenHBand="0" w:firstRowFirstColumn="0" w:firstRowLastColumn="0" w:lastRowFirstColumn="0" w:lastRowLastColumn="0"/>
            <w:tcW w:w="0" w:type="auto"/>
          </w:tcPr>
          <w:p w14:paraId="3BD73E1D" w14:textId="77777777" w:rsidR="003067D6" w:rsidRDefault="003067D6" w:rsidP="003067D6">
            <w:pPr>
              <w:pStyle w:val="Tablebody"/>
            </w:pPr>
            <w:r>
              <w:t>COPD/bronchitis/emphysema, %</w:t>
            </w:r>
          </w:p>
        </w:tc>
        <w:tc>
          <w:tcPr>
            <w:cnfStyle w:val="000010000000" w:firstRow="0" w:lastRow="0" w:firstColumn="0" w:lastColumn="0" w:oddVBand="1" w:evenVBand="0" w:oddHBand="0" w:evenHBand="0" w:firstRowFirstColumn="0" w:firstRowLastColumn="0" w:lastRowFirstColumn="0" w:lastRowLastColumn="0"/>
            <w:tcW w:w="0" w:type="auto"/>
          </w:tcPr>
          <w:p w14:paraId="4B76C363" w14:textId="77777777" w:rsidR="003067D6" w:rsidRDefault="003067D6" w:rsidP="003067D6">
            <w:pPr>
              <w:pStyle w:val="Tablebody"/>
            </w:pPr>
            <w:r>
              <w:t>25.8</w:t>
            </w:r>
          </w:p>
        </w:tc>
        <w:tc>
          <w:tcPr>
            <w:tcW w:w="0" w:type="auto"/>
          </w:tcPr>
          <w:p w14:paraId="2632998A"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29.4</w:t>
            </w:r>
          </w:p>
        </w:tc>
        <w:tc>
          <w:tcPr>
            <w:cnfStyle w:val="000010000000" w:firstRow="0" w:lastRow="0" w:firstColumn="0" w:lastColumn="0" w:oddVBand="1" w:evenVBand="0" w:oddHBand="0" w:evenHBand="0" w:firstRowFirstColumn="0" w:firstRowLastColumn="0" w:lastRowFirstColumn="0" w:lastRowLastColumn="0"/>
            <w:tcW w:w="0" w:type="auto"/>
          </w:tcPr>
          <w:p w14:paraId="7E38FE2C" w14:textId="77777777" w:rsidR="003067D6" w:rsidRDefault="003067D6" w:rsidP="003067D6">
            <w:pPr>
              <w:pStyle w:val="Tablebody"/>
            </w:pPr>
            <w:r>
              <w:t>0.29</w:t>
            </w:r>
          </w:p>
        </w:tc>
      </w:tr>
      <w:tr w:rsidR="003067D6" w14:paraId="4FEAD4A7" w14:textId="77777777" w:rsidTr="00306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CB2065" w14:textId="77777777" w:rsidR="003067D6" w:rsidRDefault="003067D6" w:rsidP="003067D6">
            <w:pPr>
              <w:pStyle w:val="Tablebody"/>
            </w:pPr>
            <w:r>
              <w:t>Current smoker (any tobacco), %</w:t>
            </w:r>
          </w:p>
        </w:tc>
        <w:tc>
          <w:tcPr>
            <w:cnfStyle w:val="000010000000" w:firstRow="0" w:lastRow="0" w:firstColumn="0" w:lastColumn="0" w:oddVBand="1" w:evenVBand="0" w:oddHBand="0" w:evenHBand="0" w:firstRowFirstColumn="0" w:firstRowLastColumn="0" w:lastRowFirstColumn="0" w:lastRowLastColumn="0"/>
            <w:tcW w:w="0" w:type="auto"/>
          </w:tcPr>
          <w:p w14:paraId="2DA67113" w14:textId="77777777" w:rsidR="003067D6" w:rsidRDefault="003067D6" w:rsidP="003067D6">
            <w:pPr>
              <w:pStyle w:val="Tablebody"/>
            </w:pPr>
            <w:r>
              <w:t>48.3</w:t>
            </w:r>
          </w:p>
        </w:tc>
        <w:tc>
          <w:tcPr>
            <w:tcW w:w="0" w:type="auto"/>
          </w:tcPr>
          <w:p w14:paraId="654CAA16"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48.8</w:t>
            </w:r>
          </w:p>
        </w:tc>
        <w:tc>
          <w:tcPr>
            <w:cnfStyle w:val="000010000000" w:firstRow="0" w:lastRow="0" w:firstColumn="0" w:lastColumn="0" w:oddVBand="1" w:evenVBand="0" w:oddHBand="0" w:evenHBand="0" w:firstRowFirstColumn="0" w:firstRowLastColumn="0" w:lastRowFirstColumn="0" w:lastRowLastColumn="0"/>
            <w:tcW w:w="0" w:type="auto"/>
          </w:tcPr>
          <w:p w14:paraId="4925F312" w14:textId="77777777" w:rsidR="003067D6" w:rsidRDefault="003067D6" w:rsidP="003067D6">
            <w:pPr>
              <w:pStyle w:val="Tablebody"/>
            </w:pPr>
            <w:r>
              <w:t>0.90</w:t>
            </w:r>
          </w:p>
        </w:tc>
      </w:tr>
      <w:tr w:rsidR="003067D6" w14:paraId="454226FF" w14:textId="77777777" w:rsidTr="003067D6">
        <w:tc>
          <w:tcPr>
            <w:cnfStyle w:val="001000000000" w:firstRow="0" w:lastRow="0" w:firstColumn="1" w:lastColumn="0" w:oddVBand="0" w:evenVBand="0" w:oddHBand="0" w:evenHBand="0" w:firstRowFirstColumn="0" w:firstRowLastColumn="0" w:lastRowFirstColumn="0" w:lastRowLastColumn="0"/>
            <w:tcW w:w="0" w:type="auto"/>
          </w:tcPr>
          <w:p w14:paraId="7EECDFB5" w14:textId="77777777" w:rsidR="003067D6" w:rsidRDefault="003067D6" w:rsidP="003067D6">
            <w:pPr>
              <w:pStyle w:val="Tablebody"/>
            </w:pPr>
            <w:r>
              <w:t>Any prior cancer, %</w:t>
            </w:r>
          </w:p>
        </w:tc>
        <w:tc>
          <w:tcPr>
            <w:cnfStyle w:val="000010000000" w:firstRow="0" w:lastRow="0" w:firstColumn="0" w:lastColumn="0" w:oddVBand="1" w:evenVBand="0" w:oddHBand="0" w:evenHBand="0" w:firstRowFirstColumn="0" w:firstRowLastColumn="0" w:lastRowFirstColumn="0" w:lastRowLastColumn="0"/>
            <w:tcW w:w="0" w:type="auto"/>
          </w:tcPr>
          <w:p w14:paraId="604F292C" w14:textId="77777777" w:rsidR="003067D6" w:rsidRDefault="003067D6" w:rsidP="003067D6">
            <w:pPr>
              <w:pStyle w:val="Tablebody"/>
            </w:pPr>
            <w:r>
              <w:t>10.1</w:t>
            </w:r>
          </w:p>
        </w:tc>
        <w:tc>
          <w:tcPr>
            <w:tcW w:w="0" w:type="auto"/>
          </w:tcPr>
          <w:p w14:paraId="57EB7817"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13.6</w:t>
            </w:r>
          </w:p>
        </w:tc>
        <w:tc>
          <w:tcPr>
            <w:cnfStyle w:val="000010000000" w:firstRow="0" w:lastRow="0" w:firstColumn="0" w:lastColumn="0" w:oddVBand="1" w:evenVBand="0" w:oddHBand="0" w:evenHBand="0" w:firstRowFirstColumn="0" w:firstRowLastColumn="0" w:lastRowFirstColumn="0" w:lastRowLastColumn="0"/>
            <w:tcW w:w="0" w:type="auto"/>
          </w:tcPr>
          <w:p w14:paraId="7F6AF4E6" w14:textId="77777777" w:rsidR="003067D6" w:rsidRDefault="003067D6" w:rsidP="003067D6">
            <w:pPr>
              <w:pStyle w:val="Tablebody"/>
            </w:pPr>
            <w:r>
              <w:t>0.13</w:t>
            </w:r>
          </w:p>
        </w:tc>
      </w:tr>
      <w:tr w:rsidR="003067D6" w14:paraId="1A5A2AF2" w14:textId="77777777" w:rsidTr="00306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DEDFD4" w14:textId="77777777" w:rsidR="003067D6" w:rsidRDefault="003067D6" w:rsidP="003067D6">
            <w:pPr>
              <w:pStyle w:val="Tablebody"/>
            </w:pPr>
            <w:r>
              <w:t>Non-white ethnicity, %</w:t>
            </w:r>
          </w:p>
        </w:tc>
        <w:tc>
          <w:tcPr>
            <w:cnfStyle w:val="000010000000" w:firstRow="0" w:lastRow="0" w:firstColumn="0" w:lastColumn="0" w:oddVBand="1" w:evenVBand="0" w:oddHBand="0" w:evenHBand="0" w:firstRowFirstColumn="0" w:firstRowLastColumn="0" w:lastRowFirstColumn="0" w:lastRowLastColumn="0"/>
            <w:tcW w:w="0" w:type="auto"/>
          </w:tcPr>
          <w:p w14:paraId="223D7DAB" w14:textId="77777777" w:rsidR="003067D6" w:rsidRDefault="003067D6" w:rsidP="003067D6">
            <w:pPr>
              <w:pStyle w:val="Tablebody"/>
            </w:pPr>
            <w:r>
              <w:t>29.8</w:t>
            </w:r>
          </w:p>
        </w:tc>
        <w:tc>
          <w:tcPr>
            <w:tcW w:w="0" w:type="auto"/>
          </w:tcPr>
          <w:p w14:paraId="2C0ABEB2"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15.4</w:t>
            </w:r>
          </w:p>
        </w:tc>
        <w:tc>
          <w:tcPr>
            <w:cnfStyle w:val="000010000000" w:firstRow="0" w:lastRow="0" w:firstColumn="0" w:lastColumn="0" w:oddVBand="1" w:evenVBand="0" w:oddHBand="0" w:evenHBand="0" w:firstRowFirstColumn="0" w:firstRowLastColumn="0" w:lastRowFirstColumn="0" w:lastRowLastColumn="0"/>
            <w:tcW w:w="0" w:type="auto"/>
          </w:tcPr>
          <w:p w14:paraId="334287A2" w14:textId="77777777" w:rsidR="003067D6" w:rsidRDefault="003067D6" w:rsidP="003067D6">
            <w:pPr>
              <w:pStyle w:val="Tablebody"/>
            </w:pPr>
            <w:r>
              <w:t>&lt;0.001</w:t>
            </w:r>
          </w:p>
        </w:tc>
      </w:tr>
      <w:tr w:rsidR="003067D6" w14:paraId="4A3BC6E1" w14:textId="77777777" w:rsidTr="003067D6">
        <w:tc>
          <w:tcPr>
            <w:cnfStyle w:val="001000000000" w:firstRow="0" w:lastRow="0" w:firstColumn="1" w:lastColumn="0" w:oddVBand="0" w:evenVBand="0" w:oddHBand="0" w:evenHBand="0" w:firstRowFirstColumn="0" w:firstRowLastColumn="0" w:lastRowFirstColumn="0" w:lastRowLastColumn="0"/>
            <w:tcW w:w="0" w:type="auto"/>
          </w:tcPr>
          <w:p w14:paraId="102E3845" w14:textId="77777777" w:rsidR="003067D6" w:rsidRDefault="003067D6" w:rsidP="003067D6">
            <w:pPr>
              <w:pStyle w:val="Tablebody"/>
            </w:pPr>
            <w:r>
              <w:t>IMD quintile (1-5), mean</w:t>
            </w:r>
          </w:p>
        </w:tc>
        <w:tc>
          <w:tcPr>
            <w:cnfStyle w:val="000010000000" w:firstRow="0" w:lastRow="0" w:firstColumn="0" w:lastColumn="0" w:oddVBand="1" w:evenVBand="0" w:oddHBand="0" w:evenHBand="0" w:firstRowFirstColumn="0" w:firstRowLastColumn="0" w:lastRowFirstColumn="0" w:lastRowLastColumn="0"/>
            <w:tcW w:w="0" w:type="auto"/>
          </w:tcPr>
          <w:p w14:paraId="583164F0" w14:textId="77777777" w:rsidR="003067D6" w:rsidRDefault="003067D6" w:rsidP="003067D6">
            <w:pPr>
              <w:pStyle w:val="Tablebody"/>
            </w:pPr>
            <w:r>
              <w:t>2.11</w:t>
            </w:r>
          </w:p>
        </w:tc>
        <w:tc>
          <w:tcPr>
            <w:tcW w:w="0" w:type="auto"/>
          </w:tcPr>
          <w:p w14:paraId="79FA3C07"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2.31</w:t>
            </w:r>
          </w:p>
        </w:tc>
        <w:tc>
          <w:tcPr>
            <w:cnfStyle w:val="000010000000" w:firstRow="0" w:lastRow="0" w:firstColumn="0" w:lastColumn="0" w:oddVBand="1" w:evenVBand="0" w:oddHBand="0" w:evenHBand="0" w:firstRowFirstColumn="0" w:firstRowLastColumn="0" w:lastRowFirstColumn="0" w:lastRowLastColumn="0"/>
            <w:tcW w:w="0" w:type="auto"/>
          </w:tcPr>
          <w:p w14:paraId="0FDDC784" w14:textId="77777777" w:rsidR="003067D6" w:rsidRDefault="003067D6" w:rsidP="003067D6">
            <w:pPr>
              <w:pStyle w:val="Tablebody"/>
            </w:pPr>
            <w:r>
              <w:t>0.036</w:t>
            </w:r>
          </w:p>
        </w:tc>
      </w:tr>
    </w:tbl>
    <w:p w14:paraId="72497ADB" w14:textId="77777777" w:rsidR="003067D6" w:rsidRDefault="003067D6" w:rsidP="003B4C19">
      <w:pPr>
        <w:pStyle w:val="Caption"/>
      </w:pPr>
    </w:p>
    <w:p w14:paraId="07FB0A97" w14:textId="55226BC5" w:rsidR="00A902BC" w:rsidRDefault="00A902BC" w:rsidP="003B4C19">
      <w:pPr>
        <w:pStyle w:val="Caption"/>
      </w:pPr>
      <w:bookmarkStart w:id="4" w:name="_Toc237015184"/>
      <w:r>
        <w:t xml:space="preserve">Supplementary Table </w:t>
      </w:r>
      <w:fldSimple w:instr=" SEQ Supplementary_Table \* ARABIC ">
        <w:r w:rsidR="00AC2EF6">
          <w:rPr>
            <w:noProof/>
          </w:rPr>
          <w:t>2</w:t>
        </w:r>
      </w:fldSimple>
      <w:r>
        <w:t xml:space="preserve">. </w:t>
      </w:r>
      <w:r w:rsidR="003067D6">
        <w:t>Baseline characteristics of participants with unknown vital status compared with the remainder of the cohort.</w:t>
      </w:r>
      <w:bookmarkEnd w:id="4"/>
      <w:r w:rsidR="003067D6">
        <w:t xml:space="preserve"> </w:t>
      </w:r>
    </w:p>
    <w:p w14:paraId="44D1ED0A" w14:textId="77777777" w:rsidR="003067D6" w:rsidRDefault="003067D6" w:rsidP="003B4C19">
      <w:pPr>
        <w:pStyle w:val="Caption"/>
      </w:pPr>
      <w:r>
        <w:t>BMI: body mass index; COPD: chronic obstructive pulmonary disease; IMD: Index of Multiple Deprivation (1=most deprived, 5=least deprived). Continuous variables compared using a t-test; categorical variables using a chi-squared test.</w:t>
      </w:r>
    </w:p>
    <w:p w14:paraId="447F7C96" w14:textId="77777777" w:rsidR="003067D6" w:rsidRPr="003067D6" w:rsidRDefault="003067D6" w:rsidP="003067D6"/>
    <w:p w14:paraId="69DB6C2B" w14:textId="77777777" w:rsidR="003067D6" w:rsidRDefault="003067D6" w:rsidP="003067D6">
      <w:r>
        <w:t xml:space="preserve">Participants with unknown vital status did not differ from the rest of the cohort in age, sex, BMI, COPD status, or smoking status. </w:t>
      </w:r>
      <w:r w:rsidR="007F0B35">
        <w:t>However, t</w:t>
      </w:r>
      <w:r>
        <w:t>hey were disproportionately of non-white ethnicity (29.8% vs. 15.4%, p&lt;0.001) and modestly more socioeconomically deprived (mean IMD quintile 2.11 vs. 2.31, p=0.0</w:t>
      </w:r>
      <w:r w:rsidR="00D91338">
        <w:t>4</w:t>
      </w:r>
      <w:r>
        <w:t xml:space="preserve">). Given the small proportion of the cohort affected (1.4%), this exclusion is unlikely to have a large effect on the overall point estimates reported, but it is noted here as a </w:t>
      </w:r>
      <w:r>
        <w:lastRenderedPageBreak/>
        <w:t>limitation, and as a further, data-completeness-related instance of the same equity consideration discussed elsewhere in relation to age gap</w:t>
      </w:r>
      <w:r w:rsidR="007F0B35">
        <w:t>, ethnicity</w:t>
      </w:r>
      <w:r>
        <w:t xml:space="preserve"> and socioeconomic deprivation.</w:t>
      </w:r>
    </w:p>
    <w:bookmarkEnd w:id="2"/>
    <w:p w14:paraId="21D19A1F" w14:textId="77777777" w:rsidR="00EE53EC" w:rsidRDefault="00EE53EC">
      <w:pPr>
        <w:spacing w:after="160" w:line="279" w:lineRule="auto"/>
        <w:rPr>
          <w:color w:val="0F4761" w:themeColor="accent1" w:themeShade="BF"/>
          <w:sz w:val="36"/>
          <w:szCs w:val="36"/>
        </w:rPr>
      </w:pPr>
      <w:r>
        <w:br w:type="page"/>
      </w:r>
    </w:p>
    <w:p w14:paraId="01124B57" w14:textId="77777777" w:rsidR="0085758A" w:rsidRDefault="00E54A90" w:rsidP="002779F0">
      <w:pPr>
        <w:pStyle w:val="Heading1"/>
      </w:pPr>
      <w:bookmarkStart w:id="5" w:name="_Toc237015171"/>
      <w:r>
        <w:lastRenderedPageBreak/>
        <w:t>Imaging feature extraction</w:t>
      </w:r>
      <w:bookmarkEnd w:id="5"/>
    </w:p>
    <w:p w14:paraId="35E1054C" w14:textId="4640814F" w:rsidR="00A036D8" w:rsidRPr="00A036D8" w:rsidRDefault="00E54A90" w:rsidP="4B29E1AF">
      <w:r>
        <w:t xml:space="preserve">The relevant segmentations of vertebral bodies, erector spinae muscles, </w:t>
      </w:r>
      <w:r w:rsidR="00A54D34">
        <w:t>pericardial fat, and aorta were produced using an in-house deep learning segmentation algorithm</w:t>
      </w:r>
      <w:r w:rsidR="00F80623">
        <w:t xml:space="preserve">, adapted from existing </w:t>
      </w:r>
      <w:proofErr w:type="spellStart"/>
      <w:r w:rsidR="007657ED">
        <w:t>nnU</w:t>
      </w:r>
      <w:proofErr w:type="spellEnd"/>
      <w:r w:rsidR="007657ED">
        <w:t xml:space="preserve">-Net based </w:t>
      </w:r>
      <w:r w:rsidR="00F80623">
        <w:t xml:space="preserve">methods </w:t>
      </w:r>
      <w:r w:rsidR="0080282B" w:rsidRPr="0080282B">
        <w:rPr>
          <w:color w:val="000000"/>
          <w:vertAlign w:val="superscript"/>
        </w:rPr>
        <w:t>1</w:t>
      </w:r>
      <w:r w:rsidR="00F80623">
        <w:t>.</w:t>
      </w:r>
      <w:r w:rsidR="007657ED">
        <w:t xml:space="preserve"> </w:t>
      </w:r>
      <w:r w:rsidR="00AE4C70">
        <w:t>Erector spinae mass was calculated as the product of volume and density. Trabecular density was calculated by erosion of the cortex from the vertebral segmentation, and calculation of mean density. Aortic calc</w:t>
      </w:r>
      <w:r w:rsidR="00956499">
        <w:t>ific</w:t>
      </w:r>
      <w:r w:rsidR="00AE4C70">
        <w:t xml:space="preserve">ation was defined as the percentage of volume of aorta segmentation above </w:t>
      </w:r>
      <w:r w:rsidR="00AE4C70" w:rsidRPr="00E6639B">
        <w:t xml:space="preserve">130 </w:t>
      </w:r>
      <w:r w:rsidR="00AE4C70">
        <w:t>Hounsfield units (HU). Features were normalized from 0 to 1 using an empirical cumulative distribution function, and where appropriate, the direction was reversed for features expected to decrease with age.</w:t>
      </w:r>
      <w:r w:rsidR="00EA193C">
        <w:t xml:space="preserve"> Mass of pericardial fat was estimated by multiplying the volume of </w:t>
      </w:r>
      <w:proofErr w:type="gramStart"/>
      <w:r w:rsidR="00EA193C">
        <w:t>the fat</w:t>
      </w:r>
      <w:proofErr w:type="gramEnd"/>
      <w:r w:rsidR="00EA193C">
        <w:t xml:space="preserve"> segmentation with the mean attenuation.</w:t>
      </w:r>
      <w:r w:rsidR="0010603D">
        <w:t xml:space="preserve"> </w:t>
      </w:r>
      <w:r w:rsidR="00BD07C8">
        <w:t>Scans which had been manually identified by the reporting radiologist as containing a v</w:t>
      </w:r>
      <w:r w:rsidR="133D4F20">
        <w:t>ertebral fracture were removed</w:t>
      </w:r>
      <w:r w:rsidR="00D7548D">
        <w:t xml:space="preserve"> from the analysis.</w:t>
      </w:r>
    </w:p>
    <w:p w14:paraId="14951366" w14:textId="77777777" w:rsidR="4B29E1AF" w:rsidRDefault="009C1269">
      <w:r>
        <w:t>Features which were expected to decrease in value with age (muscle density, trabecular density</w:t>
      </w:r>
      <w:r w:rsidR="0026381A">
        <w:t>) had the sign reversed. All features were scaled to between 0 and 1, using an empirical cumulative distribution function</w:t>
      </w:r>
      <w:r w:rsidR="000E238D">
        <w:t xml:space="preserve">, stratified by </w:t>
      </w:r>
      <w:r w:rsidR="1B6DD60F">
        <w:t>sex</w:t>
      </w:r>
      <w:r w:rsidR="000E238D">
        <w:t>, before being collated for disease progression modelling.</w:t>
      </w:r>
    </w:p>
    <w:p w14:paraId="3615E661" w14:textId="77777777" w:rsidR="003067D6" w:rsidRDefault="003067D6" w:rsidP="00EE53EC">
      <w:pPr>
        <w:pStyle w:val="Heading2"/>
      </w:pPr>
      <w:bookmarkStart w:id="6" w:name="X980975886cc604a54da11612c38bb365144e94c"/>
      <w:bookmarkStart w:id="7" w:name="_Toc237015172"/>
      <w:r>
        <w:t>Segmentation quality control for trabecular bone density</w:t>
      </w:r>
      <w:bookmarkEnd w:id="7"/>
    </w:p>
    <w:p w14:paraId="0133E52B" w14:textId="5835473F" w:rsidR="00EE53EC" w:rsidRPr="007F0B35" w:rsidRDefault="003067D6" w:rsidP="007F0B35">
      <w:r>
        <w:t xml:space="preserve">CT attenuation-derived density biomarkers in this pipeline (erector spinae muscle, pericardial fat, vertebral trabecular bone) are expressed in approximate g/cm³ units via density </w:t>
      </w:r>
      <w:r w:rsidR="007F0B35">
        <w:t>(</w:t>
      </w:r>
      <w:r>
        <w:t>1 + HU/1000, where HU is the raw Hounsfield unit value</w:t>
      </w:r>
      <w:r w:rsidR="007F0B35">
        <w:t>).</w:t>
      </w:r>
      <w:r>
        <w:t xml:space="preserve"> </w:t>
      </w:r>
      <w:r w:rsidR="007F0B35">
        <w:t>A</w:t>
      </w:r>
      <w:r>
        <w:t xml:space="preserve"> value of 0 HU (water) therefore corresponds to 1.0. Erector spinae density and pericardial fat density were constrained to anatomically plausible ranges prior to biomarker derivation (0.94-1.2 g/cm³ and 0.85-0.975 g/cm³ respectively); values outside these ranges were treated as missing. Trabecular bone density was constrained analogously, to 0-300 HU (density 1.0-1.3): the lower bound excludes non-physiological negative-HU readings, and the upper bound reflects that values above 300 HU are implausible for vertebral trabecular bone in this cohort’s age range. This upper threshold was set with reference to normative CT-based trabecular attenuation data (mean L1 attenuation 226 ± 44 HU under age 30, declining approximately 2.5 </w:t>
      </w:r>
      <w:r>
        <w:lastRenderedPageBreak/>
        <w:t>HU per year to 89 ± 38 HU at age 90 or older)</w:t>
      </w:r>
      <w:r w:rsidR="00E91829">
        <w:t xml:space="preserve"> </w:t>
      </w:r>
      <w:r w:rsidR="0080282B" w:rsidRPr="0080282B">
        <w:rPr>
          <w:color w:val="000000"/>
          <w:vertAlign w:val="superscript"/>
        </w:rPr>
        <w:t>2</w:t>
      </w:r>
      <w:r>
        <w:t>: extrapolated to this cohort’s age range (55-80 years), expected mean attenuation is approximately 108-164 HU, well below the 300 HU threshold applied here. 96 of 11,818 non-missing trabecular density readings (0.81%) exceeded this threshol</w:t>
      </w:r>
      <w:r w:rsidR="007F0B35">
        <w:t>d</w:t>
      </w:r>
      <w:r>
        <w:t xml:space="preserve">, most likely reflecting partial-volume </w:t>
      </w:r>
      <w:r w:rsidR="007F0B35">
        <w:t>artifacts</w:t>
      </w:r>
      <w:r>
        <w:t xml:space="preserve"> of cortical bone at the segmentation boundary rather than true trabecular signal.</w:t>
      </w:r>
      <w:bookmarkEnd w:id="6"/>
      <w:r w:rsidR="007F0B35">
        <w:t xml:space="preserve"> These measurements were set to </w:t>
      </w:r>
      <w:proofErr w:type="gramStart"/>
      <w:r w:rsidR="007F0B35">
        <w:t>missing</w:t>
      </w:r>
      <w:proofErr w:type="gramEnd"/>
      <w:r w:rsidR="007F0B35">
        <w:t xml:space="preserve"> for this analysis. </w:t>
      </w:r>
      <w:r w:rsidR="00EE53EC">
        <w:br w:type="page"/>
      </w:r>
    </w:p>
    <w:p w14:paraId="3EEB5280" w14:textId="77777777" w:rsidR="00E6639B" w:rsidRDefault="00E6639B" w:rsidP="002779F0">
      <w:pPr>
        <w:pStyle w:val="Heading1"/>
      </w:pPr>
      <w:bookmarkStart w:id="8" w:name="_Toc237015173"/>
      <w:r>
        <w:lastRenderedPageBreak/>
        <w:t>Disease course mapping</w:t>
      </w:r>
      <w:bookmarkEnd w:id="8"/>
    </w:p>
    <w:p w14:paraId="64C8D4F6" w14:textId="77777777" w:rsidR="00D90205" w:rsidRDefault="00D90205">
      <w:r w:rsidRPr="4B29E1AF">
        <w:t>The mixed-effects framework naturally accommodates missing biomarker data by estimating individual trajectories using all available observations for each subject, without requiring imputation or complete-case analysis. The Monte Carlo Markov Chain-Stochastic Approximation Expectation Maximization algorithm integrates over uncertainty in unobserved values during parameter estimation.</w:t>
      </w:r>
      <w:r>
        <w:t xml:space="preserve"> The final fitted progression is then mapped onto individual data to estimate the parameter of time-shift, </w:t>
      </w:r>
      <w:r w:rsidRPr="4B29E1AF">
        <w:rPr>
          <w:rFonts w:ascii="Cambria Math" w:hAnsi="Cambria Math" w:cs="Cambria Math"/>
        </w:rPr>
        <w:t>𝜏</w:t>
      </w:r>
      <w:proofErr w:type="spellStart"/>
      <w:r w:rsidRPr="4B29E1AF">
        <w:rPr>
          <w:rFonts w:ascii="Cambria Math" w:hAnsi="Cambria Math" w:cs="Cambria Math"/>
          <w:vertAlign w:val="subscript"/>
        </w:rPr>
        <w:t>i</w:t>
      </w:r>
      <w:proofErr w:type="spellEnd"/>
      <w:r w:rsidRPr="4B29E1AF">
        <w:rPr>
          <w:rFonts w:ascii="Cambria Math" w:hAnsi="Cambria Math" w:cs="Cambria Math"/>
          <w:vertAlign w:val="subscript"/>
        </w:rPr>
        <w:t xml:space="preserve">. </w:t>
      </w:r>
      <w:r>
        <w:t>for each participant, which estimates the age of onset of biomarker evolution.</w:t>
      </w:r>
    </w:p>
    <w:p w14:paraId="079ECC38" w14:textId="06098969" w:rsidR="00E6639B" w:rsidRDefault="00E6639B">
      <w:r w:rsidRPr="00E6639B">
        <w:t>Disease course mapping models achieved good fit across IECV folds (negative log-likelihood: -25,203, -25,177, and -28,244 for folds 0-2). Model noise parameters were highly consistent across folds, with residual standard deviations ranging from 0.045-0.082 across biomarkers (</w:t>
      </w:r>
      <w:r w:rsidR="005A2C63">
        <w:fldChar w:fldCharType="begin"/>
      </w:r>
      <w:r w:rsidR="005A2C63">
        <w:instrText xml:space="preserve"> REF _Ref237002832 \h </w:instrText>
      </w:r>
      <w:r w:rsidR="005A2C63">
        <w:fldChar w:fldCharType="separate"/>
      </w:r>
      <w:r w:rsidR="00AC2EF6">
        <w:t xml:space="preserve">Supplementary Table </w:t>
      </w:r>
      <w:r w:rsidR="00AC2EF6">
        <w:rPr>
          <w:noProof/>
        </w:rPr>
        <w:t>3</w:t>
      </w:r>
      <w:r w:rsidR="005A2C63">
        <w:fldChar w:fldCharType="end"/>
      </w:r>
      <w:r w:rsidRPr="00E6639B">
        <w:t>)</w:t>
      </w:r>
      <w:r>
        <w:t>.</w:t>
      </w:r>
      <w:r w:rsidR="00A40DBE">
        <w:t xml:space="preserve"> </w:t>
      </w:r>
    </w:p>
    <w:tbl>
      <w:tblPr>
        <w:tblStyle w:val="PlainTable3"/>
        <w:tblW w:w="9135" w:type="dxa"/>
        <w:tblLook w:val="04A0" w:firstRow="1" w:lastRow="0" w:firstColumn="1" w:lastColumn="0" w:noHBand="0" w:noVBand="1"/>
      </w:tblPr>
      <w:tblGrid>
        <w:gridCol w:w="902"/>
        <w:gridCol w:w="2377"/>
        <w:gridCol w:w="2315"/>
        <w:gridCol w:w="1595"/>
        <w:gridCol w:w="1946"/>
      </w:tblGrid>
      <w:tr w:rsidR="00A40DBE" w:rsidRPr="00DC28E5" w14:paraId="72A42D5F" w14:textId="77777777" w:rsidTr="003C34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09" w:type="dxa"/>
            <w:hideMark/>
          </w:tcPr>
          <w:p w14:paraId="720D3491" w14:textId="77777777" w:rsidR="00A40DBE" w:rsidRPr="00DC28E5" w:rsidRDefault="00A40DBE" w:rsidP="003C34D1">
            <w:pPr>
              <w:pStyle w:val="Tablebody"/>
            </w:pPr>
            <w:r>
              <w:t>Cluster</w:t>
            </w:r>
          </w:p>
        </w:tc>
        <w:tc>
          <w:tcPr>
            <w:tcW w:w="2505" w:type="dxa"/>
            <w:hideMark/>
          </w:tcPr>
          <w:p w14:paraId="7FA68FAA" w14:textId="77777777" w:rsidR="00A40DBE" w:rsidRPr="00DC28E5" w:rsidRDefault="00A40DBE" w:rsidP="003C34D1">
            <w:pPr>
              <w:pStyle w:val="Tablebody"/>
              <w:cnfStyle w:val="100000000000" w:firstRow="1" w:lastRow="0" w:firstColumn="0" w:lastColumn="0" w:oddVBand="0" w:evenVBand="0" w:oddHBand="0" w:evenHBand="0" w:firstRowFirstColumn="0" w:firstRowLastColumn="0" w:lastRowFirstColumn="0" w:lastRowLastColumn="0"/>
            </w:pPr>
            <w:r>
              <w:t>Erector Spinae Muscle Density</w:t>
            </w:r>
          </w:p>
        </w:tc>
        <w:tc>
          <w:tcPr>
            <w:tcW w:w="2391" w:type="dxa"/>
            <w:hideMark/>
          </w:tcPr>
          <w:p w14:paraId="33E269AA" w14:textId="77777777" w:rsidR="00A40DBE" w:rsidRPr="00DC28E5" w:rsidRDefault="00A40DBE" w:rsidP="003C34D1">
            <w:pPr>
              <w:pStyle w:val="Tablebody"/>
              <w:cnfStyle w:val="100000000000" w:firstRow="1" w:lastRow="0" w:firstColumn="0" w:lastColumn="0" w:oddVBand="0" w:evenVBand="0" w:oddHBand="0" w:evenHBand="0" w:firstRowFirstColumn="0" w:firstRowLastColumn="0" w:lastRowFirstColumn="0" w:lastRowLastColumn="0"/>
            </w:pPr>
            <w:r w:rsidRPr="00DC28E5">
              <w:t>Aortic Calcification</w:t>
            </w:r>
            <w:r>
              <w:t xml:space="preserve"> </w:t>
            </w:r>
          </w:p>
        </w:tc>
        <w:tc>
          <w:tcPr>
            <w:tcW w:w="1624" w:type="dxa"/>
            <w:hideMark/>
          </w:tcPr>
          <w:p w14:paraId="0FFC70CF" w14:textId="77777777" w:rsidR="00A40DBE" w:rsidRPr="00DC28E5" w:rsidRDefault="00A40DBE" w:rsidP="003C34D1">
            <w:pPr>
              <w:pStyle w:val="Tablebody"/>
              <w:cnfStyle w:val="100000000000" w:firstRow="1" w:lastRow="0" w:firstColumn="0" w:lastColumn="0" w:oddVBand="0" w:evenVBand="0" w:oddHBand="0" w:evenHBand="0" w:firstRowFirstColumn="0" w:firstRowLastColumn="0" w:lastRowFirstColumn="0" w:lastRowLastColumn="0"/>
            </w:pPr>
            <w:r w:rsidRPr="00DC28E5">
              <w:t>Pericardial Fat</w:t>
            </w:r>
            <w:r>
              <w:t xml:space="preserve"> Mass</w:t>
            </w:r>
          </w:p>
        </w:tc>
        <w:tc>
          <w:tcPr>
            <w:tcW w:w="2006" w:type="dxa"/>
            <w:hideMark/>
          </w:tcPr>
          <w:p w14:paraId="628064B4" w14:textId="77777777" w:rsidR="00A40DBE" w:rsidRPr="00DC28E5" w:rsidRDefault="00A40DBE" w:rsidP="003C34D1">
            <w:pPr>
              <w:pStyle w:val="Tablebody"/>
              <w:cnfStyle w:val="100000000000" w:firstRow="1" w:lastRow="0" w:firstColumn="0" w:lastColumn="0" w:oddVBand="0" w:evenVBand="0" w:oddHBand="0" w:evenHBand="0" w:firstRowFirstColumn="0" w:firstRowLastColumn="0" w:lastRowFirstColumn="0" w:lastRowLastColumn="0"/>
            </w:pPr>
            <w:r>
              <w:t>Trabecular Bone Density</w:t>
            </w:r>
          </w:p>
        </w:tc>
      </w:tr>
      <w:tr w:rsidR="00A40DBE" w:rsidRPr="00DC28E5" w14:paraId="100A399F"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 w:type="dxa"/>
            <w:hideMark/>
          </w:tcPr>
          <w:p w14:paraId="1F6D8981" w14:textId="77777777" w:rsidR="00A40DBE" w:rsidRPr="00DC28E5" w:rsidRDefault="00A40DBE" w:rsidP="003C34D1">
            <w:pPr>
              <w:pStyle w:val="Tablebody"/>
            </w:pPr>
            <w:r>
              <w:t>1</w:t>
            </w:r>
          </w:p>
        </w:tc>
        <w:tc>
          <w:tcPr>
            <w:tcW w:w="2505" w:type="dxa"/>
            <w:hideMark/>
          </w:tcPr>
          <w:p w14:paraId="4840D43B" w14:textId="77777777" w:rsidR="00A40DBE" w:rsidRPr="00DC28E5" w:rsidRDefault="00A40DBE" w:rsidP="003C34D1">
            <w:pPr>
              <w:pStyle w:val="Tablebody"/>
              <w:cnfStyle w:val="000000100000" w:firstRow="0" w:lastRow="0" w:firstColumn="0" w:lastColumn="0" w:oddVBand="0" w:evenVBand="0" w:oddHBand="1" w:evenHBand="0" w:firstRowFirstColumn="0" w:firstRowLastColumn="0" w:lastRowFirstColumn="0" w:lastRowLastColumn="0"/>
            </w:pPr>
            <w:r w:rsidRPr="00DC28E5">
              <w:t>8.19%</w:t>
            </w:r>
          </w:p>
        </w:tc>
        <w:tc>
          <w:tcPr>
            <w:tcW w:w="2391" w:type="dxa"/>
            <w:hideMark/>
          </w:tcPr>
          <w:p w14:paraId="7A1AC860" w14:textId="77777777" w:rsidR="00A40DBE" w:rsidRPr="00DC28E5" w:rsidRDefault="00A40DBE" w:rsidP="003C34D1">
            <w:pPr>
              <w:pStyle w:val="Tablebody"/>
              <w:cnfStyle w:val="000000100000" w:firstRow="0" w:lastRow="0" w:firstColumn="0" w:lastColumn="0" w:oddVBand="0" w:evenVBand="0" w:oddHBand="1" w:evenHBand="0" w:firstRowFirstColumn="0" w:firstRowLastColumn="0" w:lastRowFirstColumn="0" w:lastRowLastColumn="0"/>
            </w:pPr>
            <w:r w:rsidRPr="00DC28E5">
              <w:t>4.84%</w:t>
            </w:r>
          </w:p>
        </w:tc>
        <w:tc>
          <w:tcPr>
            <w:tcW w:w="1624" w:type="dxa"/>
            <w:hideMark/>
          </w:tcPr>
          <w:p w14:paraId="70860F1F" w14:textId="77777777" w:rsidR="00A40DBE" w:rsidRPr="00DC28E5" w:rsidRDefault="00A40DBE" w:rsidP="003C34D1">
            <w:pPr>
              <w:pStyle w:val="Tablebody"/>
              <w:cnfStyle w:val="000000100000" w:firstRow="0" w:lastRow="0" w:firstColumn="0" w:lastColumn="0" w:oddVBand="0" w:evenVBand="0" w:oddHBand="1" w:evenHBand="0" w:firstRowFirstColumn="0" w:firstRowLastColumn="0" w:lastRowFirstColumn="0" w:lastRowLastColumn="0"/>
            </w:pPr>
            <w:r w:rsidRPr="00DC28E5">
              <w:t>6.09%</w:t>
            </w:r>
          </w:p>
        </w:tc>
        <w:tc>
          <w:tcPr>
            <w:tcW w:w="2006" w:type="dxa"/>
            <w:hideMark/>
          </w:tcPr>
          <w:p w14:paraId="61FF0907" w14:textId="77777777" w:rsidR="00A40DBE" w:rsidRPr="00DC28E5" w:rsidRDefault="00A40DBE" w:rsidP="003C34D1">
            <w:pPr>
              <w:pStyle w:val="Tablebody"/>
              <w:cnfStyle w:val="000000100000" w:firstRow="0" w:lastRow="0" w:firstColumn="0" w:lastColumn="0" w:oddVBand="0" w:evenVBand="0" w:oddHBand="1" w:evenHBand="0" w:firstRowFirstColumn="0" w:firstRowLastColumn="0" w:lastRowFirstColumn="0" w:lastRowLastColumn="0"/>
            </w:pPr>
            <w:r w:rsidRPr="00DC28E5">
              <w:t>4.90%</w:t>
            </w:r>
          </w:p>
        </w:tc>
      </w:tr>
      <w:tr w:rsidR="00A40DBE" w:rsidRPr="00DC28E5" w14:paraId="7EADD25D" w14:textId="77777777" w:rsidTr="003C34D1">
        <w:tc>
          <w:tcPr>
            <w:cnfStyle w:val="001000000000" w:firstRow="0" w:lastRow="0" w:firstColumn="1" w:lastColumn="0" w:oddVBand="0" w:evenVBand="0" w:oddHBand="0" w:evenHBand="0" w:firstRowFirstColumn="0" w:firstRowLastColumn="0" w:lastRowFirstColumn="0" w:lastRowLastColumn="0"/>
            <w:tcW w:w="609" w:type="dxa"/>
            <w:hideMark/>
          </w:tcPr>
          <w:p w14:paraId="735147B3" w14:textId="77777777" w:rsidR="00A40DBE" w:rsidRPr="00DC28E5" w:rsidRDefault="00A40DBE" w:rsidP="003C34D1">
            <w:pPr>
              <w:pStyle w:val="Tablebody"/>
            </w:pPr>
            <w:r>
              <w:t>2</w:t>
            </w:r>
          </w:p>
        </w:tc>
        <w:tc>
          <w:tcPr>
            <w:tcW w:w="2505" w:type="dxa"/>
            <w:hideMark/>
          </w:tcPr>
          <w:p w14:paraId="10388E0C" w14:textId="77777777" w:rsidR="00A40DBE" w:rsidRPr="00DC28E5" w:rsidRDefault="00A40DBE" w:rsidP="003C34D1">
            <w:pPr>
              <w:pStyle w:val="Tablebody"/>
              <w:cnfStyle w:val="000000000000" w:firstRow="0" w:lastRow="0" w:firstColumn="0" w:lastColumn="0" w:oddVBand="0" w:evenVBand="0" w:oddHBand="0" w:evenHBand="0" w:firstRowFirstColumn="0" w:firstRowLastColumn="0" w:lastRowFirstColumn="0" w:lastRowLastColumn="0"/>
            </w:pPr>
            <w:r w:rsidRPr="00DC28E5">
              <w:t>8.07%</w:t>
            </w:r>
          </w:p>
        </w:tc>
        <w:tc>
          <w:tcPr>
            <w:tcW w:w="2391" w:type="dxa"/>
            <w:hideMark/>
          </w:tcPr>
          <w:p w14:paraId="64AE2B1D" w14:textId="77777777" w:rsidR="00A40DBE" w:rsidRPr="00DC28E5" w:rsidRDefault="00A40DBE" w:rsidP="003C34D1">
            <w:pPr>
              <w:pStyle w:val="Tablebody"/>
              <w:cnfStyle w:val="000000000000" w:firstRow="0" w:lastRow="0" w:firstColumn="0" w:lastColumn="0" w:oddVBand="0" w:evenVBand="0" w:oddHBand="0" w:evenHBand="0" w:firstRowFirstColumn="0" w:firstRowLastColumn="0" w:lastRowFirstColumn="0" w:lastRowLastColumn="0"/>
            </w:pPr>
            <w:r w:rsidRPr="00DC28E5">
              <w:t>4.52%</w:t>
            </w:r>
          </w:p>
        </w:tc>
        <w:tc>
          <w:tcPr>
            <w:tcW w:w="1624" w:type="dxa"/>
            <w:hideMark/>
          </w:tcPr>
          <w:p w14:paraId="08B8DFB0" w14:textId="77777777" w:rsidR="00A40DBE" w:rsidRPr="00DC28E5" w:rsidRDefault="00A40DBE" w:rsidP="003C34D1">
            <w:pPr>
              <w:pStyle w:val="Tablebody"/>
              <w:cnfStyle w:val="000000000000" w:firstRow="0" w:lastRow="0" w:firstColumn="0" w:lastColumn="0" w:oddVBand="0" w:evenVBand="0" w:oddHBand="0" w:evenHBand="0" w:firstRowFirstColumn="0" w:firstRowLastColumn="0" w:lastRowFirstColumn="0" w:lastRowLastColumn="0"/>
            </w:pPr>
            <w:r w:rsidRPr="00DC28E5">
              <w:t>5.94%</w:t>
            </w:r>
          </w:p>
        </w:tc>
        <w:tc>
          <w:tcPr>
            <w:tcW w:w="2006" w:type="dxa"/>
            <w:hideMark/>
          </w:tcPr>
          <w:p w14:paraId="376A28D9" w14:textId="77777777" w:rsidR="00A40DBE" w:rsidRPr="00DC28E5" w:rsidRDefault="00A40DBE" w:rsidP="003C34D1">
            <w:pPr>
              <w:pStyle w:val="Tablebody"/>
              <w:cnfStyle w:val="000000000000" w:firstRow="0" w:lastRow="0" w:firstColumn="0" w:lastColumn="0" w:oddVBand="0" w:evenVBand="0" w:oddHBand="0" w:evenHBand="0" w:firstRowFirstColumn="0" w:firstRowLastColumn="0" w:lastRowFirstColumn="0" w:lastRowLastColumn="0"/>
            </w:pPr>
            <w:r w:rsidRPr="00DC28E5">
              <w:t>4.91%</w:t>
            </w:r>
          </w:p>
        </w:tc>
      </w:tr>
      <w:tr w:rsidR="00A40DBE" w:rsidRPr="00DC28E5" w14:paraId="7C8C0CC1"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 w:type="dxa"/>
            <w:hideMark/>
          </w:tcPr>
          <w:p w14:paraId="6D6C2933" w14:textId="77777777" w:rsidR="00A40DBE" w:rsidRPr="00DC28E5" w:rsidRDefault="00A40DBE" w:rsidP="003C34D1">
            <w:pPr>
              <w:pStyle w:val="Tablebody"/>
            </w:pPr>
            <w:r>
              <w:t>3</w:t>
            </w:r>
          </w:p>
        </w:tc>
        <w:tc>
          <w:tcPr>
            <w:tcW w:w="2505" w:type="dxa"/>
            <w:hideMark/>
          </w:tcPr>
          <w:p w14:paraId="69758DA0" w14:textId="77777777" w:rsidR="00A40DBE" w:rsidRPr="00DC28E5" w:rsidRDefault="00A40DBE" w:rsidP="003C34D1">
            <w:pPr>
              <w:pStyle w:val="Tablebody"/>
              <w:cnfStyle w:val="000000100000" w:firstRow="0" w:lastRow="0" w:firstColumn="0" w:lastColumn="0" w:oddVBand="0" w:evenVBand="0" w:oddHBand="1" w:evenHBand="0" w:firstRowFirstColumn="0" w:firstRowLastColumn="0" w:lastRowFirstColumn="0" w:lastRowLastColumn="0"/>
            </w:pPr>
            <w:r w:rsidRPr="00DC28E5">
              <w:t>8.18%</w:t>
            </w:r>
          </w:p>
        </w:tc>
        <w:tc>
          <w:tcPr>
            <w:tcW w:w="2391" w:type="dxa"/>
            <w:hideMark/>
          </w:tcPr>
          <w:p w14:paraId="5DC715F4" w14:textId="77777777" w:rsidR="00A40DBE" w:rsidRPr="00DC28E5" w:rsidRDefault="00A40DBE" w:rsidP="003C34D1">
            <w:pPr>
              <w:pStyle w:val="Tablebody"/>
              <w:cnfStyle w:val="000000100000" w:firstRow="0" w:lastRow="0" w:firstColumn="0" w:lastColumn="0" w:oddVBand="0" w:evenVBand="0" w:oddHBand="1" w:evenHBand="0" w:firstRowFirstColumn="0" w:firstRowLastColumn="0" w:lastRowFirstColumn="0" w:lastRowLastColumn="0"/>
            </w:pPr>
            <w:r w:rsidRPr="00DC28E5">
              <w:t>4.74%</w:t>
            </w:r>
          </w:p>
        </w:tc>
        <w:tc>
          <w:tcPr>
            <w:tcW w:w="1624" w:type="dxa"/>
            <w:hideMark/>
          </w:tcPr>
          <w:p w14:paraId="39A221E2" w14:textId="77777777" w:rsidR="00A40DBE" w:rsidRPr="00DC28E5" w:rsidRDefault="00A40DBE" w:rsidP="003C34D1">
            <w:pPr>
              <w:pStyle w:val="Tablebody"/>
              <w:cnfStyle w:val="000000100000" w:firstRow="0" w:lastRow="0" w:firstColumn="0" w:lastColumn="0" w:oddVBand="0" w:evenVBand="0" w:oddHBand="1" w:evenHBand="0" w:firstRowFirstColumn="0" w:firstRowLastColumn="0" w:lastRowFirstColumn="0" w:lastRowLastColumn="0"/>
            </w:pPr>
            <w:r w:rsidRPr="00DC28E5">
              <w:t>6.01%</w:t>
            </w:r>
          </w:p>
        </w:tc>
        <w:tc>
          <w:tcPr>
            <w:tcW w:w="2006" w:type="dxa"/>
            <w:hideMark/>
          </w:tcPr>
          <w:p w14:paraId="1BFAB8B1" w14:textId="77777777" w:rsidR="00A40DBE" w:rsidRPr="00DC28E5" w:rsidRDefault="00A40DBE" w:rsidP="003C34D1">
            <w:pPr>
              <w:pStyle w:val="Tablebody"/>
              <w:cnfStyle w:val="000000100000" w:firstRow="0" w:lastRow="0" w:firstColumn="0" w:lastColumn="0" w:oddVBand="0" w:evenVBand="0" w:oddHBand="1" w:evenHBand="0" w:firstRowFirstColumn="0" w:firstRowLastColumn="0" w:lastRowFirstColumn="0" w:lastRowLastColumn="0"/>
            </w:pPr>
            <w:r w:rsidRPr="00DC28E5">
              <w:t>4.85%</w:t>
            </w:r>
          </w:p>
        </w:tc>
      </w:tr>
    </w:tbl>
    <w:p w14:paraId="23D239A2" w14:textId="77777777" w:rsidR="00A40DBE" w:rsidRDefault="00A40DBE" w:rsidP="00A40DBE">
      <w:pPr>
        <w:spacing w:after="160" w:line="279" w:lineRule="auto"/>
      </w:pPr>
    </w:p>
    <w:p w14:paraId="52F9B685" w14:textId="5CFC7610" w:rsidR="00B13C75" w:rsidRDefault="00B13C75" w:rsidP="003B4C19">
      <w:pPr>
        <w:pStyle w:val="Caption"/>
      </w:pPr>
      <w:bookmarkStart w:id="9" w:name="_Ref237002832"/>
      <w:bookmarkStart w:id="10" w:name="_Toc237015185"/>
      <w:r>
        <w:t xml:space="preserve">Supplementary Table </w:t>
      </w:r>
      <w:fldSimple w:instr=" SEQ Supplementary_Table \* ARABIC ">
        <w:r w:rsidR="00AC2EF6">
          <w:rPr>
            <w:noProof/>
          </w:rPr>
          <w:t>3</w:t>
        </w:r>
      </w:fldSimple>
      <w:bookmarkEnd w:id="9"/>
      <w:r w:rsidR="00A40DBE" w:rsidRPr="007B28D7">
        <w:t xml:space="preserve">. Disease course mapping model </w:t>
      </w:r>
      <w:r w:rsidR="00A40DBE">
        <w:t>residual noise parameters</w:t>
      </w:r>
      <w:r w:rsidR="00A40DBE" w:rsidRPr="007B28D7">
        <w:t xml:space="preserve"> across internal-external cross-validation </w:t>
      </w:r>
      <w:r w:rsidR="00A40DBE">
        <w:t>clusters</w:t>
      </w:r>
      <w:r w:rsidR="00A40DBE" w:rsidRPr="007B28D7">
        <w:t>.</w:t>
      </w:r>
      <w:bookmarkEnd w:id="10"/>
      <w:r w:rsidR="00A40DBE">
        <w:t xml:space="preserve"> </w:t>
      </w:r>
    </w:p>
    <w:p w14:paraId="50DBEEC5" w14:textId="77777777" w:rsidR="00A40DBE" w:rsidRPr="007B28D7" w:rsidRDefault="00A40DBE" w:rsidP="003B4C19">
      <w:pPr>
        <w:pStyle w:val="Caption"/>
      </w:pPr>
      <w:r w:rsidRPr="000020AE">
        <w:t xml:space="preserve">Residual standard deviations for each biomarker under a Gaussian diagonal noise model (independent, normally distributed errors per feature). Values indicate measurement variability unexplained by the fitted aging trajectories. Consistency across </w:t>
      </w:r>
      <w:r>
        <w:t>clusters</w:t>
      </w:r>
      <w:r w:rsidRPr="000020AE">
        <w:t xml:space="preserve"> demonstrates stable model performance across geographic sites.</w:t>
      </w:r>
    </w:p>
    <w:p w14:paraId="2063EF55" w14:textId="77777777" w:rsidR="00EE53EC" w:rsidRDefault="00EE53EC">
      <w:pPr>
        <w:spacing w:after="160" w:line="279" w:lineRule="auto"/>
        <w:rPr>
          <w:color w:val="0F4761" w:themeColor="accent1" w:themeShade="BF"/>
          <w:sz w:val="36"/>
          <w:szCs w:val="36"/>
        </w:rPr>
      </w:pPr>
      <w:r>
        <w:br w:type="page"/>
      </w:r>
    </w:p>
    <w:p w14:paraId="34E15BB5" w14:textId="77777777" w:rsidR="32EE4807" w:rsidRDefault="32EE4807" w:rsidP="002779F0">
      <w:pPr>
        <w:pStyle w:val="Heading1"/>
      </w:pPr>
      <w:bookmarkStart w:id="11" w:name="_Toc237015174"/>
      <w:r>
        <w:lastRenderedPageBreak/>
        <w:t>Internal-external Cross Validation</w:t>
      </w:r>
      <w:bookmarkEnd w:id="11"/>
    </w:p>
    <w:p w14:paraId="448801B3" w14:textId="77777777" w:rsidR="002828C9" w:rsidRDefault="002828C9">
      <w:r>
        <w:t xml:space="preserve">The Internal-External Cross Validation (IECV) workflow applied to both disease course mapping, as well as competing risks survival analysis. Model development steps were performed for 2 regions and evaluated on the region held out for evaluation. Similarly, for disease course mapping, all data were used for model development </w:t>
      </w:r>
      <w:proofErr w:type="gramStart"/>
      <w:r>
        <w:t>on</w:t>
      </w:r>
      <w:proofErr w:type="gramEnd"/>
      <w:r>
        <w:t xml:space="preserve"> 2 regions, but only baseline data were used for inference on the third held out region.</w:t>
      </w:r>
    </w:p>
    <w:p w14:paraId="30B60CCA" w14:textId="77777777" w:rsidR="3D0E03CE" w:rsidRDefault="3D0E03CE">
      <w:r>
        <w:t>The geographical regions</w:t>
      </w:r>
      <w:r w:rsidR="054CFDF8">
        <w:t xml:space="preserve"> used for this purpose were modelled using the geocode standards of International Territorial Level (ITL) from the Office for National Statistics (ONS), the stat</w:t>
      </w:r>
      <w:r w:rsidR="1A492C16">
        <w:t>istical classification framework equivalent to the European Statistical System’s Nomenclature of Territorial Units for Statistics (NUTS).</w:t>
      </w:r>
    </w:p>
    <w:p w14:paraId="53157647" w14:textId="1711FF54" w:rsidR="004E75FE" w:rsidRDefault="5E0D0F0E" w:rsidP="4B29E1AF">
      <w:r>
        <w:t xml:space="preserve">Since SUMMIT recruited in London </w:t>
      </w:r>
      <w:r w:rsidR="4A0E88DB">
        <w:t>using primary care records from practices in north-central and northeast London, the geographical distribution of participants mirrors this</w:t>
      </w:r>
      <w:r w:rsidR="7AF0178C">
        <w:t xml:space="preserve"> </w:t>
      </w:r>
      <w:r w:rsidR="0080282B" w:rsidRPr="0080282B">
        <w:rPr>
          <w:color w:val="000000"/>
          <w:vertAlign w:val="superscript"/>
        </w:rPr>
        <w:t>3</w:t>
      </w:r>
      <w:r w:rsidR="7AF0178C">
        <w:t>.</w:t>
      </w:r>
      <w:r w:rsidR="4A0E88DB">
        <w:t xml:space="preserve"> </w:t>
      </w:r>
      <w:r w:rsidR="15B522F2">
        <w:t xml:space="preserve">The numbers of participants from each </w:t>
      </w:r>
      <w:r w:rsidR="3C07EE5E">
        <w:t>territorial unit</w:t>
      </w:r>
      <w:r w:rsidR="0F3A8863">
        <w:t>, as well as the IECV cluster assignment,</w:t>
      </w:r>
      <w:r w:rsidR="3C07EE5E">
        <w:t xml:space="preserve"> are presented in </w:t>
      </w:r>
      <w:r w:rsidR="005A2C63">
        <w:fldChar w:fldCharType="begin"/>
      </w:r>
      <w:r w:rsidR="005A2C63">
        <w:instrText xml:space="preserve"> REF _Ref237002858 \h </w:instrText>
      </w:r>
      <w:r w:rsidR="005A2C63">
        <w:fldChar w:fldCharType="separate"/>
      </w:r>
      <w:r w:rsidR="00AC2EF6">
        <w:t xml:space="preserve">Supplementary Table </w:t>
      </w:r>
      <w:r w:rsidR="00AC2EF6">
        <w:rPr>
          <w:noProof/>
        </w:rPr>
        <w:t>4</w:t>
      </w:r>
      <w:r w:rsidR="005A2C63">
        <w:fldChar w:fldCharType="end"/>
      </w:r>
      <w:r w:rsidR="3C07EE5E">
        <w:t xml:space="preserve">. </w:t>
      </w:r>
      <w:r w:rsidR="00534692">
        <w:t>C</w:t>
      </w:r>
      <w:r w:rsidR="00534692" w:rsidRPr="4B29E1AF">
        <w:t xml:space="preserve">luster 1 </w:t>
      </w:r>
      <w:r w:rsidR="00F525E6">
        <w:t>had</w:t>
      </w:r>
      <w:r w:rsidR="00534692" w:rsidRPr="4B29E1AF">
        <w:t xml:space="preserve"> 4,650 participants (11,030 scans); cluster 2 </w:t>
      </w:r>
      <w:r w:rsidR="00F525E6">
        <w:t>had</w:t>
      </w:r>
      <w:r w:rsidR="00534692" w:rsidRPr="4B29E1AF">
        <w:t xml:space="preserve"> 4,714 participants (11,140 scans); and cluster 3 </w:t>
      </w:r>
      <w:r w:rsidR="00F525E6">
        <w:t>had</w:t>
      </w:r>
      <w:r w:rsidR="00534692" w:rsidRPr="4B29E1AF">
        <w:t xml:space="preserve"> 3,116 participants (7,575 scans).</w:t>
      </w:r>
      <w:r w:rsidR="3F647B75">
        <w:t xml:space="preserve"> </w:t>
      </w:r>
      <w:r w:rsidR="00F525E6">
        <w:t xml:space="preserve">The clusters correspond to East Inner London (Cluster 1); East and </w:t>
      </w:r>
      <w:proofErr w:type="gramStart"/>
      <w:r w:rsidR="00F525E6">
        <w:t>North East</w:t>
      </w:r>
      <w:proofErr w:type="gramEnd"/>
      <w:r w:rsidR="00F525E6">
        <w:t xml:space="preserve"> Outer London (Cluster 2); and West Inner London, East of England, South, West and </w:t>
      </w:r>
      <w:proofErr w:type="gramStart"/>
      <w:r w:rsidR="00F525E6">
        <w:t>North West</w:t>
      </w:r>
      <w:proofErr w:type="gramEnd"/>
      <w:r w:rsidR="00F525E6">
        <w:t xml:space="preserve"> Outer London, the </w:t>
      </w:r>
      <w:proofErr w:type="gramStart"/>
      <w:r w:rsidR="00F525E6">
        <w:t>South East</w:t>
      </w:r>
      <w:proofErr w:type="gramEnd"/>
      <w:r w:rsidR="00F525E6">
        <w:t xml:space="preserve"> and </w:t>
      </w:r>
      <w:proofErr w:type="gramStart"/>
      <w:r w:rsidR="00F525E6">
        <w:t>South West</w:t>
      </w:r>
      <w:proofErr w:type="gramEnd"/>
      <w:r w:rsidR="00F525E6">
        <w:t xml:space="preserve"> (Cluster 3).</w:t>
      </w:r>
    </w:p>
    <w:p w14:paraId="796753E9" w14:textId="77777777" w:rsidR="004E75FE" w:rsidRDefault="004E75FE">
      <w:pPr>
        <w:spacing w:after="160" w:line="279" w:lineRule="auto"/>
      </w:pPr>
      <w:r>
        <w:br w:type="page"/>
      </w:r>
    </w:p>
    <w:tbl>
      <w:tblPr>
        <w:tblStyle w:val="PlainTable3"/>
        <w:tblW w:w="0" w:type="auto"/>
        <w:tblLook w:val="04A0" w:firstRow="1" w:lastRow="0" w:firstColumn="1" w:lastColumn="0" w:noHBand="0" w:noVBand="1"/>
      </w:tblPr>
      <w:tblGrid>
        <w:gridCol w:w="2970"/>
        <w:gridCol w:w="3480"/>
        <w:gridCol w:w="986"/>
        <w:gridCol w:w="1579"/>
      </w:tblGrid>
      <w:tr w:rsidR="003067D6" w14:paraId="759A26D1" w14:textId="77777777" w:rsidTr="003C34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0" w:type="dxa"/>
          </w:tcPr>
          <w:p w14:paraId="0C0B14D9" w14:textId="77777777" w:rsidR="003067D6" w:rsidRDefault="003067D6" w:rsidP="003C34D1">
            <w:pPr>
              <w:pStyle w:val="Tablebody"/>
            </w:pPr>
          </w:p>
        </w:tc>
        <w:tc>
          <w:tcPr>
            <w:tcW w:w="3480" w:type="dxa"/>
          </w:tcPr>
          <w:p w14:paraId="202B7E68" w14:textId="77777777" w:rsidR="003067D6" w:rsidRDefault="003067D6" w:rsidP="003C34D1">
            <w:pPr>
              <w:pStyle w:val="Tablebody"/>
              <w:cnfStyle w:val="100000000000" w:firstRow="1" w:lastRow="0" w:firstColumn="0" w:lastColumn="0" w:oddVBand="0" w:evenVBand="0" w:oddHBand="0" w:evenHBand="0" w:firstRowFirstColumn="0" w:firstRowLastColumn="0" w:lastRowFirstColumn="0" w:lastRowLastColumn="0"/>
            </w:pPr>
            <w:r>
              <w:t>International Territorial Level</w:t>
            </w:r>
          </w:p>
        </w:tc>
        <w:tc>
          <w:tcPr>
            <w:tcW w:w="986" w:type="dxa"/>
          </w:tcPr>
          <w:p w14:paraId="3F9D30C0" w14:textId="77777777" w:rsidR="003067D6" w:rsidRDefault="003067D6" w:rsidP="003C34D1">
            <w:pPr>
              <w:pStyle w:val="Tablebody"/>
              <w:cnfStyle w:val="100000000000" w:firstRow="1" w:lastRow="0" w:firstColumn="0" w:lastColumn="0" w:oddVBand="0" w:evenVBand="0" w:oddHBand="0" w:evenHBand="0" w:firstRowFirstColumn="0" w:firstRowLastColumn="0" w:lastRowFirstColumn="0" w:lastRowLastColumn="0"/>
            </w:pPr>
            <w:r>
              <w:t>IECV Group</w:t>
            </w:r>
          </w:p>
        </w:tc>
        <w:tc>
          <w:tcPr>
            <w:tcW w:w="1579" w:type="dxa"/>
          </w:tcPr>
          <w:p w14:paraId="0C640ED8" w14:textId="77777777" w:rsidR="003067D6" w:rsidRDefault="003067D6" w:rsidP="003C34D1">
            <w:pPr>
              <w:pStyle w:val="Tablebody"/>
              <w:cnfStyle w:val="100000000000" w:firstRow="1" w:lastRow="0" w:firstColumn="0" w:lastColumn="0" w:oddVBand="0" w:evenVBand="0" w:oddHBand="0" w:evenHBand="0" w:firstRowFirstColumn="0" w:firstRowLastColumn="0" w:lastRowFirstColumn="0" w:lastRowLastColumn="0"/>
            </w:pPr>
            <w:r>
              <w:t>No. of participants</w:t>
            </w:r>
          </w:p>
        </w:tc>
      </w:tr>
      <w:tr w:rsidR="003067D6" w14:paraId="50330CA6"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val="restart"/>
          </w:tcPr>
          <w:p w14:paraId="35D02287" w14:textId="77777777" w:rsidR="003067D6" w:rsidRDefault="003067D6" w:rsidP="003C34D1">
            <w:pPr>
              <w:pStyle w:val="Tablebody"/>
            </w:pPr>
            <w:r>
              <w:t>East of England</w:t>
            </w:r>
          </w:p>
        </w:tc>
        <w:tc>
          <w:tcPr>
            <w:tcW w:w="3480" w:type="dxa"/>
          </w:tcPr>
          <w:p w14:paraId="0CC95F9A"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Basildon</w:t>
            </w:r>
          </w:p>
        </w:tc>
        <w:tc>
          <w:tcPr>
            <w:tcW w:w="986" w:type="dxa"/>
          </w:tcPr>
          <w:p w14:paraId="24654028"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3</w:t>
            </w:r>
          </w:p>
        </w:tc>
        <w:tc>
          <w:tcPr>
            <w:tcW w:w="1579" w:type="dxa"/>
          </w:tcPr>
          <w:p w14:paraId="5B5B149F"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2</w:t>
            </w:r>
          </w:p>
        </w:tc>
      </w:tr>
      <w:tr w:rsidR="003067D6" w14:paraId="6ED311CC"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tcPr>
          <w:p w14:paraId="517923EE" w14:textId="77777777" w:rsidR="003067D6" w:rsidRDefault="003067D6" w:rsidP="003C34D1"/>
        </w:tc>
        <w:tc>
          <w:tcPr>
            <w:tcW w:w="3480" w:type="dxa"/>
          </w:tcPr>
          <w:p w14:paraId="2F644352"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Brentwood</w:t>
            </w:r>
          </w:p>
        </w:tc>
        <w:tc>
          <w:tcPr>
            <w:tcW w:w="986" w:type="dxa"/>
          </w:tcPr>
          <w:p w14:paraId="34775CCF"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579" w:type="dxa"/>
          </w:tcPr>
          <w:p w14:paraId="623037A1"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3</w:t>
            </w:r>
          </w:p>
        </w:tc>
      </w:tr>
      <w:tr w:rsidR="003067D6" w14:paraId="7454745D"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tcPr>
          <w:p w14:paraId="325EB80B" w14:textId="77777777" w:rsidR="003067D6" w:rsidRDefault="003067D6" w:rsidP="003C34D1"/>
        </w:tc>
        <w:tc>
          <w:tcPr>
            <w:tcW w:w="3480" w:type="dxa"/>
          </w:tcPr>
          <w:p w14:paraId="76C75E6D"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Broxbourne</w:t>
            </w:r>
          </w:p>
        </w:tc>
        <w:tc>
          <w:tcPr>
            <w:tcW w:w="986" w:type="dxa"/>
          </w:tcPr>
          <w:p w14:paraId="597E7308"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3</w:t>
            </w:r>
          </w:p>
        </w:tc>
        <w:tc>
          <w:tcPr>
            <w:tcW w:w="1579" w:type="dxa"/>
          </w:tcPr>
          <w:p w14:paraId="630FE86C"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5</w:t>
            </w:r>
          </w:p>
        </w:tc>
      </w:tr>
      <w:tr w:rsidR="003067D6" w14:paraId="205060BC"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tcPr>
          <w:p w14:paraId="6700FAA9" w14:textId="77777777" w:rsidR="003067D6" w:rsidRDefault="003067D6" w:rsidP="003C34D1"/>
        </w:tc>
        <w:tc>
          <w:tcPr>
            <w:tcW w:w="3480" w:type="dxa"/>
          </w:tcPr>
          <w:p w14:paraId="2B9D0E5F"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Castle Point</w:t>
            </w:r>
          </w:p>
        </w:tc>
        <w:tc>
          <w:tcPr>
            <w:tcW w:w="986" w:type="dxa"/>
          </w:tcPr>
          <w:p w14:paraId="433D1858"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579" w:type="dxa"/>
          </w:tcPr>
          <w:p w14:paraId="19DBCCE6"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w:t>
            </w:r>
          </w:p>
        </w:tc>
      </w:tr>
      <w:tr w:rsidR="003067D6" w14:paraId="0C4B3C53"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tcPr>
          <w:p w14:paraId="469BC338" w14:textId="77777777" w:rsidR="003067D6" w:rsidRDefault="003067D6" w:rsidP="003C34D1"/>
        </w:tc>
        <w:tc>
          <w:tcPr>
            <w:tcW w:w="3480" w:type="dxa"/>
          </w:tcPr>
          <w:p w14:paraId="609D1AA7"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Chelmsford</w:t>
            </w:r>
          </w:p>
        </w:tc>
        <w:tc>
          <w:tcPr>
            <w:tcW w:w="986" w:type="dxa"/>
          </w:tcPr>
          <w:p w14:paraId="0614544F"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3</w:t>
            </w:r>
          </w:p>
        </w:tc>
        <w:tc>
          <w:tcPr>
            <w:tcW w:w="1579" w:type="dxa"/>
          </w:tcPr>
          <w:p w14:paraId="54F313CB"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w:t>
            </w:r>
          </w:p>
        </w:tc>
      </w:tr>
      <w:tr w:rsidR="003067D6" w14:paraId="3B89463A"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tcPr>
          <w:p w14:paraId="3D55ED02" w14:textId="77777777" w:rsidR="003067D6" w:rsidRDefault="003067D6" w:rsidP="003C34D1"/>
        </w:tc>
        <w:tc>
          <w:tcPr>
            <w:tcW w:w="3480" w:type="dxa"/>
          </w:tcPr>
          <w:p w14:paraId="247229B0"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East Hertfordshire</w:t>
            </w:r>
          </w:p>
        </w:tc>
        <w:tc>
          <w:tcPr>
            <w:tcW w:w="986" w:type="dxa"/>
          </w:tcPr>
          <w:p w14:paraId="4AB6151C"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579" w:type="dxa"/>
          </w:tcPr>
          <w:p w14:paraId="4654BAA6"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w:t>
            </w:r>
          </w:p>
        </w:tc>
      </w:tr>
      <w:tr w:rsidR="003067D6" w14:paraId="1DFCD986"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tcPr>
          <w:p w14:paraId="1C57E355" w14:textId="77777777" w:rsidR="003067D6" w:rsidRDefault="003067D6" w:rsidP="003C34D1"/>
        </w:tc>
        <w:tc>
          <w:tcPr>
            <w:tcW w:w="3480" w:type="dxa"/>
          </w:tcPr>
          <w:p w14:paraId="72B8F98F"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Epping Forest</w:t>
            </w:r>
          </w:p>
        </w:tc>
        <w:tc>
          <w:tcPr>
            <w:tcW w:w="986" w:type="dxa"/>
          </w:tcPr>
          <w:p w14:paraId="3D4AE04E"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3</w:t>
            </w:r>
          </w:p>
        </w:tc>
        <w:tc>
          <w:tcPr>
            <w:tcW w:w="1579" w:type="dxa"/>
          </w:tcPr>
          <w:p w14:paraId="7C8BE5D3"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18</w:t>
            </w:r>
          </w:p>
        </w:tc>
      </w:tr>
      <w:tr w:rsidR="003067D6" w14:paraId="2671CD8E"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tcPr>
          <w:p w14:paraId="0831A58D" w14:textId="77777777" w:rsidR="003067D6" w:rsidRDefault="003067D6" w:rsidP="003C34D1"/>
        </w:tc>
        <w:tc>
          <w:tcPr>
            <w:tcW w:w="3480" w:type="dxa"/>
          </w:tcPr>
          <w:p w14:paraId="73A8CAB7"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Hertsmere</w:t>
            </w:r>
          </w:p>
        </w:tc>
        <w:tc>
          <w:tcPr>
            <w:tcW w:w="986" w:type="dxa"/>
          </w:tcPr>
          <w:p w14:paraId="2D75CD09"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579" w:type="dxa"/>
          </w:tcPr>
          <w:p w14:paraId="1B47A42B"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2</w:t>
            </w:r>
          </w:p>
        </w:tc>
      </w:tr>
      <w:tr w:rsidR="003067D6" w14:paraId="322ADA64"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tcPr>
          <w:p w14:paraId="76E78272" w14:textId="77777777" w:rsidR="003067D6" w:rsidRDefault="003067D6" w:rsidP="003C34D1"/>
        </w:tc>
        <w:tc>
          <w:tcPr>
            <w:tcW w:w="3480" w:type="dxa"/>
          </w:tcPr>
          <w:p w14:paraId="2A8442A8"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Rochford</w:t>
            </w:r>
          </w:p>
        </w:tc>
        <w:tc>
          <w:tcPr>
            <w:tcW w:w="986" w:type="dxa"/>
          </w:tcPr>
          <w:p w14:paraId="2EFDE898"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3</w:t>
            </w:r>
          </w:p>
        </w:tc>
        <w:tc>
          <w:tcPr>
            <w:tcW w:w="1579" w:type="dxa"/>
          </w:tcPr>
          <w:p w14:paraId="5DD0E695"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w:t>
            </w:r>
          </w:p>
        </w:tc>
      </w:tr>
      <w:tr w:rsidR="003067D6" w14:paraId="3DB435B0"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tcPr>
          <w:p w14:paraId="3108F643" w14:textId="77777777" w:rsidR="003067D6" w:rsidRDefault="003067D6" w:rsidP="003C34D1"/>
        </w:tc>
        <w:tc>
          <w:tcPr>
            <w:tcW w:w="3480" w:type="dxa"/>
          </w:tcPr>
          <w:p w14:paraId="3FDC2A34"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South Cambridgeshire</w:t>
            </w:r>
          </w:p>
        </w:tc>
        <w:tc>
          <w:tcPr>
            <w:tcW w:w="986" w:type="dxa"/>
          </w:tcPr>
          <w:p w14:paraId="7C4BD9C4"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579" w:type="dxa"/>
          </w:tcPr>
          <w:p w14:paraId="04EE1BFC"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w:t>
            </w:r>
          </w:p>
        </w:tc>
      </w:tr>
      <w:tr w:rsidR="003067D6" w14:paraId="57AC36F4"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tcPr>
          <w:p w14:paraId="457C820B" w14:textId="77777777" w:rsidR="003067D6" w:rsidRDefault="003067D6" w:rsidP="003C34D1"/>
        </w:tc>
        <w:tc>
          <w:tcPr>
            <w:tcW w:w="3480" w:type="dxa"/>
          </w:tcPr>
          <w:p w14:paraId="5495C96B"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Southend-on-Sea</w:t>
            </w:r>
          </w:p>
        </w:tc>
        <w:tc>
          <w:tcPr>
            <w:tcW w:w="986" w:type="dxa"/>
          </w:tcPr>
          <w:p w14:paraId="115CFD84"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3</w:t>
            </w:r>
          </w:p>
        </w:tc>
        <w:tc>
          <w:tcPr>
            <w:tcW w:w="1579" w:type="dxa"/>
          </w:tcPr>
          <w:p w14:paraId="37767D28"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w:t>
            </w:r>
          </w:p>
        </w:tc>
      </w:tr>
      <w:tr w:rsidR="003067D6" w14:paraId="45E1E9F5"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tcPr>
          <w:p w14:paraId="04C51D2A" w14:textId="77777777" w:rsidR="003067D6" w:rsidRDefault="003067D6" w:rsidP="003C34D1"/>
        </w:tc>
        <w:tc>
          <w:tcPr>
            <w:tcW w:w="3480" w:type="dxa"/>
          </w:tcPr>
          <w:p w14:paraId="18FC84AA"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Tendring</w:t>
            </w:r>
          </w:p>
        </w:tc>
        <w:tc>
          <w:tcPr>
            <w:tcW w:w="986" w:type="dxa"/>
          </w:tcPr>
          <w:p w14:paraId="2A7A2E46"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579" w:type="dxa"/>
          </w:tcPr>
          <w:p w14:paraId="2C4DF5F8"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w:t>
            </w:r>
          </w:p>
        </w:tc>
      </w:tr>
      <w:tr w:rsidR="003067D6" w14:paraId="44DDF3F3"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tcPr>
          <w:p w14:paraId="06D9450F" w14:textId="77777777" w:rsidR="003067D6" w:rsidRDefault="003067D6" w:rsidP="003C34D1"/>
        </w:tc>
        <w:tc>
          <w:tcPr>
            <w:tcW w:w="3480" w:type="dxa"/>
          </w:tcPr>
          <w:p w14:paraId="583AF6E3"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Thurrock</w:t>
            </w:r>
          </w:p>
        </w:tc>
        <w:tc>
          <w:tcPr>
            <w:tcW w:w="986" w:type="dxa"/>
          </w:tcPr>
          <w:p w14:paraId="691E4345"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3</w:t>
            </w:r>
          </w:p>
        </w:tc>
        <w:tc>
          <w:tcPr>
            <w:tcW w:w="1579" w:type="dxa"/>
          </w:tcPr>
          <w:p w14:paraId="4907A1FB"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6</w:t>
            </w:r>
          </w:p>
        </w:tc>
      </w:tr>
      <w:tr w:rsidR="003067D6" w14:paraId="37B903CE"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tcPr>
          <w:p w14:paraId="11E47BFC" w14:textId="77777777" w:rsidR="003067D6" w:rsidRDefault="003067D6" w:rsidP="003C34D1"/>
        </w:tc>
        <w:tc>
          <w:tcPr>
            <w:tcW w:w="3480" w:type="dxa"/>
          </w:tcPr>
          <w:p w14:paraId="057529B3"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Watford</w:t>
            </w:r>
          </w:p>
        </w:tc>
        <w:tc>
          <w:tcPr>
            <w:tcW w:w="986" w:type="dxa"/>
          </w:tcPr>
          <w:p w14:paraId="7ACD5F83"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579" w:type="dxa"/>
          </w:tcPr>
          <w:p w14:paraId="33D61A3A"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2</w:t>
            </w:r>
          </w:p>
        </w:tc>
      </w:tr>
      <w:tr w:rsidR="003067D6" w14:paraId="6177401B"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tcPr>
          <w:p w14:paraId="4FD3BC6B" w14:textId="77777777" w:rsidR="003067D6" w:rsidRDefault="003067D6" w:rsidP="003C34D1"/>
        </w:tc>
        <w:tc>
          <w:tcPr>
            <w:tcW w:w="3480" w:type="dxa"/>
          </w:tcPr>
          <w:p w14:paraId="08F032C3"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Welwyn Hatfield</w:t>
            </w:r>
          </w:p>
        </w:tc>
        <w:tc>
          <w:tcPr>
            <w:tcW w:w="986" w:type="dxa"/>
          </w:tcPr>
          <w:p w14:paraId="01D806CF"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3</w:t>
            </w:r>
          </w:p>
        </w:tc>
        <w:tc>
          <w:tcPr>
            <w:tcW w:w="1579" w:type="dxa"/>
          </w:tcPr>
          <w:p w14:paraId="5789EDDE"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4</w:t>
            </w:r>
          </w:p>
        </w:tc>
      </w:tr>
      <w:tr w:rsidR="003067D6" w14:paraId="12427441"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val="restart"/>
          </w:tcPr>
          <w:p w14:paraId="36E33037" w14:textId="77777777" w:rsidR="003067D6" w:rsidRDefault="003067D6" w:rsidP="003C34D1">
            <w:pPr>
              <w:pStyle w:val="Tablebody"/>
            </w:pPr>
            <w:r>
              <w:t>Inner London - East</w:t>
            </w:r>
          </w:p>
        </w:tc>
        <w:tc>
          <w:tcPr>
            <w:tcW w:w="3480" w:type="dxa"/>
          </w:tcPr>
          <w:p w14:paraId="44BD70BE"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Hackney</w:t>
            </w:r>
          </w:p>
        </w:tc>
        <w:tc>
          <w:tcPr>
            <w:tcW w:w="986" w:type="dxa"/>
          </w:tcPr>
          <w:p w14:paraId="329AFCCB"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579" w:type="dxa"/>
          </w:tcPr>
          <w:p w14:paraId="7EE0D46E"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825</w:t>
            </w:r>
          </w:p>
        </w:tc>
      </w:tr>
      <w:tr w:rsidR="003067D6" w14:paraId="6A13E5C3"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tcPr>
          <w:p w14:paraId="1A72917F" w14:textId="77777777" w:rsidR="003067D6" w:rsidRDefault="003067D6" w:rsidP="003C34D1"/>
        </w:tc>
        <w:tc>
          <w:tcPr>
            <w:tcW w:w="3480" w:type="dxa"/>
          </w:tcPr>
          <w:p w14:paraId="38446B3C"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Haringey</w:t>
            </w:r>
          </w:p>
        </w:tc>
        <w:tc>
          <w:tcPr>
            <w:tcW w:w="986" w:type="dxa"/>
          </w:tcPr>
          <w:p w14:paraId="33D2BC2F"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w:t>
            </w:r>
          </w:p>
        </w:tc>
        <w:tc>
          <w:tcPr>
            <w:tcW w:w="1579" w:type="dxa"/>
          </w:tcPr>
          <w:p w14:paraId="368A1351"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985</w:t>
            </w:r>
          </w:p>
        </w:tc>
      </w:tr>
      <w:tr w:rsidR="003067D6" w14:paraId="3F9D7216"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tcPr>
          <w:p w14:paraId="186253CB" w14:textId="77777777" w:rsidR="003067D6" w:rsidRDefault="003067D6" w:rsidP="003C34D1"/>
        </w:tc>
        <w:tc>
          <w:tcPr>
            <w:tcW w:w="3480" w:type="dxa"/>
          </w:tcPr>
          <w:p w14:paraId="0F354015"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Islington</w:t>
            </w:r>
          </w:p>
        </w:tc>
        <w:tc>
          <w:tcPr>
            <w:tcW w:w="986" w:type="dxa"/>
          </w:tcPr>
          <w:p w14:paraId="08E814FD"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579" w:type="dxa"/>
          </w:tcPr>
          <w:p w14:paraId="4A79D998"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1,036</w:t>
            </w:r>
          </w:p>
        </w:tc>
      </w:tr>
      <w:tr w:rsidR="003067D6" w14:paraId="74DB6AFF"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tcPr>
          <w:p w14:paraId="162E95FA" w14:textId="77777777" w:rsidR="003067D6" w:rsidRDefault="003067D6" w:rsidP="003C34D1"/>
        </w:tc>
        <w:tc>
          <w:tcPr>
            <w:tcW w:w="3480" w:type="dxa"/>
          </w:tcPr>
          <w:p w14:paraId="143C6573"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Newham</w:t>
            </w:r>
          </w:p>
        </w:tc>
        <w:tc>
          <w:tcPr>
            <w:tcW w:w="986" w:type="dxa"/>
          </w:tcPr>
          <w:p w14:paraId="6C0CA725"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w:t>
            </w:r>
          </w:p>
        </w:tc>
        <w:tc>
          <w:tcPr>
            <w:tcW w:w="1579" w:type="dxa"/>
          </w:tcPr>
          <w:p w14:paraId="3C752363"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865</w:t>
            </w:r>
          </w:p>
        </w:tc>
      </w:tr>
      <w:tr w:rsidR="003067D6" w14:paraId="36F4ACE2"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tcPr>
          <w:p w14:paraId="20A4B745" w14:textId="77777777" w:rsidR="003067D6" w:rsidRDefault="003067D6" w:rsidP="003C34D1"/>
        </w:tc>
        <w:tc>
          <w:tcPr>
            <w:tcW w:w="3480" w:type="dxa"/>
          </w:tcPr>
          <w:p w14:paraId="6A1784A4"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Tower Hamlets</w:t>
            </w:r>
          </w:p>
        </w:tc>
        <w:tc>
          <w:tcPr>
            <w:tcW w:w="986" w:type="dxa"/>
          </w:tcPr>
          <w:p w14:paraId="234878B9"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579" w:type="dxa"/>
          </w:tcPr>
          <w:p w14:paraId="2E4C0F53"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1,157</w:t>
            </w:r>
          </w:p>
        </w:tc>
      </w:tr>
      <w:tr w:rsidR="003067D6" w14:paraId="1D7B4345"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val="restart"/>
          </w:tcPr>
          <w:p w14:paraId="639929C0" w14:textId="77777777" w:rsidR="003067D6" w:rsidRDefault="003067D6" w:rsidP="003C34D1">
            <w:pPr>
              <w:pStyle w:val="Tablebody"/>
            </w:pPr>
            <w:r>
              <w:t>Inner London - West</w:t>
            </w:r>
          </w:p>
        </w:tc>
        <w:tc>
          <w:tcPr>
            <w:tcW w:w="3480" w:type="dxa"/>
          </w:tcPr>
          <w:p w14:paraId="05E387D1"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Camden</w:t>
            </w:r>
          </w:p>
        </w:tc>
        <w:tc>
          <w:tcPr>
            <w:tcW w:w="986" w:type="dxa"/>
          </w:tcPr>
          <w:p w14:paraId="04DE00F8"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3</w:t>
            </w:r>
          </w:p>
        </w:tc>
        <w:tc>
          <w:tcPr>
            <w:tcW w:w="1579" w:type="dxa"/>
          </w:tcPr>
          <w:p w14:paraId="53D7EBBB"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537</w:t>
            </w:r>
          </w:p>
        </w:tc>
      </w:tr>
      <w:tr w:rsidR="003067D6" w14:paraId="131A28C6"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tcPr>
          <w:p w14:paraId="1CD07BD8" w14:textId="77777777" w:rsidR="003067D6" w:rsidRDefault="003067D6" w:rsidP="003C34D1"/>
        </w:tc>
        <w:tc>
          <w:tcPr>
            <w:tcW w:w="3480" w:type="dxa"/>
          </w:tcPr>
          <w:p w14:paraId="052BD5C7"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City of London</w:t>
            </w:r>
          </w:p>
        </w:tc>
        <w:tc>
          <w:tcPr>
            <w:tcW w:w="986" w:type="dxa"/>
          </w:tcPr>
          <w:p w14:paraId="7DB4F1A1"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579" w:type="dxa"/>
          </w:tcPr>
          <w:p w14:paraId="21A6B27D"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38</w:t>
            </w:r>
          </w:p>
        </w:tc>
      </w:tr>
      <w:tr w:rsidR="003067D6" w14:paraId="270E6529"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tcPr>
          <w:p w14:paraId="6D9AF2B8" w14:textId="77777777" w:rsidR="003067D6" w:rsidRDefault="003067D6" w:rsidP="003C34D1"/>
        </w:tc>
        <w:tc>
          <w:tcPr>
            <w:tcW w:w="3480" w:type="dxa"/>
          </w:tcPr>
          <w:p w14:paraId="6C5E5EEC"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Westminster</w:t>
            </w:r>
          </w:p>
        </w:tc>
        <w:tc>
          <w:tcPr>
            <w:tcW w:w="986" w:type="dxa"/>
          </w:tcPr>
          <w:p w14:paraId="7B6C7B18"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3</w:t>
            </w:r>
          </w:p>
        </w:tc>
        <w:tc>
          <w:tcPr>
            <w:tcW w:w="1579" w:type="dxa"/>
          </w:tcPr>
          <w:p w14:paraId="0BBB2F33"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w:t>
            </w:r>
          </w:p>
        </w:tc>
      </w:tr>
      <w:tr w:rsidR="003067D6" w14:paraId="7715C81E"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val="restart"/>
          </w:tcPr>
          <w:p w14:paraId="6E4BA11F" w14:textId="77777777" w:rsidR="003067D6" w:rsidRDefault="003067D6" w:rsidP="003C34D1">
            <w:pPr>
              <w:pStyle w:val="Tablebody"/>
            </w:pPr>
            <w:r>
              <w:t xml:space="preserve">Outer London - East and </w:t>
            </w:r>
            <w:proofErr w:type="gramStart"/>
            <w:r>
              <w:t>North East</w:t>
            </w:r>
            <w:proofErr w:type="gramEnd"/>
          </w:p>
        </w:tc>
        <w:tc>
          <w:tcPr>
            <w:tcW w:w="3480" w:type="dxa"/>
          </w:tcPr>
          <w:p w14:paraId="66710A2F"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Barking and Dagenham</w:t>
            </w:r>
          </w:p>
        </w:tc>
        <w:tc>
          <w:tcPr>
            <w:tcW w:w="986" w:type="dxa"/>
          </w:tcPr>
          <w:p w14:paraId="19A0AAE2"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579" w:type="dxa"/>
          </w:tcPr>
          <w:p w14:paraId="43C8529A"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835</w:t>
            </w:r>
          </w:p>
        </w:tc>
      </w:tr>
      <w:tr w:rsidR="003067D6" w14:paraId="2A21AFB1"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tcPr>
          <w:p w14:paraId="19AB0F80" w14:textId="77777777" w:rsidR="003067D6" w:rsidRDefault="003067D6" w:rsidP="003C34D1"/>
        </w:tc>
        <w:tc>
          <w:tcPr>
            <w:tcW w:w="3480" w:type="dxa"/>
          </w:tcPr>
          <w:p w14:paraId="527E6ADB"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Bexley</w:t>
            </w:r>
          </w:p>
        </w:tc>
        <w:tc>
          <w:tcPr>
            <w:tcW w:w="986" w:type="dxa"/>
          </w:tcPr>
          <w:p w14:paraId="56D626BA"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2</w:t>
            </w:r>
          </w:p>
        </w:tc>
        <w:tc>
          <w:tcPr>
            <w:tcW w:w="1579" w:type="dxa"/>
          </w:tcPr>
          <w:p w14:paraId="70989F3C"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3</w:t>
            </w:r>
          </w:p>
        </w:tc>
      </w:tr>
      <w:tr w:rsidR="003067D6" w14:paraId="0211429F"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tcPr>
          <w:p w14:paraId="695DEC8B" w14:textId="77777777" w:rsidR="003067D6" w:rsidRDefault="003067D6" w:rsidP="003C34D1"/>
        </w:tc>
        <w:tc>
          <w:tcPr>
            <w:tcW w:w="3480" w:type="dxa"/>
          </w:tcPr>
          <w:p w14:paraId="53488921"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Enfield</w:t>
            </w:r>
          </w:p>
        </w:tc>
        <w:tc>
          <w:tcPr>
            <w:tcW w:w="986" w:type="dxa"/>
          </w:tcPr>
          <w:p w14:paraId="20C1A1C3"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579" w:type="dxa"/>
          </w:tcPr>
          <w:p w14:paraId="3F678976"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1,219</w:t>
            </w:r>
          </w:p>
        </w:tc>
      </w:tr>
      <w:tr w:rsidR="003067D6" w14:paraId="25CCFFB9"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tcPr>
          <w:p w14:paraId="6B357D90" w14:textId="77777777" w:rsidR="003067D6" w:rsidRDefault="003067D6" w:rsidP="003C34D1"/>
        </w:tc>
        <w:tc>
          <w:tcPr>
            <w:tcW w:w="3480" w:type="dxa"/>
          </w:tcPr>
          <w:p w14:paraId="7E1EF92B"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Havering</w:t>
            </w:r>
          </w:p>
        </w:tc>
        <w:tc>
          <w:tcPr>
            <w:tcW w:w="986" w:type="dxa"/>
          </w:tcPr>
          <w:p w14:paraId="0549E122"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2</w:t>
            </w:r>
          </w:p>
        </w:tc>
        <w:tc>
          <w:tcPr>
            <w:tcW w:w="1579" w:type="dxa"/>
          </w:tcPr>
          <w:p w14:paraId="7E4E8839"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1,616</w:t>
            </w:r>
          </w:p>
        </w:tc>
      </w:tr>
      <w:tr w:rsidR="003067D6" w14:paraId="0B6A5274"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tcPr>
          <w:p w14:paraId="447B305A" w14:textId="77777777" w:rsidR="003067D6" w:rsidRDefault="003067D6" w:rsidP="003C34D1"/>
        </w:tc>
        <w:tc>
          <w:tcPr>
            <w:tcW w:w="3480" w:type="dxa"/>
          </w:tcPr>
          <w:p w14:paraId="44FAC5DC"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Redbridge</w:t>
            </w:r>
          </w:p>
        </w:tc>
        <w:tc>
          <w:tcPr>
            <w:tcW w:w="986" w:type="dxa"/>
          </w:tcPr>
          <w:p w14:paraId="6385689A"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579" w:type="dxa"/>
          </w:tcPr>
          <w:p w14:paraId="100ADA6D"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792</w:t>
            </w:r>
          </w:p>
        </w:tc>
      </w:tr>
      <w:tr w:rsidR="003067D6" w14:paraId="28A22468"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tcPr>
          <w:p w14:paraId="08E9F13A" w14:textId="77777777" w:rsidR="003067D6" w:rsidRDefault="003067D6" w:rsidP="003C34D1"/>
        </w:tc>
        <w:tc>
          <w:tcPr>
            <w:tcW w:w="3480" w:type="dxa"/>
          </w:tcPr>
          <w:p w14:paraId="11D803AF"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Waltham Forest</w:t>
            </w:r>
          </w:p>
        </w:tc>
        <w:tc>
          <w:tcPr>
            <w:tcW w:w="986" w:type="dxa"/>
          </w:tcPr>
          <w:p w14:paraId="2711FA3C"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2</w:t>
            </w:r>
          </w:p>
        </w:tc>
        <w:tc>
          <w:tcPr>
            <w:tcW w:w="1579" w:type="dxa"/>
          </w:tcPr>
          <w:p w14:paraId="77B9A955"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467</w:t>
            </w:r>
          </w:p>
        </w:tc>
      </w:tr>
      <w:tr w:rsidR="003067D6" w14:paraId="39F38B11"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val="restart"/>
          </w:tcPr>
          <w:p w14:paraId="6F5B6D70" w14:textId="77777777" w:rsidR="003067D6" w:rsidRDefault="003067D6" w:rsidP="003C34D1">
            <w:pPr>
              <w:pStyle w:val="Tablebody"/>
            </w:pPr>
            <w:r>
              <w:t>Outer London - South</w:t>
            </w:r>
          </w:p>
        </w:tc>
        <w:tc>
          <w:tcPr>
            <w:tcW w:w="3480" w:type="dxa"/>
          </w:tcPr>
          <w:p w14:paraId="218262B7"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Bromley</w:t>
            </w:r>
          </w:p>
        </w:tc>
        <w:tc>
          <w:tcPr>
            <w:tcW w:w="986" w:type="dxa"/>
          </w:tcPr>
          <w:p w14:paraId="2211D83B"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579" w:type="dxa"/>
          </w:tcPr>
          <w:p w14:paraId="21A1096E"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w:t>
            </w:r>
          </w:p>
        </w:tc>
      </w:tr>
      <w:tr w:rsidR="003067D6" w14:paraId="4A03EE70"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tcPr>
          <w:p w14:paraId="4F2AD74D" w14:textId="77777777" w:rsidR="003067D6" w:rsidRDefault="003067D6" w:rsidP="003C34D1"/>
        </w:tc>
        <w:tc>
          <w:tcPr>
            <w:tcW w:w="3480" w:type="dxa"/>
          </w:tcPr>
          <w:p w14:paraId="399293CB"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Croydon</w:t>
            </w:r>
          </w:p>
        </w:tc>
        <w:tc>
          <w:tcPr>
            <w:tcW w:w="986" w:type="dxa"/>
          </w:tcPr>
          <w:p w14:paraId="473C9F06"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3</w:t>
            </w:r>
          </w:p>
        </w:tc>
        <w:tc>
          <w:tcPr>
            <w:tcW w:w="1579" w:type="dxa"/>
          </w:tcPr>
          <w:p w14:paraId="7BAD7F92"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2</w:t>
            </w:r>
          </w:p>
        </w:tc>
      </w:tr>
      <w:tr w:rsidR="003067D6" w14:paraId="2A1A3C80"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val="restart"/>
          </w:tcPr>
          <w:p w14:paraId="13DF15D5" w14:textId="77777777" w:rsidR="003067D6" w:rsidRDefault="003067D6" w:rsidP="003C34D1">
            <w:pPr>
              <w:pStyle w:val="Tablebody"/>
            </w:pPr>
            <w:r>
              <w:t xml:space="preserve">Outer London - West and </w:t>
            </w:r>
            <w:proofErr w:type="gramStart"/>
            <w:r>
              <w:t>North West</w:t>
            </w:r>
            <w:proofErr w:type="gramEnd"/>
          </w:p>
        </w:tc>
        <w:tc>
          <w:tcPr>
            <w:tcW w:w="3480" w:type="dxa"/>
          </w:tcPr>
          <w:p w14:paraId="7055495E"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Barnet</w:t>
            </w:r>
          </w:p>
        </w:tc>
        <w:tc>
          <w:tcPr>
            <w:tcW w:w="986" w:type="dxa"/>
          </w:tcPr>
          <w:p w14:paraId="12EC95CF"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579" w:type="dxa"/>
          </w:tcPr>
          <w:p w14:paraId="193BE704"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2,516</w:t>
            </w:r>
          </w:p>
        </w:tc>
      </w:tr>
      <w:tr w:rsidR="003067D6" w14:paraId="4AD675A2"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tcPr>
          <w:p w14:paraId="4B8FCF3E" w14:textId="77777777" w:rsidR="003067D6" w:rsidRDefault="003067D6" w:rsidP="003C34D1"/>
        </w:tc>
        <w:tc>
          <w:tcPr>
            <w:tcW w:w="3480" w:type="dxa"/>
          </w:tcPr>
          <w:p w14:paraId="670E6812"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Brent</w:t>
            </w:r>
          </w:p>
        </w:tc>
        <w:tc>
          <w:tcPr>
            <w:tcW w:w="986" w:type="dxa"/>
          </w:tcPr>
          <w:p w14:paraId="2EBB5F9E"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3</w:t>
            </w:r>
          </w:p>
        </w:tc>
        <w:tc>
          <w:tcPr>
            <w:tcW w:w="1579" w:type="dxa"/>
          </w:tcPr>
          <w:p w14:paraId="65500B82"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16</w:t>
            </w:r>
          </w:p>
        </w:tc>
      </w:tr>
      <w:tr w:rsidR="003067D6" w14:paraId="33075AD4"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tcPr>
          <w:p w14:paraId="206BA7E9" w14:textId="77777777" w:rsidR="003067D6" w:rsidRDefault="003067D6" w:rsidP="003C34D1"/>
        </w:tc>
        <w:tc>
          <w:tcPr>
            <w:tcW w:w="3480" w:type="dxa"/>
          </w:tcPr>
          <w:p w14:paraId="5D156A3D"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Harrow</w:t>
            </w:r>
          </w:p>
        </w:tc>
        <w:tc>
          <w:tcPr>
            <w:tcW w:w="986" w:type="dxa"/>
          </w:tcPr>
          <w:p w14:paraId="199982C6"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579" w:type="dxa"/>
          </w:tcPr>
          <w:p w14:paraId="313AACE3"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70</w:t>
            </w:r>
          </w:p>
        </w:tc>
      </w:tr>
      <w:tr w:rsidR="003067D6" w14:paraId="2B4BAB90"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tcPr>
          <w:p w14:paraId="3C34531A" w14:textId="77777777" w:rsidR="003067D6" w:rsidRDefault="003067D6" w:rsidP="003C34D1"/>
        </w:tc>
        <w:tc>
          <w:tcPr>
            <w:tcW w:w="3480" w:type="dxa"/>
          </w:tcPr>
          <w:p w14:paraId="3E64EF5A"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Hillingdon</w:t>
            </w:r>
          </w:p>
        </w:tc>
        <w:tc>
          <w:tcPr>
            <w:tcW w:w="986" w:type="dxa"/>
          </w:tcPr>
          <w:p w14:paraId="413F208B"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3</w:t>
            </w:r>
          </w:p>
        </w:tc>
        <w:tc>
          <w:tcPr>
            <w:tcW w:w="1579" w:type="dxa"/>
          </w:tcPr>
          <w:p w14:paraId="2DD04DF6"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w:t>
            </w:r>
          </w:p>
        </w:tc>
      </w:tr>
      <w:tr w:rsidR="003067D6" w14:paraId="3816D956"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val="restart"/>
          </w:tcPr>
          <w:p w14:paraId="11017AF2" w14:textId="77777777" w:rsidR="003067D6" w:rsidRDefault="003067D6" w:rsidP="003C34D1">
            <w:pPr>
              <w:pStyle w:val="Tablebody"/>
            </w:pPr>
            <w:proofErr w:type="gramStart"/>
            <w:r>
              <w:t>South East</w:t>
            </w:r>
            <w:proofErr w:type="gramEnd"/>
          </w:p>
        </w:tc>
        <w:tc>
          <w:tcPr>
            <w:tcW w:w="3480" w:type="dxa"/>
          </w:tcPr>
          <w:p w14:paraId="00D66245"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Buckinghamshire</w:t>
            </w:r>
          </w:p>
        </w:tc>
        <w:tc>
          <w:tcPr>
            <w:tcW w:w="986" w:type="dxa"/>
          </w:tcPr>
          <w:p w14:paraId="3B84A810"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579" w:type="dxa"/>
          </w:tcPr>
          <w:p w14:paraId="6B305417"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w:t>
            </w:r>
          </w:p>
        </w:tc>
      </w:tr>
      <w:tr w:rsidR="003067D6" w14:paraId="46B82540"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Merge/>
          </w:tcPr>
          <w:p w14:paraId="5F9C9022" w14:textId="77777777" w:rsidR="003067D6" w:rsidRDefault="003067D6" w:rsidP="003C34D1"/>
        </w:tc>
        <w:tc>
          <w:tcPr>
            <w:tcW w:w="3480" w:type="dxa"/>
          </w:tcPr>
          <w:p w14:paraId="145244AB"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Maidstone</w:t>
            </w:r>
          </w:p>
        </w:tc>
        <w:tc>
          <w:tcPr>
            <w:tcW w:w="986" w:type="dxa"/>
          </w:tcPr>
          <w:p w14:paraId="3320FF35"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3</w:t>
            </w:r>
          </w:p>
        </w:tc>
        <w:tc>
          <w:tcPr>
            <w:tcW w:w="1579" w:type="dxa"/>
          </w:tcPr>
          <w:p w14:paraId="13EB58BE"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w:t>
            </w:r>
          </w:p>
        </w:tc>
      </w:tr>
      <w:tr w:rsidR="003067D6" w14:paraId="33A25C92" w14:textId="77777777" w:rsidTr="003C34D1">
        <w:tc>
          <w:tcPr>
            <w:cnfStyle w:val="001000000000" w:firstRow="0" w:lastRow="0" w:firstColumn="1" w:lastColumn="0" w:oddVBand="0" w:evenVBand="0" w:oddHBand="0" w:evenHBand="0" w:firstRowFirstColumn="0" w:firstRowLastColumn="0" w:lastRowFirstColumn="0" w:lastRowLastColumn="0"/>
            <w:tcW w:w="2970" w:type="dxa"/>
            <w:vMerge/>
          </w:tcPr>
          <w:p w14:paraId="2179D2E1" w14:textId="77777777" w:rsidR="003067D6" w:rsidRDefault="003067D6" w:rsidP="003C34D1"/>
        </w:tc>
        <w:tc>
          <w:tcPr>
            <w:tcW w:w="3480" w:type="dxa"/>
          </w:tcPr>
          <w:p w14:paraId="599BD847"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South Oxfordshire</w:t>
            </w:r>
          </w:p>
        </w:tc>
        <w:tc>
          <w:tcPr>
            <w:tcW w:w="986" w:type="dxa"/>
          </w:tcPr>
          <w:p w14:paraId="4AC51421"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579" w:type="dxa"/>
          </w:tcPr>
          <w:p w14:paraId="05A204E4" w14:textId="77777777" w:rsidR="003067D6" w:rsidRDefault="003067D6" w:rsidP="003C34D1">
            <w:pPr>
              <w:pStyle w:val="Tablebody"/>
              <w:cnfStyle w:val="000000000000" w:firstRow="0" w:lastRow="0" w:firstColumn="0" w:lastColumn="0" w:oddVBand="0" w:evenVBand="0" w:oddHBand="0" w:evenHBand="0" w:firstRowFirstColumn="0" w:firstRowLastColumn="0" w:lastRowFirstColumn="0" w:lastRowLastColumn="0"/>
            </w:pPr>
            <w:r>
              <w:t>1</w:t>
            </w:r>
          </w:p>
        </w:tc>
      </w:tr>
      <w:tr w:rsidR="003067D6" w14:paraId="395E1154"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76C61A4A" w14:textId="77777777" w:rsidR="003067D6" w:rsidRDefault="003067D6" w:rsidP="003C34D1">
            <w:pPr>
              <w:pStyle w:val="Tablebody"/>
            </w:pPr>
            <w:proofErr w:type="gramStart"/>
            <w:r>
              <w:t>South West</w:t>
            </w:r>
            <w:proofErr w:type="gramEnd"/>
          </w:p>
        </w:tc>
        <w:tc>
          <w:tcPr>
            <w:tcW w:w="3480" w:type="dxa"/>
          </w:tcPr>
          <w:p w14:paraId="28EB6D23"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Bournemouth, Christchurch and Poole</w:t>
            </w:r>
          </w:p>
        </w:tc>
        <w:tc>
          <w:tcPr>
            <w:tcW w:w="986" w:type="dxa"/>
          </w:tcPr>
          <w:p w14:paraId="6AC6B30D"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3</w:t>
            </w:r>
          </w:p>
        </w:tc>
        <w:tc>
          <w:tcPr>
            <w:tcW w:w="1579" w:type="dxa"/>
          </w:tcPr>
          <w:p w14:paraId="63CFE3AB" w14:textId="77777777" w:rsidR="003067D6" w:rsidRDefault="003067D6" w:rsidP="003C34D1">
            <w:pPr>
              <w:pStyle w:val="Tablebody"/>
              <w:cnfStyle w:val="000000100000" w:firstRow="0" w:lastRow="0" w:firstColumn="0" w:lastColumn="0" w:oddVBand="0" w:evenVBand="0" w:oddHBand="1" w:evenHBand="0" w:firstRowFirstColumn="0" w:firstRowLastColumn="0" w:lastRowFirstColumn="0" w:lastRowLastColumn="0"/>
            </w:pPr>
            <w:r>
              <w:t>1</w:t>
            </w:r>
          </w:p>
        </w:tc>
      </w:tr>
    </w:tbl>
    <w:p w14:paraId="68CBA72B" w14:textId="77777777" w:rsidR="003067D6" w:rsidRDefault="003067D6" w:rsidP="003067D6">
      <w:pPr>
        <w:spacing w:after="160" w:line="279" w:lineRule="auto"/>
      </w:pPr>
    </w:p>
    <w:p w14:paraId="67D90CC9" w14:textId="6C6F7B75" w:rsidR="00B13C75" w:rsidRDefault="00B13C75" w:rsidP="003B4C19">
      <w:pPr>
        <w:pStyle w:val="Caption"/>
      </w:pPr>
      <w:bookmarkStart w:id="12" w:name="_Ref237002858"/>
      <w:bookmarkStart w:id="13" w:name="_Toc237015186"/>
      <w:r>
        <w:t xml:space="preserve">Supplementary Table </w:t>
      </w:r>
      <w:fldSimple w:instr=" SEQ Supplementary_Table \* ARABIC ">
        <w:r w:rsidR="00AC2EF6">
          <w:rPr>
            <w:noProof/>
          </w:rPr>
          <w:t>4</w:t>
        </w:r>
      </w:fldSimple>
      <w:bookmarkEnd w:id="12"/>
      <w:r w:rsidR="003067D6" w:rsidRPr="4B29E1AF">
        <w:rPr>
          <w:b/>
          <w:bCs/>
        </w:rPr>
        <w:t xml:space="preserve">. </w:t>
      </w:r>
      <w:r w:rsidR="003067D6" w:rsidRPr="00B13C75">
        <w:t>Number of participants in each International Territorial Level and grouping into groups for IECV clusters.</w:t>
      </w:r>
      <w:bookmarkEnd w:id="13"/>
      <w:r w:rsidR="003067D6">
        <w:t xml:space="preserve"> </w:t>
      </w:r>
    </w:p>
    <w:p w14:paraId="0CCC7801" w14:textId="77777777" w:rsidR="003067D6" w:rsidRDefault="003067D6" w:rsidP="003B4C19">
      <w:pPr>
        <w:pStyle w:val="Caption"/>
        <w:rPr>
          <w:b/>
          <w:bCs/>
        </w:rPr>
      </w:pPr>
      <w:r>
        <w:t>IECV: Internal-external Cross Validation.</w:t>
      </w:r>
    </w:p>
    <w:p w14:paraId="1B2470F1" w14:textId="77777777" w:rsidR="003067D6" w:rsidRDefault="003067D6" w:rsidP="4B29E1AF"/>
    <w:p w14:paraId="600D9854" w14:textId="77777777" w:rsidR="32EE4807" w:rsidRDefault="32EE4807" w:rsidP="002779F0">
      <w:pPr>
        <w:pStyle w:val="Heading1"/>
      </w:pPr>
      <w:bookmarkStart w:id="14" w:name="_Toc236995700"/>
      <w:bookmarkStart w:id="15" w:name="_Toc237015175"/>
      <w:r>
        <w:lastRenderedPageBreak/>
        <w:t>Sample size calculation</w:t>
      </w:r>
      <w:bookmarkEnd w:id="14"/>
      <w:bookmarkEnd w:id="15"/>
    </w:p>
    <w:p w14:paraId="0499B300" w14:textId="7EBD5B71" w:rsidR="002828C9" w:rsidRDefault="002828C9">
      <w:r>
        <w:t xml:space="preserve">Minimum required sample size for the combined clinical and age gap model was calculated separately for each competing-risk endpoint, using the </w:t>
      </w:r>
      <w:proofErr w:type="spellStart"/>
      <w:r>
        <w:t>pmsampsize</w:t>
      </w:r>
      <w:proofErr w:type="spellEnd"/>
      <w:r>
        <w:t xml:space="preserve"> approach for developing a prediction model for a survival (time-to-event) outcome, which targets a shrinkage factor of 0.9, small optimism in the model’s apparent R², and precise estimation of the overall risk at the chosen time point. This requires an anticipated Cox-Snell R², which was back-calculated from an anticipated C-statistic and outcome proportion following the same simulation-based approach used internally by </w:t>
      </w:r>
      <w:proofErr w:type="spellStart"/>
      <w:r>
        <w:t>pmsampsize</w:t>
      </w:r>
      <w:proofErr w:type="spellEnd"/>
      <w:r>
        <w:t xml:space="preserve"> for other outcome types</w:t>
      </w:r>
      <w:r w:rsidR="0080282B" w:rsidRPr="0080282B">
        <w:rPr>
          <w:color w:val="000000"/>
          <w:vertAlign w:val="superscript"/>
        </w:rPr>
        <w:t>4,5</w:t>
      </w:r>
      <w:r>
        <w:t>. For each endpoint, the anticipated C-statistic was taken as the model’s own achieved 5-year pooled internal-external cross-validation C-statistic for the combined clinical and age gap model, since no comparable prior model exists for this novel imaging biomarker from which to take an anticipated R²</w:t>
      </w:r>
      <w:r w:rsidR="00F31664">
        <w:t>,</w:t>
      </w:r>
      <w:r>
        <w:t xml:space="preserve"> </w:t>
      </w:r>
      <w:r w:rsidR="00F31664">
        <w:t>as</w:t>
      </w:r>
      <w:r>
        <w:t xml:space="preserve"> is standard practice for a retrospective sample size justification of an already-completed analysis, rather than a prospectively pre-registered target. Twelve candidate predictor parameters were specified for both endpoints, corresponding to the 11 base clinical variables plus age gap, none of which required more than one parameter. Event rate and 5-year cumulative incidence were calculated directly from the complete-case cohort used for the main analysis, using the Aalen-Johansen estimator for cumulative incidence to correctly account for the competing event.</w:t>
      </w:r>
    </w:p>
    <w:p w14:paraId="1774AA5E" w14:textId="0CDCA88D" w:rsidR="002828C9" w:rsidRDefault="002828C9">
      <w:r>
        <w:t>Both endpoints exceeded their minimum required sample size (</w:t>
      </w:r>
      <w:r w:rsidR="003F22FA">
        <w:fldChar w:fldCharType="begin"/>
      </w:r>
      <w:r w:rsidR="003F22FA">
        <w:instrText xml:space="preserve"> REF _Ref237002439 \h </w:instrText>
      </w:r>
      <w:r w:rsidR="003F22FA">
        <w:fldChar w:fldCharType="separate"/>
      </w:r>
      <w:r w:rsidR="00AC2EF6">
        <w:t xml:space="preserve">Supplementary Table </w:t>
      </w:r>
      <w:r w:rsidR="00AC2EF6">
        <w:rPr>
          <w:noProof/>
        </w:rPr>
        <w:t>5</w:t>
      </w:r>
      <w:r w:rsidR="003F22FA">
        <w:fldChar w:fldCharType="end"/>
      </w:r>
      <w:r>
        <w:t>). Lung cancer diagnosis, the rarer and lower-discrimination of the two endpoints, was the more binding constraint, but the achieved cohort still exceeded its requirement by approximately two-</w:t>
      </w:r>
      <w:proofErr w:type="gramStart"/>
      <w:r>
        <w:t>fold, and</w:t>
      </w:r>
      <w:proofErr w:type="gramEnd"/>
      <w:r>
        <w:t xml:space="preserve"> exceeded the non-lung cancer death requirement by approximately five-fold.</w:t>
      </w:r>
    </w:p>
    <w:tbl>
      <w:tblPr>
        <w:tblStyle w:val="PlainTable3"/>
        <w:tblW w:w="0" w:type="auto"/>
        <w:tblLook w:val="04A0" w:firstRow="1" w:lastRow="0" w:firstColumn="1" w:lastColumn="0" w:noHBand="0" w:noVBand="1"/>
      </w:tblPr>
      <w:tblGrid>
        <w:gridCol w:w="1282"/>
        <w:gridCol w:w="1451"/>
        <w:gridCol w:w="1221"/>
        <w:gridCol w:w="1398"/>
        <w:gridCol w:w="1197"/>
        <w:gridCol w:w="1266"/>
        <w:gridCol w:w="1211"/>
      </w:tblGrid>
      <w:tr w:rsidR="006E7FE7" w14:paraId="60FC826E" w14:textId="77777777" w:rsidTr="006E7FE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89" w:type="dxa"/>
          </w:tcPr>
          <w:p w14:paraId="71B8A7CB" w14:textId="77777777" w:rsidR="006E7FE7" w:rsidRDefault="004F1A2D">
            <w:r>
              <w:t>Outcome</w:t>
            </w:r>
          </w:p>
        </w:tc>
        <w:tc>
          <w:tcPr>
            <w:tcW w:w="1289" w:type="dxa"/>
          </w:tcPr>
          <w:p w14:paraId="540A1A2B" w14:textId="77777777" w:rsidR="006E7FE7" w:rsidRDefault="004F1A2D">
            <w:pPr>
              <w:cnfStyle w:val="100000000000" w:firstRow="1" w:lastRow="0" w:firstColumn="0" w:lastColumn="0" w:oddVBand="0" w:evenVBand="0" w:oddHBand="0" w:evenHBand="0" w:firstRowFirstColumn="0" w:firstRowLastColumn="0" w:lastRowFirstColumn="0" w:lastRowLastColumn="0"/>
            </w:pPr>
            <w:r>
              <w:t>Anticipated C-statistic</w:t>
            </w:r>
          </w:p>
        </w:tc>
        <w:tc>
          <w:tcPr>
            <w:tcW w:w="1289" w:type="dxa"/>
          </w:tcPr>
          <w:p w14:paraId="229AD48A" w14:textId="77777777" w:rsidR="006E7FE7" w:rsidRDefault="004F1A2D">
            <w:pPr>
              <w:cnfStyle w:val="100000000000" w:firstRow="1" w:lastRow="0" w:firstColumn="0" w:lastColumn="0" w:oddVBand="0" w:evenVBand="0" w:oddHBand="0" w:evenHBand="0" w:firstRowFirstColumn="0" w:firstRowLastColumn="0" w:lastRowFirstColumn="0" w:lastRowLastColumn="0"/>
            </w:pPr>
            <w:r>
              <w:t>Event rate (per person-year)</w:t>
            </w:r>
          </w:p>
        </w:tc>
        <w:tc>
          <w:tcPr>
            <w:tcW w:w="1289" w:type="dxa"/>
          </w:tcPr>
          <w:p w14:paraId="28D881B5" w14:textId="77777777" w:rsidR="006E7FE7" w:rsidRDefault="004F1A2D">
            <w:pPr>
              <w:cnfStyle w:val="100000000000" w:firstRow="1" w:lastRow="0" w:firstColumn="0" w:lastColumn="0" w:oddVBand="0" w:evenVBand="0" w:oddHBand="0" w:evenHBand="0" w:firstRowFirstColumn="0" w:firstRowLastColumn="0" w:lastRowFirstColumn="0" w:lastRowLastColumn="0"/>
            </w:pPr>
            <w:r>
              <w:t>5-year cumulative incidence</w:t>
            </w:r>
          </w:p>
        </w:tc>
        <w:tc>
          <w:tcPr>
            <w:tcW w:w="1289" w:type="dxa"/>
          </w:tcPr>
          <w:p w14:paraId="14F4D2D9" w14:textId="77777777" w:rsidR="006E7FE7" w:rsidRDefault="004F1A2D">
            <w:pPr>
              <w:cnfStyle w:val="100000000000" w:firstRow="1" w:lastRow="0" w:firstColumn="0" w:lastColumn="0" w:oddVBand="0" w:evenVBand="0" w:oddHBand="0" w:evenHBand="0" w:firstRowFirstColumn="0" w:firstRowLastColumn="0" w:lastRowFirstColumn="0" w:lastRowLastColumn="0"/>
            </w:pPr>
            <w:r>
              <w:t>Mean follow-up (years)</w:t>
            </w:r>
          </w:p>
        </w:tc>
        <w:tc>
          <w:tcPr>
            <w:tcW w:w="1289" w:type="dxa"/>
          </w:tcPr>
          <w:p w14:paraId="0F499D5C" w14:textId="77777777" w:rsidR="006E7FE7" w:rsidRDefault="004F1A2D">
            <w:pPr>
              <w:cnfStyle w:val="100000000000" w:firstRow="1" w:lastRow="0" w:firstColumn="0" w:lastColumn="0" w:oddVBand="0" w:evenVBand="0" w:oddHBand="0" w:evenHBand="0" w:firstRowFirstColumn="0" w:firstRowLastColumn="0" w:lastRowFirstColumn="0" w:lastRowLastColumn="0"/>
            </w:pPr>
            <w:r>
              <w:t>Minimum required N (events)</w:t>
            </w:r>
          </w:p>
        </w:tc>
        <w:tc>
          <w:tcPr>
            <w:tcW w:w="1289" w:type="dxa"/>
          </w:tcPr>
          <w:p w14:paraId="162693B0" w14:textId="77777777" w:rsidR="006E7FE7" w:rsidRDefault="004F1A2D">
            <w:pPr>
              <w:cnfStyle w:val="100000000000" w:firstRow="1" w:lastRow="0" w:firstColumn="0" w:lastColumn="0" w:oddVBand="0" w:evenVBand="0" w:oddHBand="0" w:evenHBand="0" w:firstRowFirstColumn="0" w:firstRowLastColumn="0" w:lastRowFirstColumn="0" w:lastRowLastColumn="0"/>
            </w:pPr>
            <w:r>
              <w:t>Cohort N (events by 5 years)</w:t>
            </w:r>
          </w:p>
        </w:tc>
      </w:tr>
      <w:tr w:rsidR="006E7FE7" w14:paraId="07CB3D76" w14:textId="77777777" w:rsidTr="006E7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9" w:type="dxa"/>
          </w:tcPr>
          <w:p w14:paraId="52249857" w14:textId="77777777" w:rsidR="006E7FE7" w:rsidRDefault="004F1A2D">
            <w:r>
              <w:lastRenderedPageBreak/>
              <w:t>Non-lung cancer death</w:t>
            </w:r>
          </w:p>
        </w:tc>
        <w:tc>
          <w:tcPr>
            <w:tcW w:w="1289" w:type="dxa"/>
          </w:tcPr>
          <w:p w14:paraId="60F52E66" w14:textId="77777777" w:rsidR="006E7FE7" w:rsidRDefault="004F1A2D">
            <w:pPr>
              <w:cnfStyle w:val="000000100000" w:firstRow="0" w:lastRow="0" w:firstColumn="0" w:lastColumn="0" w:oddVBand="0" w:evenVBand="0" w:oddHBand="1" w:evenHBand="0" w:firstRowFirstColumn="0" w:firstRowLastColumn="0" w:lastRowFirstColumn="0" w:lastRowLastColumn="0"/>
            </w:pPr>
            <w:r>
              <w:t>0.73</w:t>
            </w:r>
          </w:p>
        </w:tc>
        <w:tc>
          <w:tcPr>
            <w:tcW w:w="1289" w:type="dxa"/>
          </w:tcPr>
          <w:p w14:paraId="3901F55E" w14:textId="77777777" w:rsidR="006E7FE7" w:rsidRDefault="004F1A2D">
            <w:pPr>
              <w:cnfStyle w:val="000000100000" w:firstRow="0" w:lastRow="0" w:firstColumn="0" w:lastColumn="0" w:oddVBand="0" w:evenVBand="0" w:oddHBand="1" w:evenHBand="0" w:firstRowFirstColumn="0" w:firstRowLastColumn="0" w:lastRowFirstColumn="0" w:lastRowLastColumn="0"/>
            </w:pPr>
            <w:r>
              <w:t>1.37%</w:t>
            </w:r>
          </w:p>
        </w:tc>
        <w:tc>
          <w:tcPr>
            <w:tcW w:w="1289" w:type="dxa"/>
          </w:tcPr>
          <w:p w14:paraId="1B2EE9B9" w14:textId="77777777" w:rsidR="006E7FE7" w:rsidRDefault="004F1A2D">
            <w:pPr>
              <w:cnfStyle w:val="000000100000" w:firstRow="0" w:lastRow="0" w:firstColumn="0" w:lastColumn="0" w:oddVBand="0" w:evenVBand="0" w:oddHBand="1" w:evenHBand="0" w:firstRowFirstColumn="0" w:firstRowLastColumn="0" w:lastRowFirstColumn="0" w:lastRowLastColumn="0"/>
            </w:pPr>
            <w:r>
              <w:t>6.5%</w:t>
            </w:r>
          </w:p>
        </w:tc>
        <w:tc>
          <w:tcPr>
            <w:tcW w:w="1289" w:type="dxa"/>
          </w:tcPr>
          <w:p w14:paraId="71C91820" w14:textId="77777777" w:rsidR="006E7FE7" w:rsidRDefault="004F1A2D">
            <w:pPr>
              <w:cnfStyle w:val="000000100000" w:firstRow="0" w:lastRow="0" w:firstColumn="0" w:lastColumn="0" w:oddVBand="0" w:evenVBand="0" w:oddHBand="1" w:evenHBand="0" w:firstRowFirstColumn="0" w:firstRowLastColumn="0" w:lastRowFirstColumn="0" w:lastRowLastColumn="0"/>
            </w:pPr>
            <w:r>
              <w:t>4.6</w:t>
            </w:r>
          </w:p>
        </w:tc>
        <w:tc>
          <w:tcPr>
            <w:tcW w:w="1289" w:type="dxa"/>
          </w:tcPr>
          <w:p w14:paraId="4AAF6D20" w14:textId="77777777" w:rsidR="006E7FE7" w:rsidRDefault="004F1A2D">
            <w:pPr>
              <w:cnfStyle w:val="000000100000" w:firstRow="0" w:lastRow="0" w:firstColumn="0" w:lastColumn="0" w:oddVBand="0" w:evenVBand="0" w:oddHBand="1" w:evenHBand="0" w:firstRowFirstColumn="0" w:firstRowLastColumn="0" w:lastRowFirstColumn="0" w:lastRowLastColumn="0"/>
            </w:pPr>
            <w:r>
              <w:t>2,484 (158)</w:t>
            </w:r>
          </w:p>
        </w:tc>
        <w:tc>
          <w:tcPr>
            <w:tcW w:w="1289" w:type="dxa"/>
          </w:tcPr>
          <w:p w14:paraId="46FA34E0" w14:textId="77777777" w:rsidR="006E7FE7" w:rsidRDefault="004F1A2D">
            <w:pPr>
              <w:cnfStyle w:val="000000100000" w:firstRow="0" w:lastRow="0" w:firstColumn="0" w:lastColumn="0" w:oddVBand="0" w:evenVBand="0" w:oddHBand="1" w:evenHBand="0" w:firstRowFirstColumn="0" w:firstRowLastColumn="0" w:lastRowFirstColumn="0" w:lastRowLastColumn="0"/>
            </w:pPr>
            <w:r>
              <w:t>12,300 (763)</w:t>
            </w:r>
          </w:p>
        </w:tc>
      </w:tr>
      <w:tr w:rsidR="006E7FE7" w14:paraId="04DC3FEF" w14:textId="77777777" w:rsidTr="006E7FE7">
        <w:tc>
          <w:tcPr>
            <w:cnfStyle w:val="001000000000" w:firstRow="0" w:lastRow="0" w:firstColumn="1" w:lastColumn="0" w:oddVBand="0" w:evenVBand="0" w:oddHBand="0" w:evenHBand="0" w:firstRowFirstColumn="0" w:firstRowLastColumn="0" w:lastRowFirstColumn="0" w:lastRowLastColumn="0"/>
            <w:tcW w:w="1289" w:type="dxa"/>
          </w:tcPr>
          <w:p w14:paraId="1B01814E" w14:textId="77777777" w:rsidR="006E7FE7" w:rsidRDefault="004F1A2D">
            <w:r>
              <w:t>Lung cancer diagnosis</w:t>
            </w:r>
          </w:p>
        </w:tc>
        <w:tc>
          <w:tcPr>
            <w:tcW w:w="1289" w:type="dxa"/>
          </w:tcPr>
          <w:p w14:paraId="23CA51F9" w14:textId="77777777" w:rsidR="006E7FE7" w:rsidRDefault="004F1A2D">
            <w:pPr>
              <w:cnfStyle w:val="000000000000" w:firstRow="0" w:lastRow="0" w:firstColumn="0" w:lastColumn="0" w:oddVBand="0" w:evenVBand="0" w:oddHBand="0" w:evenHBand="0" w:firstRowFirstColumn="0" w:firstRowLastColumn="0" w:lastRowFirstColumn="0" w:lastRowLastColumn="0"/>
            </w:pPr>
            <w:r>
              <w:t>0.67</w:t>
            </w:r>
          </w:p>
        </w:tc>
        <w:tc>
          <w:tcPr>
            <w:tcW w:w="1289" w:type="dxa"/>
          </w:tcPr>
          <w:p w14:paraId="23B77F9F" w14:textId="77777777" w:rsidR="006E7FE7" w:rsidRDefault="004F1A2D">
            <w:pPr>
              <w:cnfStyle w:val="000000000000" w:firstRow="0" w:lastRow="0" w:firstColumn="0" w:lastColumn="0" w:oddVBand="0" w:evenVBand="0" w:oddHBand="0" w:evenHBand="0" w:firstRowFirstColumn="0" w:firstRowLastColumn="0" w:lastRowFirstColumn="0" w:lastRowLastColumn="0"/>
            </w:pPr>
            <w:r>
              <w:t>1.05%</w:t>
            </w:r>
          </w:p>
        </w:tc>
        <w:tc>
          <w:tcPr>
            <w:tcW w:w="1289" w:type="dxa"/>
          </w:tcPr>
          <w:p w14:paraId="51A7B926" w14:textId="77777777" w:rsidR="006E7FE7" w:rsidRDefault="004F1A2D">
            <w:pPr>
              <w:cnfStyle w:val="000000000000" w:firstRow="0" w:lastRow="0" w:firstColumn="0" w:lastColumn="0" w:oddVBand="0" w:evenVBand="0" w:oddHBand="0" w:evenHBand="0" w:firstRowFirstColumn="0" w:firstRowLastColumn="0" w:lastRowFirstColumn="0" w:lastRowLastColumn="0"/>
            </w:pPr>
            <w:r>
              <w:t>4.9%</w:t>
            </w:r>
          </w:p>
        </w:tc>
        <w:tc>
          <w:tcPr>
            <w:tcW w:w="1289" w:type="dxa"/>
          </w:tcPr>
          <w:p w14:paraId="2A76BE19" w14:textId="77777777" w:rsidR="006E7FE7" w:rsidRDefault="004F1A2D">
            <w:pPr>
              <w:cnfStyle w:val="000000000000" w:firstRow="0" w:lastRow="0" w:firstColumn="0" w:lastColumn="0" w:oddVBand="0" w:evenVBand="0" w:oddHBand="0" w:evenHBand="0" w:firstRowFirstColumn="0" w:firstRowLastColumn="0" w:lastRowFirstColumn="0" w:lastRowLastColumn="0"/>
            </w:pPr>
            <w:r>
              <w:t>4.6</w:t>
            </w:r>
          </w:p>
        </w:tc>
        <w:tc>
          <w:tcPr>
            <w:tcW w:w="1289" w:type="dxa"/>
          </w:tcPr>
          <w:p w14:paraId="28679003" w14:textId="77777777" w:rsidR="006E7FE7" w:rsidRDefault="004F1A2D">
            <w:pPr>
              <w:cnfStyle w:val="000000000000" w:firstRow="0" w:lastRow="0" w:firstColumn="0" w:lastColumn="0" w:oddVBand="0" w:evenVBand="0" w:oddHBand="0" w:evenHBand="0" w:firstRowFirstColumn="0" w:firstRowLastColumn="0" w:lastRowFirstColumn="0" w:lastRowLastColumn="0"/>
            </w:pPr>
            <w:r>
              <w:t>6,307 (308)</w:t>
            </w:r>
          </w:p>
        </w:tc>
        <w:tc>
          <w:tcPr>
            <w:tcW w:w="1289" w:type="dxa"/>
          </w:tcPr>
          <w:p w14:paraId="280C8F25" w14:textId="77777777" w:rsidR="006E7FE7" w:rsidRDefault="004F1A2D">
            <w:pPr>
              <w:cnfStyle w:val="000000000000" w:firstRow="0" w:lastRow="0" w:firstColumn="0" w:lastColumn="0" w:oddVBand="0" w:evenVBand="0" w:oddHBand="0" w:evenHBand="0" w:firstRowFirstColumn="0" w:firstRowLastColumn="0" w:lastRowFirstColumn="0" w:lastRowLastColumn="0"/>
            </w:pPr>
            <w:r>
              <w:t>12,300 (573)</w:t>
            </w:r>
          </w:p>
        </w:tc>
      </w:tr>
    </w:tbl>
    <w:p w14:paraId="108D5DDD" w14:textId="5218D107" w:rsidR="00B13C75" w:rsidRDefault="00B13C75" w:rsidP="003B4C19">
      <w:pPr>
        <w:pStyle w:val="Caption"/>
      </w:pPr>
      <w:bookmarkStart w:id="16" w:name="_Ref237002439"/>
      <w:bookmarkStart w:id="17" w:name="_Toc236995701"/>
      <w:bookmarkStart w:id="18" w:name="_Ref237002429"/>
      <w:bookmarkStart w:id="19" w:name="_Toc237015187"/>
      <w:r>
        <w:t xml:space="preserve">Supplementary Table </w:t>
      </w:r>
      <w:fldSimple w:instr=" SEQ Supplementary_Table \* ARABIC ">
        <w:r w:rsidR="00AC2EF6">
          <w:rPr>
            <w:noProof/>
          </w:rPr>
          <w:t>5</w:t>
        </w:r>
      </w:fldSimple>
      <w:bookmarkEnd w:id="16"/>
      <w:r w:rsidR="003067D6" w:rsidRPr="4B29E1AF">
        <w:rPr>
          <w:b/>
          <w:bCs/>
        </w:rPr>
        <w:t xml:space="preserve">. </w:t>
      </w:r>
      <w:r w:rsidR="003067D6" w:rsidRPr="00B13C75">
        <w:t>Minimum required sample size for the combined clinical and age gap model, by competing-risk endpoint.</w:t>
      </w:r>
      <w:bookmarkEnd w:id="17"/>
      <w:bookmarkEnd w:id="18"/>
      <w:bookmarkEnd w:id="19"/>
    </w:p>
    <w:p w14:paraId="1A5696F1" w14:textId="77777777" w:rsidR="003067D6" w:rsidRDefault="003067D6" w:rsidP="003B4C19">
      <w:pPr>
        <w:pStyle w:val="Caption"/>
        <w:rPr>
          <w:b/>
          <w:bCs/>
        </w:rPr>
      </w:pPr>
      <w:r>
        <w:t xml:space="preserve">Calculated using the </w:t>
      </w:r>
      <w:proofErr w:type="spellStart"/>
      <w:r>
        <w:t>pmsampsize</w:t>
      </w:r>
      <w:proofErr w:type="spellEnd"/>
      <w:r>
        <w:t xml:space="preserve"> approach for time-to-event, targeting a shrinkage factor of 0.9. Twelve candidate predictor parameters were specified for both endpoints (11 base clinical variables plus age gap). Event rate and cumulative incidence were derived from the complete-case cohort used in the main analysis.</w:t>
      </w:r>
    </w:p>
    <w:p w14:paraId="06E9631C" w14:textId="77777777" w:rsidR="003F22FA" w:rsidRDefault="003F22FA">
      <w:pPr>
        <w:spacing w:after="160" w:line="279" w:lineRule="auto"/>
        <w:rPr>
          <w:color w:val="0F4761" w:themeColor="accent1" w:themeShade="BF"/>
          <w:sz w:val="36"/>
          <w:szCs w:val="36"/>
        </w:rPr>
      </w:pPr>
      <w:r>
        <w:br w:type="page"/>
      </w:r>
    </w:p>
    <w:p w14:paraId="428BEE8E" w14:textId="77777777" w:rsidR="007D3732" w:rsidRDefault="00373F1C" w:rsidP="002779F0">
      <w:pPr>
        <w:pStyle w:val="Heading1"/>
      </w:pPr>
      <w:bookmarkStart w:id="20" w:name="_Toc237015176"/>
      <w:r>
        <w:lastRenderedPageBreak/>
        <w:t>C</w:t>
      </w:r>
      <w:r w:rsidR="00BF2A28">
        <w:t>linical characteristics and</w:t>
      </w:r>
      <w:r w:rsidR="007D3732">
        <w:t xml:space="preserve"> </w:t>
      </w:r>
      <w:r>
        <w:t xml:space="preserve">associations with </w:t>
      </w:r>
      <w:r w:rsidR="007D3732">
        <w:t>age gap</w:t>
      </w:r>
      <w:bookmarkEnd w:id="20"/>
    </w:p>
    <w:p w14:paraId="0D4B9F12" w14:textId="77777777" w:rsidR="00373F1C" w:rsidRDefault="00373F1C" w:rsidP="007D3732">
      <w:pPr>
        <w:spacing w:before="240"/>
      </w:pPr>
      <w:r>
        <w:t>Individuals currently smoking</w:t>
      </w:r>
      <w:r w:rsidRPr="4B29E1AF">
        <w:t xml:space="preserve"> </w:t>
      </w:r>
      <w:proofErr w:type="gramStart"/>
      <w:r w:rsidRPr="4B29E1AF">
        <w:t>comprised</w:t>
      </w:r>
      <w:proofErr w:type="gramEnd"/>
      <w:r w:rsidRPr="4B29E1AF">
        <w:t xml:space="preserve"> </w:t>
      </w:r>
      <w:r>
        <w:t>6,089</w:t>
      </w:r>
      <w:r w:rsidRPr="4B29E1AF">
        <w:t xml:space="preserve"> participants (</w:t>
      </w:r>
      <w:r>
        <w:t>49%</w:t>
      </w:r>
      <w:r w:rsidRPr="4B29E1AF">
        <w:t xml:space="preserve">), with </w:t>
      </w:r>
      <w:r>
        <w:t>6,389 (51%) having quit smoking</w:t>
      </w:r>
      <w:r w:rsidRPr="4B29E1AF">
        <w:t xml:space="preserve">. The median smoking duration was 44 years (IQR: 40–48), with a median smoking history of 20 pack-year equivalents (IQR: 15–22). </w:t>
      </w:r>
      <w:r>
        <w:t>3,661 (</w:t>
      </w:r>
      <w:r w:rsidRPr="4B29E1AF">
        <w:t>29%</w:t>
      </w:r>
      <w:r>
        <w:t>)</w:t>
      </w:r>
      <w:r w:rsidRPr="4B29E1AF">
        <w:t xml:space="preserve"> participants had an existing diagnosis of COPD, bronchitis, or emphysema.</w:t>
      </w:r>
    </w:p>
    <w:p w14:paraId="29223514" w14:textId="47C64744" w:rsidR="007D3732" w:rsidRDefault="007D3732" w:rsidP="007D3732">
      <w:pPr>
        <w:spacing w:before="240"/>
        <w:rPr>
          <w:highlight w:val="yellow"/>
        </w:rPr>
      </w:pPr>
      <w:r w:rsidRPr="4B29E1AF">
        <w:t xml:space="preserve">Multivariable linear regression examined associations between clinical characteristics and age </w:t>
      </w:r>
      <w:r>
        <w:t>gap</w:t>
      </w:r>
      <w:r w:rsidRPr="4B29E1AF">
        <w:t xml:space="preserve"> (</w:t>
      </w:r>
      <w:r w:rsidR="005A2C63">
        <w:fldChar w:fldCharType="begin"/>
      </w:r>
      <w:r w:rsidR="005A2C63">
        <w:instrText xml:space="preserve"> REF _Ref237002943 \h </w:instrText>
      </w:r>
      <w:r w:rsidR="005A2C63">
        <w:fldChar w:fldCharType="separate"/>
      </w:r>
      <w:r w:rsidR="00AC2EF6">
        <w:t xml:space="preserve">Supplementary Figure </w:t>
      </w:r>
      <w:r w:rsidR="00AC2EF6">
        <w:rPr>
          <w:noProof/>
        </w:rPr>
        <w:t>1</w:t>
      </w:r>
      <w:r w:rsidR="005A2C63">
        <w:fldChar w:fldCharType="end"/>
      </w:r>
      <w:r w:rsidR="005A2C63">
        <w:t>,</w:t>
      </w:r>
      <w:r w:rsidR="00E37FA6">
        <w:t xml:space="preserve"> </w:t>
      </w:r>
      <w:r w:rsidR="00E37FA6">
        <w:fldChar w:fldCharType="begin"/>
      </w:r>
      <w:r w:rsidR="00E37FA6">
        <w:instrText xml:space="preserve"> REF _Ref237003009 \h </w:instrText>
      </w:r>
      <w:r w:rsidR="00E37FA6">
        <w:fldChar w:fldCharType="separate"/>
      </w:r>
      <w:r w:rsidR="00AC2EF6">
        <w:t xml:space="preserve">Supplementary Table </w:t>
      </w:r>
      <w:r w:rsidR="00AC2EF6">
        <w:rPr>
          <w:noProof/>
        </w:rPr>
        <w:t>6</w:t>
      </w:r>
      <w:r w:rsidR="00E37FA6">
        <w:fldChar w:fldCharType="end"/>
      </w:r>
      <w:r>
        <w:t>).</w:t>
      </w:r>
      <w:r w:rsidRPr="4B29E1AF">
        <w:t xml:space="preserve"> Higher BMI was associated with </w:t>
      </w:r>
      <w:r>
        <w:t>a positive</w:t>
      </w:r>
      <w:r w:rsidRPr="4B29E1AF">
        <w:t xml:space="preserve"> age </w:t>
      </w:r>
      <w:r>
        <w:t>gap</w:t>
      </w:r>
      <w:r w:rsidRPr="4B29E1AF">
        <w:t xml:space="preserve"> (β=0.4 years per unit BMI, 95% CI: 0.42–0.46, p&lt;0.001)</w:t>
      </w:r>
      <w:r>
        <w:t>, as was a d</w:t>
      </w:r>
      <w:r w:rsidRPr="4B29E1AF">
        <w:t>iagnosis of COPD, bronchitis or emphysema at baseline (β=1.4, 95% CI: 1.1–1.6, p&lt;0.001)</w:t>
      </w:r>
      <w:r>
        <w:t>, lower</w:t>
      </w:r>
      <w:r w:rsidRPr="4B29E1AF">
        <w:t xml:space="preserve"> educational attainment</w:t>
      </w:r>
      <w:r>
        <w:t xml:space="preserve"> </w:t>
      </w:r>
      <w:r w:rsidRPr="4B29E1AF">
        <w:t>(β=-0.3, 95% CI: -0.4– -0.2, p&lt;0.001</w:t>
      </w:r>
      <w:r>
        <w:t>)</w:t>
      </w:r>
      <w:r w:rsidRPr="4B29E1AF">
        <w:t xml:space="preserve"> and </w:t>
      </w:r>
      <w:r>
        <w:t>higher</w:t>
      </w:r>
      <w:r w:rsidRPr="4B29E1AF">
        <w:t xml:space="preserve"> socioeconomic deprivation </w:t>
      </w:r>
      <w:r>
        <w:t>(</w:t>
      </w:r>
      <w:r w:rsidRPr="4B29E1AF">
        <w:t>β=-0.1, 95% CI: -0.2– -0.02, p=0.02).</w:t>
      </w:r>
    </w:p>
    <w:p w14:paraId="205B1B4E" w14:textId="77777777" w:rsidR="00A87C37" w:rsidRDefault="007D3732" w:rsidP="007D3732">
      <w:pPr>
        <w:spacing w:before="240"/>
      </w:pPr>
      <w:r>
        <w:t xml:space="preserve">Current smoking status was not associated with age gap (95% CI: -0.6–0.05, p= 0.1) compared to former smokers. Higher smoking amount was associated with higher </w:t>
      </w:r>
      <w:proofErr w:type="spellStart"/>
      <w:r>
        <w:t>age</w:t>
      </w:r>
      <w:proofErr w:type="spellEnd"/>
      <w:r>
        <w:t xml:space="preserve"> gap (β=0.9 per 10 pack-years, PY, 95% CI: 0.73–0.98, p&lt;0.001), whilst longer time since stopping all tobacco was associated with a lower </w:t>
      </w:r>
      <w:proofErr w:type="spellStart"/>
      <w:r>
        <w:t>age</w:t>
      </w:r>
      <w:proofErr w:type="spellEnd"/>
      <w:r>
        <w:t xml:space="preserve"> gap (β=-1.2 per 10 years, 95% CI: -1.5–-0.9, p&lt;0.001). Only time since stopping all tobacco had a significant interaction with </w:t>
      </w:r>
      <w:r w:rsidR="230A65BC">
        <w:t>sex</w:t>
      </w:r>
      <w:r>
        <w:t xml:space="preserve">, which was negative (β=-0.4, 95% CI: -0.78–-0.01, p=0.05), suggesting that female </w:t>
      </w:r>
      <w:r w:rsidR="11B6C913">
        <w:t xml:space="preserve">sex </w:t>
      </w:r>
      <w:r>
        <w:t xml:space="preserve">attenuated the effect of time since stopping all tobacco on decreasing age </w:t>
      </w:r>
      <w:r w:rsidR="2265CDB7">
        <w:t>gap</w:t>
      </w:r>
      <w:r>
        <w:t>.</w:t>
      </w:r>
    </w:p>
    <w:p w14:paraId="62334D69" w14:textId="77777777" w:rsidR="00A87C37" w:rsidRDefault="00A87C37">
      <w:pPr>
        <w:spacing w:after="160" w:line="279" w:lineRule="auto"/>
      </w:pPr>
      <w:r>
        <w:br w:type="page"/>
      </w:r>
    </w:p>
    <w:p w14:paraId="652D9952" w14:textId="77777777" w:rsidR="007D3732" w:rsidRDefault="007D3732" w:rsidP="007D3732">
      <w:pPr>
        <w:spacing w:before="240"/>
      </w:pPr>
    </w:p>
    <w:p w14:paraId="215FD960" w14:textId="77777777" w:rsidR="00A87C37" w:rsidRDefault="00A87C37" w:rsidP="00A87C37">
      <w:r>
        <w:rPr>
          <w:noProof/>
        </w:rPr>
        <w:drawing>
          <wp:inline distT="0" distB="0" distL="0" distR="0" wp14:anchorId="365F9427" wp14:editId="0BC3793B">
            <wp:extent cx="5724525" cy="2286000"/>
            <wp:effectExtent l="0" t="0" r="0" b="0"/>
            <wp:docPr id="587916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91624" name="Picture 58791624"/>
                    <pic:cNvPicPr/>
                  </pic:nvPicPr>
                  <pic:blipFill>
                    <a:blip r:embed="rId9">
                      <a:extLst>
                        <a:ext uri="{28A0092B-C50C-407E-A947-70E740481C1C}">
                          <a14:useLocalDpi xmlns:a14="http://schemas.microsoft.com/office/drawing/2010/main"/>
                        </a:ext>
                      </a:extLst>
                    </a:blip>
                    <a:stretch>
                      <a:fillRect/>
                    </a:stretch>
                  </pic:blipFill>
                  <pic:spPr>
                    <a:xfrm>
                      <a:off x="0" y="0"/>
                      <a:ext cx="5724525" cy="2286000"/>
                    </a:xfrm>
                    <a:prstGeom prst="rect">
                      <a:avLst/>
                    </a:prstGeom>
                  </pic:spPr>
                </pic:pic>
              </a:graphicData>
            </a:graphic>
          </wp:inline>
        </w:drawing>
      </w:r>
    </w:p>
    <w:p w14:paraId="7522F1A4" w14:textId="6EDC2587" w:rsidR="00A87C37" w:rsidRDefault="00A87C37" w:rsidP="00A87C37">
      <w:pPr>
        <w:pStyle w:val="Caption"/>
      </w:pPr>
      <w:bookmarkStart w:id="21" w:name="_Ref237002943"/>
      <w:bookmarkStart w:id="22" w:name="_Toc237015200"/>
      <w:r>
        <w:t xml:space="preserve">Supplementary Figure </w:t>
      </w:r>
      <w:fldSimple w:instr=" SEQ Supplementary_Figure \* ARABIC ">
        <w:r w:rsidR="00AC2EF6">
          <w:rPr>
            <w:noProof/>
          </w:rPr>
          <w:t>1</w:t>
        </w:r>
      </w:fldSimple>
      <w:bookmarkEnd w:id="21"/>
      <w:r w:rsidRPr="13CED122">
        <w:rPr>
          <w:b/>
          <w:bCs/>
        </w:rPr>
        <w:t xml:space="preserve">. </w:t>
      </w:r>
      <w:r w:rsidRPr="00815AF4">
        <w:t>Associations between clinical characteristics and age gap.</w:t>
      </w:r>
      <w:bookmarkEnd w:id="22"/>
      <w:r w:rsidRPr="00815AF4">
        <w:t xml:space="preserve"> </w:t>
      </w:r>
    </w:p>
    <w:p w14:paraId="589D2281" w14:textId="77777777" w:rsidR="00A87C37" w:rsidRDefault="00A87C37" w:rsidP="00A87C37">
      <w:pPr>
        <w:pStyle w:val="Caption"/>
      </w:pPr>
      <w:r>
        <w:t>Multivariable linear regression coefficients with 95% confidence intervals (CI) for predictors of age gap. Positive age gap indicates earlier onset of age-related processes; negative values indicate later onset. IMD: Indices of Multiple Deprivation; COPD: Chronic Obstructive Pulmonary Disease.</w:t>
      </w:r>
    </w:p>
    <w:p w14:paraId="1F418781" w14:textId="77777777" w:rsidR="00A87C37" w:rsidRDefault="00A87C37" w:rsidP="007D3732">
      <w:pPr>
        <w:spacing w:before="240"/>
      </w:pPr>
    </w:p>
    <w:p w14:paraId="2FF83522" w14:textId="77777777" w:rsidR="00BD7115" w:rsidRDefault="00BD7115">
      <w:pPr>
        <w:spacing w:after="160" w:line="279" w:lineRule="auto"/>
      </w:pPr>
      <w:r>
        <w:br w:type="page"/>
      </w:r>
    </w:p>
    <w:p w14:paraId="601B27F3" w14:textId="77777777" w:rsidR="003067D6" w:rsidRPr="00033FE5" w:rsidRDefault="003067D6" w:rsidP="003067D6"/>
    <w:tbl>
      <w:tblPr>
        <w:tblStyle w:val="PlainTable3"/>
        <w:tblW w:w="0" w:type="auto"/>
        <w:tblLook w:val="0420" w:firstRow="1" w:lastRow="0" w:firstColumn="0" w:lastColumn="0" w:noHBand="0" w:noVBand="1"/>
      </w:tblPr>
      <w:tblGrid>
        <w:gridCol w:w="4650"/>
        <w:gridCol w:w="990"/>
        <w:gridCol w:w="1590"/>
        <w:gridCol w:w="1050"/>
        <w:gridCol w:w="705"/>
      </w:tblGrid>
      <w:tr w:rsidR="003067D6" w14:paraId="2E5F40DD" w14:textId="77777777" w:rsidTr="003C34D1">
        <w:trPr>
          <w:cnfStyle w:val="100000000000" w:firstRow="1" w:lastRow="0" w:firstColumn="0" w:lastColumn="0" w:oddVBand="0" w:evenVBand="0" w:oddHBand="0" w:evenHBand="0" w:firstRowFirstColumn="0" w:firstRowLastColumn="0" w:lastRowFirstColumn="0" w:lastRowLastColumn="0"/>
          <w:trHeight w:val="300"/>
        </w:trPr>
        <w:tc>
          <w:tcPr>
            <w:tcW w:w="4650" w:type="dxa"/>
          </w:tcPr>
          <w:p w14:paraId="0CD883E0" w14:textId="77777777" w:rsidR="003067D6" w:rsidRDefault="003067D6" w:rsidP="003C34D1">
            <w:pPr>
              <w:pStyle w:val="Tablebody"/>
            </w:pPr>
            <w:r>
              <w:t>Characteristic</w:t>
            </w:r>
          </w:p>
        </w:tc>
        <w:tc>
          <w:tcPr>
            <w:tcW w:w="990" w:type="dxa"/>
          </w:tcPr>
          <w:p w14:paraId="6947DFBF" w14:textId="77777777" w:rsidR="003067D6" w:rsidRDefault="003067D6" w:rsidP="003C34D1">
            <w:pPr>
              <w:pStyle w:val="Tablebody"/>
              <w:jc w:val="center"/>
            </w:pPr>
            <w:r>
              <w:t>Beta</w:t>
            </w:r>
          </w:p>
        </w:tc>
        <w:tc>
          <w:tcPr>
            <w:tcW w:w="1590" w:type="dxa"/>
          </w:tcPr>
          <w:p w14:paraId="055F8525" w14:textId="77777777" w:rsidR="003067D6" w:rsidRDefault="003067D6" w:rsidP="003C34D1">
            <w:pPr>
              <w:pStyle w:val="Tablebody"/>
              <w:jc w:val="center"/>
            </w:pPr>
            <w:r>
              <w:t>95% CI</w:t>
            </w:r>
          </w:p>
        </w:tc>
        <w:tc>
          <w:tcPr>
            <w:tcW w:w="1050" w:type="dxa"/>
          </w:tcPr>
          <w:p w14:paraId="3C839F5A" w14:textId="77777777" w:rsidR="003067D6" w:rsidRDefault="003067D6" w:rsidP="003C34D1">
            <w:pPr>
              <w:pStyle w:val="Tablebody"/>
              <w:jc w:val="right"/>
            </w:pPr>
            <w:r>
              <w:t>p-value</w:t>
            </w:r>
          </w:p>
        </w:tc>
        <w:tc>
          <w:tcPr>
            <w:tcW w:w="705" w:type="dxa"/>
          </w:tcPr>
          <w:p w14:paraId="20852167" w14:textId="77777777" w:rsidR="003067D6" w:rsidRDefault="003067D6" w:rsidP="003C34D1">
            <w:pPr>
              <w:pStyle w:val="Tablebody"/>
            </w:pPr>
            <w:r>
              <w:t>VIF</w:t>
            </w:r>
          </w:p>
        </w:tc>
      </w:tr>
      <w:tr w:rsidR="003067D6" w14:paraId="16AA7993" w14:textId="77777777" w:rsidTr="003C34D1">
        <w:trPr>
          <w:cnfStyle w:val="000000100000" w:firstRow="0" w:lastRow="0" w:firstColumn="0" w:lastColumn="0" w:oddVBand="0" w:evenVBand="0" w:oddHBand="1" w:evenHBand="0" w:firstRowFirstColumn="0" w:firstRowLastColumn="0" w:lastRowFirstColumn="0" w:lastRowLastColumn="0"/>
          <w:trHeight w:val="300"/>
        </w:trPr>
        <w:tc>
          <w:tcPr>
            <w:tcW w:w="4650" w:type="dxa"/>
          </w:tcPr>
          <w:p w14:paraId="17482CF6" w14:textId="77777777" w:rsidR="003067D6" w:rsidRDefault="003067D6" w:rsidP="003C34D1">
            <w:pPr>
              <w:pStyle w:val="Tablebody"/>
            </w:pPr>
            <w:r>
              <w:t>Sex, female</w:t>
            </w:r>
          </w:p>
        </w:tc>
        <w:tc>
          <w:tcPr>
            <w:tcW w:w="990" w:type="dxa"/>
          </w:tcPr>
          <w:p w14:paraId="46F1A891" w14:textId="77777777" w:rsidR="003067D6" w:rsidRDefault="003067D6" w:rsidP="003C34D1">
            <w:pPr>
              <w:pStyle w:val="Tablebody"/>
              <w:jc w:val="center"/>
            </w:pPr>
            <w:r>
              <w:t>0.07</w:t>
            </w:r>
          </w:p>
        </w:tc>
        <w:tc>
          <w:tcPr>
            <w:tcW w:w="1590" w:type="dxa"/>
          </w:tcPr>
          <w:p w14:paraId="3FDC9C4A" w14:textId="77777777" w:rsidR="003067D6" w:rsidRDefault="003067D6" w:rsidP="003C34D1">
            <w:pPr>
              <w:pStyle w:val="Tablebody"/>
              <w:jc w:val="center"/>
            </w:pPr>
            <w:r>
              <w:t>-0.16, 0.30</w:t>
            </w:r>
          </w:p>
        </w:tc>
        <w:tc>
          <w:tcPr>
            <w:tcW w:w="1050" w:type="dxa"/>
          </w:tcPr>
          <w:p w14:paraId="0D64A604" w14:textId="77777777" w:rsidR="003067D6" w:rsidRDefault="003067D6" w:rsidP="003C34D1">
            <w:pPr>
              <w:pStyle w:val="Tablebody"/>
              <w:jc w:val="right"/>
            </w:pPr>
            <w:r>
              <w:t>0.5</w:t>
            </w:r>
          </w:p>
        </w:tc>
        <w:tc>
          <w:tcPr>
            <w:tcW w:w="705" w:type="dxa"/>
          </w:tcPr>
          <w:p w14:paraId="6941A6D7" w14:textId="77777777" w:rsidR="003067D6" w:rsidRDefault="003067D6" w:rsidP="003C34D1">
            <w:pPr>
              <w:pStyle w:val="Tablebody"/>
            </w:pPr>
            <w:r>
              <w:t>1.0</w:t>
            </w:r>
          </w:p>
        </w:tc>
      </w:tr>
      <w:tr w:rsidR="003067D6" w14:paraId="6EDDBBB3" w14:textId="77777777" w:rsidTr="003C34D1">
        <w:trPr>
          <w:trHeight w:val="300"/>
        </w:trPr>
        <w:tc>
          <w:tcPr>
            <w:tcW w:w="4650" w:type="dxa"/>
          </w:tcPr>
          <w:p w14:paraId="2506AC5C" w14:textId="77777777" w:rsidR="003067D6" w:rsidRDefault="003067D6" w:rsidP="003C34D1">
            <w:pPr>
              <w:pStyle w:val="Tablebody"/>
            </w:pPr>
            <w:r>
              <w:t>Body mass index, kg/m²</w:t>
            </w:r>
          </w:p>
        </w:tc>
        <w:tc>
          <w:tcPr>
            <w:tcW w:w="990" w:type="dxa"/>
          </w:tcPr>
          <w:p w14:paraId="0C0F027E" w14:textId="77777777" w:rsidR="003067D6" w:rsidRDefault="003067D6" w:rsidP="003C34D1">
            <w:pPr>
              <w:pStyle w:val="Tablebody"/>
              <w:jc w:val="center"/>
            </w:pPr>
            <w:r>
              <w:t>0.44</w:t>
            </w:r>
          </w:p>
        </w:tc>
        <w:tc>
          <w:tcPr>
            <w:tcW w:w="1590" w:type="dxa"/>
          </w:tcPr>
          <w:p w14:paraId="36DF50AC" w14:textId="77777777" w:rsidR="003067D6" w:rsidRDefault="003067D6" w:rsidP="003C34D1">
            <w:pPr>
              <w:pStyle w:val="Tablebody"/>
              <w:jc w:val="center"/>
            </w:pPr>
            <w:r>
              <w:t>0.42, 0.46</w:t>
            </w:r>
          </w:p>
        </w:tc>
        <w:tc>
          <w:tcPr>
            <w:tcW w:w="1050" w:type="dxa"/>
          </w:tcPr>
          <w:p w14:paraId="3026B977" w14:textId="77777777" w:rsidR="003067D6" w:rsidRDefault="003067D6" w:rsidP="003C34D1">
            <w:pPr>
              <w:pStyle w:val="Tablebody"/>
              <w:jc w:val="right"/>
            </w:pPr>
            <w:r>
              <w:t>&lt;0.001</w:t>
            </w:r>
          </w:p>
        </w:tc>
        <w:tc>
          <w:tcPr>
            <w:tcW w:w="705" w:type="dxa"/>
          </w:tcPr>
          <w:p w14:paraId="58A5E20C" w14:textId="77777777" w:rsidR="003067D6" w:rsidRDefault="003067D6" w:rsidP="003C34D1">
            <w:pPr>
              <w:pStyle w:val="Tablebody"/>
            </w:pPr>
            <w:r>
              <w:t>1.1</w:t>
            </w:r>
          </w:p>
        </w:tc>
      </w:tr>
      <w:tr w:rsidR="003067D6" w14:paraId="5E87E2B2" w14:textId="77777777" w:rsidTr="003C34D1">
        <w:trPr>
          <w:cnfStyle w:val="000000100000" w:firstRow="0" w:lastRow="0" w:firstColumn="0" w:lastColumn="0" w:oddVBand="0" w:evenVBand="0" w:oddHBand="1" w:evenHBand="0" w:firstRowFirstColumn="0" w:firstRowLastColumn="0" w:lastRowFirstColumn="0" w:lastRowLastColumn="0"/>
          <w:trHeight w:val="300"/>
        </w:trPr>
        <w:tc>
          <w:tcPr>
            <w:tcW w:w="4650" w:type="dxa"/>
          </w:tcPr>
          <w:p w14:paraId="4B76BDF5" w14:textId="77777777" w:rsidR="003067D6" w:rsidRDefault="003067D6" w:rsidP="003C34D1">
            <w:pPr>
              <w:pStyle w:val="Tablebody"/>
            </w:pPr>
            <w:r>
              <w:t>Maximum educational attainment</w:t>
            </w:r>
          </w:p>
        </w:tc>
        <w:tc>
          <w:tcPr>
            <w:tcW w:w="990" w:type="dxa"/>
          </w:tcPr>
          <w:p w14:paraId="25624AA1" w14:textId="77777777" w:rsidR="003067D6" w:rsidRDefault="003067D6" w:rsidP="003C34D1">
            <w:pPr>
              <w:pStyle w:val="Tablebody"/>
              <w:jc w:val="center"/>
            </w:pPr>
            <w:r>
              <w:t>-0.23</w:t>
            </w:r>
          </w:p>
        </w:tc>
        <w:tc>
          <w:tcPr>
            <w:tcW w:w="1590" w:type="dxa"/>
          </w:tcPr>
          <w:p w14:paraId="46D5C82C" w14:textId="77777777" w:rsidR="003067D6" w:rsidRDefault="003067D6" w:rsidP="003C34D1">
            <w:pPr>
              <w:pStyle w:val="Tablebody"/>
              <w:jc w:val="center"/>
            </w:pPr>
            <w:r>
              <w:t>-0.30, -0.16</w:t>
            </w:r>
          </w:p>
        </w:tc>
        <w:tc>
          <w:tcPr>
            <w:tcW w:w="1050" w:type="dxa"/>
          </w:tcPr>
          <w:p w14:paraId="126D16FB" w14:textId="77777777" w:rsidR="003067D6" w:rsidRDefault="003067D6" w:rsidP="003C34D1">
            <w:pPr>
              <w:pStyle w:val="Tablebody"/>
              <w:jc w:val="right"/>
            </w:pPr>
            <w:r>
              <w:t>&lt;0.001</w:t>
            </w:r>
          </w:p>
        </w:tc>
        <w:tc>
          <w:tcPr>
            <w:tcW w:w="705" w:type="dxa"/>
          </w:tcPr>
          <w:p w14:paraId="7E174A3C" w14:textId="77777777" w:rsidR="003067D6" w:rsidRDefault="003067D6" w:rsidP="003C34D1">
            <w:pPr>
              <w:pStyle w:val="Tablebody"/>
            </w:pPr>
            <w:r>
              <w:t>1.0</w:t>
            </w:r>
          </w:p>
        </w:tc>
      </w:tr>
      <w:tr w:rsidR="003067D6" w14:paraId="4620FCED" w14:textId="77777777" w:rsidTr="003C34D1">
        <w:trPr>
          <w:trHeight w:val="300"/>
        </w:trPr>
        <w:tc>
          <w:tcPr>
            <w:tcW w:w="4650" w:type="dxa"/>
          </w:tcPr>
          <w:p w14:paraId="1E10AD18" w14:textId="77777777" w:rsidR="003067D6" w:rsidRDefault="003067D6" w:rsidP="003C34D1">
            <w:pPr>
              <w:pStyle w:val="Tablebody"/>
            </w:pPr>
            <w:r>
              <w:t>IMD rank quintile</w:t>
            </w:r>
          </w:p>
        </w:tc>
        <w:tc>
          <w:tcPr>
            <w:tcW w:w="990" w:type="dxa"/>
          </w:tcPr>
          <w:p w14:paraId="00CD30D0" w14:textId="77777777" w:rsidR="003067D6" w:rsidRDefault="003067D6" w:rsidP="003C34D1">
            <w:pPr>
              <w:pStyle w:val="Tablebody"/>
              <w:jc w:val="center"/>
            </w:pPr>
            <w:r>
              <w:t>-0.14</w:t>
            </w:r>
          </w:p>
        </w:tc>
        <w:tc>
          <w:tcPr>
            <w:tcW w:w="1590" w:type="dxa"/>
          </w:tcPr>
          <w:p w14:paraId="5AD64CCA" w14:textId="77777777" w:rsidR="003067D6" w:rsidRDefault="003067D6" w:rsidP="003C34D1">
            <w:pPr>
              <w:pStyle w:val="Tablebody"/>
              <w:jc w:val="center"/>
            </w:pPr>
            <w:r>
              <w:t>-0.24, -0.05</w:t>
            </w:r>
          </w:p>
        </w:tc>
        <w:tc>
          <w:tcPr>
            <w:tcW w:w="1050" w:type="dxa"/>
          </w:tcPr>
          <w:p w14:paraId="6A4CC82F" w14:textId="77777777" w:rsidR="003067D6" w:rsidRDefault="003067D6" w:rsidP="003C34D1">
            <w:pPr>
              <w:pStyle w:val="Tablebody"/>
              <w:jc w:val="right"/>
            </w:pPr>
            <w:r>
              <w:t>0.003</w:t>
            </w:r>
          </w:p>
        </w:tc>
        <w:tc>
          <w:tcPr>
            <w:tcW w:w="705" w:type="dxa"/>
          </w:tcPr>
          <w:p w14:paraId="1EA8A079" w14:textId="77777777" w:rsidR="003067D6" w:rsidRDefault="003067D6" w:rsidP="003C34D1">
            <w:pPr>
              <w:pStyle w:val="Tablebody"/>
            </w:pPr>
            <w:r>
              <w:t>1.0</w:t>
            </w:r>
          </w:p>
        </w:tc>
      </w:tr>
      <w:tr w:rsidR="003067D6" w14:paraId="5A878FBC" w14:textId="77777777" w:rsidTr="003C34D1">
        <w:trPr>
          <w:cnfStyle w:val="000000100000" w:firstRow="0" w:lastRow="0" w:firstColumn="0" w:lastColumn="0" w:oddVBand="0" w:evenVBand="0" w:oddHBand="1" w:evenHBand="0" w:firstRowFirstColumn="0" w:firstRowLastColumn="0" w:lastRowFirstColumn="0" w:lastRowLastColumn="0"/>
          <w:trHeight w:val="300"/>
        </w:trPr>
        <w:tc>
          <w:tcPr>
            <w:tcW w:w="4650" w:type="dxa"/>
          </w:tcPr>
          <w:p w14:paraId="7A93E80F" w14:textId="77777777" w:rsidR="003067D6" w:rsidRDefault="003067D6" w:rsidP="003C34D1">
            <w:pPr>
              <w:pStyle w:val="Tablebody"/>
            </w:pPr>
            <w:r>
              <w:t>COPD, bronchitis or emphysema diagnosis</w:t>
            </w:r>
          </w:p>
        </w:tc>
        <w:tc>
          <w:tcPr>
            <w:tcW w:w="990" w:type="dxa"/>
          </w:tcPr>
          <w:p w14:paraId="173A9118" w14:textId="77777777" w:rsidR="003067D6" w:rsidRDefault="003067D6" w:rsidP="003C34D1">
            <w:pPr>
              <w:pStyle w:val="Tablebody"/>
              <w:jc w:val="center"/>
            </w:pPr>
            <w:r>
              <w:t>1.3</w:t>
            </w:r>
          </w:p>
        </w:tc>
        <w:tc>
          <w:tcPr>
            <w:tcW w:w="1590" w:type="dxa"/>
          </w:tcPr>
          <w:p w14:paraId="3CDD131F" w14:textId="77777777" w:rsidR="003067D6" w:rsidRDefault="003067D6" w:rsidP="003C34D1">
            <w:pPr>
              <w:pStyle w:val="Tablebody"/>
              <w:jc w:val="center"/>
            </w:pPr>
            <w:r>
              <w:t>1.0, 1.5</w:t>
            </w:r>
          </w:p>
        </w:tc>
        <w:tc>
          <w:tcPr>
            <w:tcW w:w="1050" w:type="dxa"/>
          </w:tcPr>
          <w:p w14:paraId="08335818" w14:textId="77777777" w:rsidR="003067D6" w:rsidRDefault="003067D6" w:rsidP="003C34D1">
            <w:pPr>
              <w:pStyle w:val="Tablebody"/>
              <w:jc w:val="right"/>
            </w:pPr>
            <w:r>
              <w:t>&lt;0.001</w:t>
            </w:r>
          </w:p>
        </w:tc>
        <w:tc>
          <w:tcPr>
            <w:tcW w:w="705" w:type="dxa"/>
          </w:tcPr>
          <w:p w14:paraId="34C73D4D" w14:textId="77777777" w:rsidR="003067D6" w:rsidRDefault="003067D6" w:rsidP="003C34D1">
            <w:pPr>
              <w:pStyle w:val="Tablebody"/>
            </w:pPr>
            <w:r>
              <w:t>1.0</w:t>
            </w:r>
          </w:p>
        </w:tc>
      </w:tr>
      <w:tr w:rsidR="003067D6" w14:paraId="4DB20E95" w14:textId="77777777" w:rsidTr="003C34D1">
        <w:trPr>
          <w:trHeight w:val="300"/>
        </w:trPr>
        <w:tc>
          <w:tcPr>
            <w:tcW w:w="4650" w:type="dxa"/>
          </w:tcPr>
          <w:p w14:paraId="1DA1F431" w14:textId="77777777" w:rsidR="003067D6" w:rsidRDefault="003067D6" w:rsidP="003C34D1">
            <w:pPr>
              <w:pStyle w:val="Tablebody"/>
            </w:pPr>
            <w:r>
              <w:t>Current smoker (any tobacco)</w:t>
            </w:r>
          </w:p>
        </w:tc>
        <w:tc>
          <w:tcPr>
            <w:tcW w:w="990" w:type="dxa"/>
          </w:tcPr>
          <w:p w14:paraId="6921CDEC" w14:textId="77777777" w:rsidR="003067D6" w:rsidRDefault="003067D6" w:rsidP="003C34D1">
            <w:pPr>
              <w:pStyle w:val="Tablebody"/>
              <w:jc w:val="center"/>
            </w:pPr>
            <w:r>
              <w:t>-0.26</w:t>
            </w:r>
          </w:p>
        </w:tc>
        <w:tc>
          <w:tcPr>
            <w:tcW w:w="1590" w:type="dxa"/>
          </w:tcPr>
          <w:p w14:paraId="50E5B392" w14:textId="77777777" w:rsidR="003067D6" w:rsidRDefault="003067D6" w:rsidP="003C34D1">
            <w:pPr>
              <w:pStyle w:val="Tablebody"/>
              <w:jc w:val="center"/>
            </w:pPr>
            <w:r>
              <w:t>-0.56, 0.05</w:t>
            </w:r>
          </w:p>
        </w:tc>
        <w:tc>
          <w:tcPr>
            <w:tcW w:w="1050" w:type="dxa"/>
          </w:tcPr>
          <w:p w14:paraId="1726C3E7" w14:textId="77777777" w:rsidR="003067D6" w:rsidRDefault="003067D6" w:rsidP="003C34D1">
            <w:pPr>
              <w:pStyle w:val="Tablebody"/>
              <w:jc w:val="right"/>
            </w:pPr>
            <w:r>
              <w:t>0.10</w:t>
            </w:r>
          </w:p>
        </w:tc>
        <w:tc>
          <w:tcPr>
            <w:tcW w:w="705" w:type="dxa"/>
          </w:tcPr>
          <w:p w14:paraId="453642EB" w14:textId="77777777" w:rsidR="003067D6" w:rsidRDefault="003067D6" w:rsidP="003C34D1">
            <w:pPr>
              <w:pStyle w:val="Tablebody"/>
            </w:pPr>
            <w:r>
              <w:t>1.8</w:t>
            </w:r>
          </w:p>
        </w:tc>
      </w:tr>
      <w:tr w:rsidR="003067D6" w14:paraId="6905C78B" w14:textId="77777777" w:rsidTr="003C34D1">
        <w:trPr>
          <w:cnfStyle w:val="000000100000" w:firstRow="0" w:lastRow="0" w:firstColumn="0" w:lastColumn="0" w:oddVBand="0" w:evenVBand="0" w:oddHBand="1" w:evenHBand="0" w:firstRowFirstColumn="0" w:firstRowLastColumn="0" w:lastRowFirstColumn="0" w:lastRowLastColumn="0"/>
          <w:trHeight w:val="300"/>
        </w:trPr>
        <w:tc>
          <w:tcPr>
            <w:tcW w:w="4650" w:type="dxa"/>
          </w:tcPr>
          <w:p w14:paraId="42E64278" w14:textId="77777777" w:rsidR="003067D6" w:rsidRDefault="003067D6" w:rsidP="003C34D1">
            <w:pPr>
              <w:pStyle w:val="Tablebody"/>
            </w:pPr>
            <w:r>
              <w:t>Weighted smoking amount, 10PY</w:t>
            </w:r>
          </w:p>
        </w:tc>
        <w:tc>
          <w:tcPr>
            <w:tcW w:w="990" w:type="dxa"/>
          </w:tcPr>
          <w:p w14:paraId="1690D55B" w14:textId="77777777" w:rsidR="003067D6" w:rsidRDefault="003067D6" w:rsidP="003C34D1">
            <w:pPr>
              <w:pStyle w:val="Tablebody"/>
              <w:jc w:val="center"/>
            </w:pPr>
            <w:r>
              <w:t>0.85</w:t>
            </w:r>
          </w:p>
        </w:tc>
        <w:tc>
          <w:tcPr>
            <w:tcW w:w="1590" w:type="dxa"/>
          </w:tcPr>
          <w:p w14:paraId="4D55BCC7" w14:textId="77777777" w:rsidR="003067D6" w:rsidRDefault="003067D6" w:rsidP="003C34D1">
            <w:pPr>
              <w:pStyle w:val="Tablebody"/>
              <w:jc w:val="center"/>
            </w:pPr>
            <w:r>
              <w:t>0.73, 0.98</w:t>
            </w:r>
          </w:p>
        </w:tc>
        <w:tc>
          <w:tcPr>
            <w:tcW w:w="1050" w:type="dxa"/>
          </w:tcPr>
          <w:p w14:paraId="6D380B63" w14:textId="77777777" w:rsidR="003067D6" w:rsidRDefault="003067D6" w:rsidP="003C34D1">
            <w:pPr>
              <w:pStyle w:val="Tablebody"/>
              <w:jc w:val="right"/>
            </w:pPr>
            <w:r>
              <w:t>&lt;0.001</w:t>
            </w:r>
          </w:p>
        </w:tc>
        <w:tc>
          <w:tcPr>
            <w:tcW w:w="705" w:type="dxa"/>
          </w:tcPr>
          <w:p w14:paraId="1A19C0CA" w14:textId="77777777" w:rsidR="003067D6" w:rsidRDefault="003067D6" w:rsidP="003C34D1">
            <w:pPr>
              <w:pStyle w:val="Tablebody"/>
            </w:pPr>
            <w:r>
              <w:t>1.1</w:t>
            </w:r>
          </w:p>
        </w:tc>
      </w:tr>
      <w:tr w:rsidR="003067D6" w14:paraId="29C3F401" w14:textId="77777777" w:rsidTr="003C34D1">
        <w:trPr>
          <w:trHeight w:val="300"/>
        </w:trPr>
        <w:tc>
          <w:tcPr>
            <w:tcW w:w="4650" w:type="dxa"/>
          </w:tcPr>
          <w:p w14:paraId="1DC50840" w14:textId="77777777" w:rsidR="003067D6" w:rsidRDefault="003067D6" w:rsidP="003C34D1">
            <w:pPr>
              <w:pStyle w:val="Tablebody"/>
            </w:pPr>
            <w:r>
              <w:t>Time since stopping all tobacco, 10y</w:t>
            </w:r>
          </w:p>
        </w:tc>
        <w:tc>
          <w:tcPr>
            <w:tcW w:w="990" w:type="dxa"/>
          </w:tcPr>
          <w:p w14:paraId="2ADA302E" w14:textId="77777777" w:rsidR="003067D6" w:rsidRDefault="003067D6" w:rsidP="003C34D1">
            <w:pPr>
              <w:pStyle w:val="Tablebody"/>
              <w:jc w:val="center"/>
            </w:pPr>
            <w:r>
              <w:t>-1.2</w:t>
            </w:r>
          </w:p>
        </w:tc>
        <w:tc>
          <w:tcPr>
            <w:tcW w:w="1590" w:type="dxa"/>
          </w:tcPr>
          <w:p w14:paraId="0F771FA4" w14:textId="77777777" w:rsidR="003067D6" w:rsidRDefault="003067D6" w:rsidP="003C34D1">
            <w:pPr>
              <w:pStyle w:val="Tablebody"/>
              <w:jc w:val="center"/>
            </w:pPr>
            <w:r>
              <w:t>-1.5, -0.93</w:t>
            </w:r>
          </w:p>
        </w:tc>
        <w:tc>
          <w:tcPr>
            <w:tcW w:w="1050" w:type="dxa"/>
          </w:tcPr>
          <w:p w14:paraId="6805A2A1" w14:textId="77777777" w:rsidR="003067D6" w:rsidRDefault="003067D6" w:rsidP="003C34D1">
            <w:pPr>
              <w:pStyle w:val="Tablebody"/>
              <w:jc w:val="right"/>
            </w:pPr>
            <w:r>
              <w:t>&lt;0.001</w:t>
            </w:r>
          </w:p>
        </w:tc>
        <w:tc>
          <w:tcPr>
            <w:tcW w:w="705" w:type="dxa"/>
          </w:tcPr>
          <w:p w14:paraId="3B3CE257" w14:textId="77777777" w:rsidR="003067D6" w:rsidRDefault="003067D6" w:rsidP="003C34D1">
            <w:pPr>
              <w:pStyle w:val="Tablebody"/>
            </w:pPr>
            <w:r>
              <w:t>2.4</w:t>
            </w:r>
          </w:p>
        </w:tc>
      </w:tr>
      <w:tr w:rsidR="003067D6" w14:paraId="6DE6D4EA" w14:textId="77777777" w:rsidTr="003C34D1">
        <w:trPr>
          <w:cnfStyle w:val="000000100000" w:firstRow="0" w:lastRow="0" w:firstColumn="0" w:lastColumn="0" w:oddVBand="0" w:evenVBand="0" w:oddHBand="1" w:evenHBand="0" w:firstRowFirstColumn="0" w:firstRowLastColumn="0" w:lastRowFirstColumn="0" w:lastRowLastColumn="0"/>
          <w:trHeight w:val="300"/>
        </w:trPr>
        <w:tc>
          <w:tcPr>
            <w:tcW w:w="4650" w:type="dxa"/>
          </w:tcPr>
          <w:p w14:paraId="5D74A061" w14:textId="77777777" w:rsidR="003067D6" w:rsidRDefault="003067D6" w:rsidP="003C34D1">
            <w:pPr>
              <w:pStyle w:val="Tablebody"/>
            </w:pPr>
            <w:r>
              <w:t>Sex, female * Time since stopping all tobacco, 10y</w:t>
            </w:r>
          </w:p>
        </w:tc>
        <w:tc>
          <w:tcPr>
            <w:tcW w:w="990" w:type="dxa"/>
          </w:tcPr>
          <w:p w14:paraId="5E399728" w14:textId="77777777" w:rsidR="003067D6" w:rsidRDefault="003067D6" w:rsidP="003C34D1">
            <w:pPr>
              <w:pStyle w:val="Tablebody"/>
              <w:jc w:val="center"/>
            </w:pPr>
            <w:r>
              <w:t>-0.40</w:t>
            </w:r>
          </w:p>
        </w:tc>
        <w:tc>
          <w:tcPr>
            <w:tcW w:w="1590" w:type="dxa"/>
          </w:tcPr>
          <w:p w14:paraId="6268C547" w14:textId="77777777" w:rsidR="003067D6" w:rsidRDefault="003067D6" w:rsidP="003C34D1">
            <w:pPr>
              <w:pStyle w:val="Tablebody"/>
              <w:jc w:val="center"/>
            </w:pPr>
            <w:r>
              <w:t>-0.78, -0.01</w:t>
            </w:r>
          </w:p>
        </w:tc>
        <w:tc>
          <w:tcPr>
            <w:tcW w:w="1050" w:type="dxa"/>
          </w:tcPr>
          <w:p w14:paraId="68651646" w14:textId="77777777" w:rsidR="003067D6" w:rsidRDefault="003067D6" w:rsidP="003C34D1">
            <w:pPr>
              <w:pStyle w:val="Tablebody"/>
              <w:jc w:val="right"/>
            </w:pPr>
            <w:r>
              <w:t>0.043</w:t>
            </w:r>
          </w:p>
        </w:tc>
        <w:tc>
          <w:tcPr>
            <w:tcW w:w="705" w:type="dxa"/>
          </w:tcPr>
          <w:p w14:paraId="09146156" w14:textId="77777777" w:rsidR="003067D6" w:rsidRDefault="003067D6" w:rsidP="003C34D1">
            <w:pPr>
              <w:pStyle w:val="Tablebody"/>
            </w:pPr>
            <w:r>
              <w:t>1.7</w:t>
            </w:r>
          </w:p>
        </w:tc>
      </w:tr>
    </w:tbl>
    <w:p w14:paraId="4B830972" w14:textId="77777777" w:rsidR="003067D6" w:rsidRDefault="003067D6" w:rsidP="003067D6">
      <w:pPr>
        <w:spacing w:after="160" w:line="279" w:lineRule="auto"/>
      </w:pPr>
    </w:p>
    <w:p w14:paraId="7D0E3EBD" w14:textId="0C320B24" w:rsidR="00B13C75" w:rsidRDefault="00B13C75" w:rsidP="003B4C19">
      <w:pPr>
        <w:pStyle w:val="Caption"/>
      </w:pPr>
      <w:bookmarkStart w:id="23" w:name="_Ref237003009"/>
      <w:bookmarkStart w:id="24" w:name="_Ref237003005"/>
      <w:bookmarkStart w:id="25" w:name="_Toc237015188"/>
      <w:r>
        <w:t xml:space="preserve">Supplementary Table </w:t>
      </w:r>
      <w:fldSimple w:instr=" SEQ Supplementary_Table \* ARABIC ">
        <w:r w:rsidR="00AC2EF6">
          <w:rPr>
            <w:noProof/>
          </w:rPr>
          <w:t>6</w:t>
        </w:r>
      </w:fldSimple>
      <w:bookmarkEnd w:id="23"/>
      <w:r w:rsidR="003067D6" w:rsidRPr="4B29E1AF">
        <w:rPr>
          <w:b/>
          <w:bCs/>
        </w:rPr>
        <w:t xml:space="preserve">. </w:t>
      </w:r>
      <w:r w:rsidR="003067D6" w:rsidRPr="00B13C75">
        <w:t>Multivariable linear regression of age offset and clinical characteristics.</w:t>
      </w:r>
      <w:bookmarkEnd w:id="24"/>
      <w:bookmarkEnd w:id="25"/>
      <w:r w:rsidR="003067D6" w:rsidRPr="4B29E1AF">
        <w:rPr>
          <w:b/>
          <w:bCs/>
        </w:rPr>
        <w:t xml:space="preserve"> </w:t>
      </w:r>
    </w:p>
    <w:p w14:paraId="2689E12E" w14:textId="77777777" w:rsidR="004E75FE" w:rsidRDefault="003067D6" w:rsidP="003B4C19">
      <w:pPr>
        <w:pStyle w:val="Caption"/>
      </w:pPr>
      <w:r>
        <w:t xml:space="preserve">Total smoking duration and years since stopping all tobacco are expressed in </w:t>
      </w:r>
      <w:proofErr w:type="gramStart"/>
      <w:r>
        <w:t>10 year</w:t>
      </w:r>
      <w:proofErr w:type="gramEnd"/>
      <w:r>
        <w:t xml:space="preserve"> units and are centered on 44 years and 21 years respectively. Weighted smoking amount is expressed in 10 pack-year </w:t>
      </w:r>
      <w:proofErr w:type="gramStart"/>
      <w:r>
        <w:t>equivalents, and</w:t>
      </w:r>
      <w:proofErr w:type="gramEnd"/>
      <w:r>
        <w:t xml:space="preserve"> is centered on 4 pack-years. CI: Confidence Interval; VIF: Variance Inflation Factor; IMD: Indices of Multiple Deprivation; COPD: Chronic Obstructive Pulmonary Disease; PY: Pack-years.</w:t>
      </w:r>
    </w:p>
    <w:p w14:paraId="129079C1" w14:textId="77777777" w:rsidR="00EE53EC" w:rsidRDefault="00EE53EC">
      <w:pPr>
        <w:spacing w:after="160" w:line="279" w:lineRule="auto"/>
      </w:pPr>
    </w:p>
    <w:p w14:paraId="4B9BA4FF" w14:textId="77777777" w:rsidR="003F22FA" w:rsidRDefault="003F22FA">
      <w:pPr>
        <w:spacing w:after="160" w:line="279" w:lineRule="auto"/>
        <w:rPr>
          <w:color w:val="0F4761" w:themeColor="accent1" w:themeShade="BF"/>
          <w:sz w:val="36"/>
          <w:szCs w:val="36"/>
        </w:rPr>
      </w:pPr>
      <w:r>
        <w:br w:type="page"/>
      </w:r>
    </w:p>
    <w:p w14:paraId="2D15BA35" w14:textId="77777777" w:rsidR="00EE53EC" w:rsidRDefault="00EE53EC" w:rsidP="00EE53EC">
      <w:pPr>
        <w:pStyle w:val="Heading1"/>
      </w:pPr>
      <w:bookmarkStart w:id="26" w:name="_Toc237015177"/>
      <w:r>
        <w:lastRenderedPageBreak/>
        <w:t>Evaluation of model discrimination &amp; calibration</w:t>
      </w:r>
      <w:bookmarkEnd w:id="26"/>
    </w:p>
    <w:p w14:paraId="3595487D" w14:textId="4E3B7939" w:rsidR="00EE53EC" w:rsidRPr="00731B47" w:rsidRDefault="00EE53EC" w:rsidP="00EE53EC">
      <w:r w:rsidRPr="4B29E1AF">
        <w:t>Model discrimination was assessed by concordance (C-index) at 5 years of follow-up, estimated using inverse probability of censoring weighting. C-indices between models were compared using the i</w:t>
      </w:r>
      <w:r>
        <w:t>ndependent and identically distributed</w:t>
      </w:r>
      <w:r w:rsidRPr="4B29E1AF">
        <w:t xml:space="preserve">-representation-based comparison test, which accounts for the paired nature of measurements on the same </w:t>
      </w:r>
      <w:r>
        <w:t>individuals</w:t>
      </w:r>
      <w:r w:rsidRPr="4B29E1AF">
        <w:t xml:space="preserve"> and adjusts for multiple testing </w:t>
      </w:r>
      <w:proofErr w:type="gramStart"/>
      <w:r w:rsidRPr="4B29E1AF">
        <w:t>across time</w:t>
      </w:r>
      <w:proofErr w:type="gramEnd"/>
      <w:r w:rsidRPr="4B29E1AF">
        <w:t xml:space="preserve"> points</w:t>
      </w:r>
      <w:r w:rsidR="0080282B" w:rsidRPr="0080282B">
        <w:rPr>
          <w:color w:val="000000"/>
          <w:vertAlign w:val="superscript"/>
        </w:rPr>
        <w:t>6</w:t>
      </w:r>
      <w:r>
        <w:t>.</w:t>
      </w:r>
    </w:p>
    <w:p w14:paraId="3B0AB6F5" w14:textId="77777777" w:rsidR="00A40DBE" w:rsidRDefault="00EE53EC" w:rsidP="0002717A">
      <w:r w:rsidRPr="00BA35BB">
        <w:t>We tested differences in concordance indices between models using cluster-aware bootstrap resampling (1,000 iterations) that preserved the IECV structure. For each iteration, we resampled clusters with replacement and meta-analyzed cluster-specific concordance indices using random-effects models. Two-sided p-values and 95% confidence intervals were calculated from the bootstrap distribution of differences.</w:t>
      </w:r>
    </w:p>
    <w:p w14:paraId="25199CCA" w14:textId="77777777" w:rsidR="00EE53EC" w:rsidRPr="00EE53EC" w:rsidRDefault="00EE53EC" w:rsidP="00EE53EC"/>
    <w:tbl>
      <w:tblPr>
        <w:tblStyle w:val="PlainTable3"/>
        <w:tblW w:w="0" w:type="auto"/>
        <w:tblLook w:val="06A0" w:firstRow="1" w:lastRow="0" w:firstColumn="1" w:lastColumn="0" w:noHBand="1" w:noVBand="1"/>
      </w:tblPr>
      <w:tblGrid>
        <w:gridCol w:w="2312"/>
        <w:gridCol w:w="1209"/>
        <w:gridCol w:w="1138"/>
        <w:gridCol w:w="2155"/>
        <w:gridCol w:w="2212"/>
      </w:tblGrid>
      <w:tr w:rsidR="002779F0" w14:paraId="19147686" w14:textId="77777777" w:rsidTr="00EE53E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521" w:type="dxa"/>
            <w:gridSpan w:val="2"/>
          </w:tcPr>
          <w:p w14:paraId="62A0A54E" w14:textId="77777777" w:rsidR="002779F0" w:rsidRDefault="002779F0" w:rsidP="003C34D1">
            <w:pPr>
              <w:pStyle w:val="Tablebody"/>
            </w:pPr>
          </w:p>
        </w:tc>
        <w:tc>
          <w:tcPr>
            <w:tcW w:w="1138" w:type="dxa"/>
          </w:tcPr>
          <w:p w14:paraId="47F29CD1"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n</w:t>
            </w:r>
          </w:p>
        </w:tc>
        <w:tc>
          <w:tcPr>
            <w:tcW w:w="2155" w:type="dxa"/>
          </w:tcPr>
          <w:p w14:paraId="4176E4F4"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Calibration Slope (95% CI)</w:t>
            </w:r>
          </w:p>
        </w:tc>
        <w:tc>
          <w:tcPr>
            <w:tcW w:w="2212" w:type="dxa"/>
          </w:tcPr>
          <w:p w14:paraId="093A351E"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Intercept (95% CI)</w:t>
            </w:r>
          </w:p>
        </w:tc>
      </w:tr>
      <w:tr w:rsidR="002779F0" w14:paraId="5EDAB2FA" w14:textId="77777777" w:rsidTr="00EE53EC">
        <w:trPr>
          <w:trHeight w:val="300"/>
        </w:trPr>
        <w:tc>
          <w:tcPr>
            <w:cnfStyle w:val="001000000000" w:firstRow="0" w:lastRow="0" w:firstColumn="1" w:lastColumn="0" w:oddVBand="0" w:evenVBand="0" w:oddHBand="0" w:evenHBand="0" w:firstRowFirstColumn="0" w:firstRowLastColumn="0" w:lastRowFirstColumn="0" w:lastRowLastColumn="0"/>
            <w:tcW w:w="2312" w:type="dxa"/>
            <w:vMerge w:val="restart"/>
          </w:tcPr>
          <w:p w14:paraId="4113B61E" w14:textId="77777777" w:rsidR="002779F0" w:rsidRDefault="002779F0" w:rsidP="003C34D1">
            <w:pPr>
              <w:pStyle w:val="Tablebody"/>
            </w:pPr>
            <w:r>
              <w:t>Base</w:t>
            </w:r>
          </w:p>
        </w:tc>
        <w:tc>
          <w:tcPr>
            <w:tcW w:w="1209" w:type="dxa"/>
          </w:tcPr>
          <w:p w14:paraId="2C3E62A9"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138" w:type="dxa"/>
          </w:tcPr>
          <w:p w14:paraId="705BA4F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4581</w:t>
            </w:r>
          </w:p>
        </w:tc>
        <w:tc>
          <w:tcPr>
            <w:tcW w:w="2155" w:type="dxa"/>
          </w:tcPr>
          <w:p w14:paraId="06D5759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0.93 (0.68–1.18)</w:t>
            </w:r>
          </w:p>
        </w:tc>
        <w:tc>
          <w:tcPr>
            <w:tcW w:w="2212" w:type="dxa"/>
          </w:tcPr>
          <w:p w14:paraId="460C3F06"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0.04 (−0.11–0.20)</w:t>
            </w:r>
          </w:p>
        </w:tc>
      </w:tr>
      <w:tr w:rsidR="002779F0" w14:paraId="297DE4A3" w14:textId="77777777" w:rsidTr="00EE53EC">
        <w:trPr>
          <w:trHeight w:val="300"/>
        </w:trPr>
        <w:tc>
          <w:tcPr>
            <w:cnfStyle w:val="001000000000" w:firstRow="0" w:lastRow="0" w:firstColumn="1" w:lastColumn="0" w:oddVBand="0" w:evenVBand="0" w:oddHBand="0" w:evenHBand="0" w:firstRowFirstColumn="0" w:firstRowLastColumn="0" w:lastRowFirstColumn="0" w:lastRowLastColumn="0"/>
            <w:tcW w:w="2312" w:type="dxa"/>
            <w:vMerge/>
          </w:tcPr>
          <w:p w14:paraId="07110CF2" w14:textId="77777777" w:rsidR="002779F0" w:rsidRDefault="002779F0" w:rsidP="003C34D1"/>
        </w:tc>
        <w:tc>
          <w:tcPr>
            <w:tcW w:w="1209" w:type="dxa"/>
          </w:tcPr>
          <w:p w14:paraId="342A578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138" w:type="dxa"/>
          </w:tcPr>
          <w:p w14:paraId="576C0DE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4642</w:t>
            </w:r>
          </w:p>
        </w:tc>
        <w:tc>
          <w:tcPr>
            <w:tcW w:w="2155" w:type="dxa"/>
          </w:tcPr>
          <w:p w14:paraId="675D9A6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0.65 (0.43–0.86)</w:t>
            </w:r>
          </w:p>
        </w:tc>
        <w:tc>
          <w:tcPr>
            <w:tcW w:w="2212" w:type="dxa"/>
          </w:tcPr>
          <w:p w14:paraId="0CF837B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−0.15 (−0.30–0.01)</w:t>
            </w:r>
          </w:p>
        </w:tc>
      </w:tr>
      <w:tr w:rsidR="002779F0" w14:paraId="5A8F8A30" w14:textId="77777777" w:rsidTr="00EE53EC">
        <w:trPr>
          <w:trHeight w:val="300"/>
        </w:trPr>
        <w:tc>
          <w:tcPr>
            <w:cnfStyle w:val="001000000000" w:firstRow="0" w:lastRow="0" w:firstColumn="1" w:lastColumn="0" w:oddVBand="0" w:evenVBand="0" w:oddHBand="0" w:evenHBand="0" w:firstRowFirstColumn="0" w:firstRowLastColumn="0" w:lastRowFirstColumn="0" w:lastRowLastColumn="0"/>
            <w:tcW w:w="2312" w:type="dxa"/>
            <w:vMerge/>
          </w:tcPr>
          <w:p w14:paraId="5DB8F86F" w14:textId="77777777" w:rsidR="002779F0" w:rsidRDefault="002779F0" w:rsidP="003C34D1"/>
        </w:tc>
        <w:tc>
          <w:tcPr>
            <w:tcW w:w="1209" w:type="dxa"/>
          </w:tcPr>
          <w:p w14:paraId="1C1FB58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138" w:type="dxa"/>
          </w:tcPr>
          <w:p w14:paraId="0783076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3079</w:t>
            </w:r>
          </w:p>
        </w:tc>
        <w:tc>
          <w:tcPr>
            <w:tcW w:w="2155" w:type="dxa"/>
          </w:tcPr>
          <w:p w14:paraId="48BEF53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0.85 (0.53–1.18)</w:t>
            </w:r>
          </w:p>
        </w:tc>
        <w:tc>
          <w:tcPr>
            <w:tcW w:w="2212" w:type="dxa"/>
          </w:tcPr>
          <w:p w14:paraId="60D15AA6"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−0.10 (−0.29–0.09)</w:t>
            </w:r>
          </w:p>
        </w:tc>
      </w:tr>
      <w:tr w:rsidR="002779F0" w14:paraId="70B30FAF" w14:textId="77777777" w:rsidTr="00EE53EC">
        <w:trPr>
          <w:trHeight w:val="300"/>
        </w:trPr>
        <w:tc>
          <w:tcPr>
            <w:cnfStyle w:val="001000000000" w:firstRow="0" w:lastRow="0" w:firstColumn="1" w:lastColumn="0" w:oddVBand="0" w:evenVBand="0" w:oddHBand="0" w:evenHBand="0" w:firstRowFirstColumn="0" w:firstRowLastColumn="0" w:lastRowFirstColumn="0" w:lastRowLastColumn="0"/>
            <w:tcW w:w="2312" w:type="dxa"/>
            <w:vMerge/>
          </w:tcPr>
          <w:p w14:paraId="4FB54541" w14:textId="77777777" w:rsidR="002779F0" w:rsidRDefault="002779F0" w:rsidP="003C34D1"/>
        </w:tc>
        <w:tc>
          <w:tcPr>
            <w:tcW w:w="1209" w:type="dxa"/>
          </w:tcPr>
          <w:p w14:paraId="782EA514"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138" w:type="dxa"/>
          </w:tcPr>
          <w:p w14:paraId="307FE1A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12302</w:t>
            </w:r>
          </w:p>
        </w:tc>
        <w:tc>
          <w:tcPr>
            <w:tcW w:w="2155" w:type="dxa"/>
          </w:tcPr>
          <w:p w14:paraId="34FFD6F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0.79 (0.61–0.98)</w:t>
            </w:r>
          </w:p>
        </w:tc>
        <w:tc>
          <w:tcPr>
            <w:tcW w:w="2212" w:type="dxa"/>
          </w:tcPr>
          <w:p w14:paraId="55E5EC9C"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−0.07 (−0.19–0.05)</w:t>
            </w:r>
          </w:p>
        </w:tc>
      </w:tr>
      <w:tr w:rsidR="002779F0" w14:paraId="2424792D" w14:textId="77777777" w:rsidTr="00EE53EC">
        <w:trPr>
          <w:trHeight w:val="300"/>
        </w:trPr>
        <w:tc>
          <w:tcPr>
            <w:cnfStyle w:val="001000000000" w:firstRow="0" w:lastRow="0" w:firstColumn="1" w:lastColumn="0" w:oddVBand="0" w:evenVBand="0" w:oddHBand="0" w:evenHBand="0" w:firstRowFirstColumn="0" w:firstRowLastColumn="0" w:lastRowFirstColumn="0" w:lastRowLastColumn="0"/>
            <w:tcW w:w="2312" w:type="dxa"/>
            <w:vMerge w:val="restart"/>
          </w:tcPr>
          <w:p w14:paraId="206DA5CF" w14:textId="77777777" w:rsidR="002779F0" w:rsidRDefault="002779F0" w:rsidP="003C34D1">
            <w:pPr>
              <w:pStyle w:val="Tablebody"/>
            </w:pPr>
            <w:r>
              <w:t xml:space="preserve">Base + Age gap </w:t>
            </w:r>
          </w:p>
        </w:tc>
        <w:tc>
          <w:tcPr>
            <w:tcW w:w="1209" w:type="dxa"/>
          </w:tcPr>
          <w:p w14:paraId="297ECC2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138" w:type="dxa"/>
          </w:tcPr>
          <w:p w14:paraId="006A6809"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4581</w:t>
            </w:r>
          </w:p>
        </w:tc>
        <w:tc>
          <w:tcPr>
            <w:tcW w:w="2155" w:type="dxa"/>
          </w:tcPr>
          <w:p w14:paraId="0D25C46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0.90 (0.66–1.14)</w:t>
            </w:r>
          </w:p>
        </w:tc>
        <w:tc>
          <w:tcPr>
            <w:tcW w:w="2212" w:type="dxa"/>
          </w:tcPr>
          <w:p w14:paraId="7CECD14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0.05 (−0.11–0.21)</w:t>
            </w:r>
          </w:p>
        </w:tc>
      </w:tr>
      <w:tr w:rsidR="002779F0" w14:paraId="1E730E95" w14:textId="77777777" w:rsidTr="00EE53EC">
        <w:trPr>
          <w:trHeight w:val="300"/>
        </w:trPr>
        <w:tc>
          <w:tcPr>
            <w:cnfStyle w:val="001000000000" w:firstRow="0" w:lastRow="0" w:firstColumn="1" w:lastColumn="0" w:oddVBand="0" w:evenVBand="0" w:oddHBand="0" w:evenHBand="0" w:firstRowFirstColumn="0" w:firstRowLastColumn="0" w:lastRowFirstColumn="0" w:lastRowLastColumn="0"/>
            <w:tcW w:w="2312" w:type="dxa"/>
            <w:vMerge/>
          </w:tcPr>
          <w:p w14:paraId="26498B64" w14:textId="77777777" w:rsidR="002779F0" w:rsidRDefault="002779F0" w:rsidP="003C34D1"/>
        </w:tc>
        <w:tc>
          <w:tcPr>
            <w:tcW w:w="1209" w:type="dxa"/>
          </w:tcPr>
          <w:p w14:paraId="6E753F36"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138" w:type="dxa"/>
          </w:tcPr>
          <w:p w14:paraId="2306EA3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4642</w:t>
            </w:r>
          </w:p>
        </w:tc>
        <w:tc>
          <w:tcPr>
            <w:tcW w:w="2155" w:type="dxa"/>
          </w:tcPr>
          <w:p w14:paraId="5B52F8BF"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0.66 (0.45–0.86)</w:t>
            </w:r>
          </w:p>
        </w:tc>
        <w:tc>
          <w:tcPr>
            <w:tcW w:w="2212" w:type="dxa"/>
          </w:tcPr>
          <w:p w14:paraId="191D91E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−0.14 (−0.30–0.01)</w:t>
            </w:r>
          </w:p>
        </w:tc>
      </w:tr>
      <w:tr w:rsidR="002779F0" w14:paraId="13BDF158" w14:textId="77777777" w:rsidTr="00EE53EC">
        <w:trPr>
          <w:trHeight w:val="300"/>
        </w:trPr>
        <w:tc>
          <w:tcPr>
            <w:cnfStyle w:val="001000000000" w:firstRow="0" w:lastRow="0" w:firstColumn="1" w:lastColumn="0" w:oddVBand="0" w:evenVBand="0" w:oddHBand="0" w:evenHBand="0" w:firstRowFirstColumn="0" w:firstRowLastColumn="0" w:lastRowFirstColumn="0" w:lastRowLastColumn="0"/>
            <w:tcW w:w="2312" w:type="dxa"/>
            <w:vMerge/>
          </w:tcPr>
          <w:p w14:paraId="3F031E6E" w14:textId="77777777" w:rsidR="002779F0" w:rsidRDefault="002779F0" w:rsidP="003C34D1"/>
        </w:tc>
        <w:tc>
          <w:tcPr>
            <w:tcW w:w="1209" w:type="dxa"/>
          </w:tcPr>
          <w:p w14:paraId="75B3338E"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138" w:type="dxa"/>
          </w:tcPr>
          <w:p w14:paraId="76CDC75E"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3079</w:t>
            </w:r>
          </w:p>
        </w:tc>
        <w:tc>
          <w:tcPr>
            <w:tcW w:w="2155" w:type="dxa"/>
          </w:tcPr>
          <w:p w14:paraId="4F6659DB"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0.79 (0.50–1.08)</w:t>
            </w:r>
          </w:p>
        </w:tc>
        <w:tc>
          <w:tcPr>
            <w:tcW w:w="2212" w:type="dxa"/>
          </w:tcPr>
          <w:p w14:paraId="2492186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−0.14 (−0.33–0.06)</w:t>
            </w:r>
          </w:p>
        </w:tc>
      </w:tr>
      <w:tr w:rsidR="002779F0" w14:paraId="44A1D72B" w14:textId="77777777" w:rsidTr="00EE53EC">
        <w:trPr>
          <w:trHeight w:val="300"/>
        </w:trPr>
        <w:tc>
          <w:tcPr>
            <w:cnfStyle w:val="001000000000" w:firstRow="0" w:lastRow="0" w:firstColumn="1" w:lastColumn="0" w:oddVBand="0" w:evenVBand="0" w:oddHBand="0" w:evenHBand="0" w:firstRowFirstColumn="0" w:firstRowLastColumn="0" w:lastRowFirstColumn="0" w:lastRowLastColumn="0"/>
            <w:tcW w:w="2312" w:type="dxa"/>
            <w:vMerge/>
          </w:tcPr>
          <w:p w14:paraId="78E087F8" w14:textId="77777777" w:rsidR="002779F0" w:rsidRDefault="002779F0" w:rsidP="003C34D1"/>
        </w:tc>
        <w:tc>
          <w:tcPr>
            <w:tcW w:w="1209" w:type="dxa"/>
          </w:tcPr>
          <w:p w14:paraId="58CD2E7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138" w:type="dxa"/>
          </w:tcPr>
          <w:p w14:paraId="527CE20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12302</w:t>
            </w:r>
          </w:p>
        </w:tc>
        <w:tc>
          <w:tcPr>
            <w:tcW w:w="2155" w:type="dxa"/>
          </w:tcPr>
          <w:p w14:paraId="1BF8DD7F"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0.77 (0.61–0.93)</w:t>
            </w:r>
          </w:p>
        </w:tc>
        <w:tc>
          <w:tcPr>
            <w:tcW w:w="2212" w:type="dxa"/>
          </w:tcPr>
          <w:p w14:paraId="355623A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−0.07 (−0.20–0.06)</w:t>
            </w:r>
          </w:p>
        </w:tc>
      </w:tr>
    </w:tbl>
    <w:p w14:paraId="0FC853E2" w14:textId="77777777" w:rsidR="002779F0" w:rsidRDefault="002779F0" w:rsidP="002779F0">
      <w:pPr>
        <w:spacing w:after="160" w:line="279" w:lineRule="auto"/>
      </w:pPr>
    </w:p>
    <w:p w14:paraId="1346AE9D" w14:textId="11201657" w:rsidR="00815AF4" w:rsidRDefault="00815AF4" w:rsidP="003B4C19">
      <w:pPr>
        <w:pStyle w:val="Caption"/>
      </w:pPr>
      <w:bookmarkStart w:id="27" w:name="_Toc237015189"/>
      <w:r>
        <w:t xml:space="preserve">Supplementary Table </w:t>
      </w:r>
      <w:fldSimple w:instr=" SEQ Supplementary_Table \* ARABIC ">
        <w:r w:rsidR="00AC2EF6">
          <w:rPr>
            <w:noProof/>
          </w:rPr>
          <w:t>7</w:t>
        </w:r>
      </w:fldSimple>
      <w:r w:rsidR="002779F0" w:rsidRPr="4B29E1AF">
        <w:rPr>
          <w:b/>
          <w:bCs/>
        </w:rPr>
        <w:t xml:space="preserve">. </w:t>
      </w:r>
      <w:r w:rsidR="002779F0" w:rsidRPr="00815AF4">
        <w:t>Calibration slope and intercept for LC diagnosis in IECV clusters and pooled estimate in random effects meta-analysis, 5-year time horizon.</w:t>
      </w:r>
      <w:bookmarkEnd w:id="27"/>
      <w:r w:rsidR="002779F0" w:rsidRPr="00815AF4">
        <w:t xml:space="preserve"> </w:t>
      </w:r>
    </w:p>
    <w:p w14:paraId="19A588A4" w14:textId="77777777" w:rsidR="002779F0" w:rsidRDefault="002779F0" w:rsidP="003B4C19">
      <w:pPr>
        <w:pStyle w:val="Caption"/>
      </w:pPr>
      <w:r>
        <w:t>CI: Confidence Interval; LC: Lung cancer; IECV: Internal-external cross validation.</w:t>
      </w:r>
    </w:p>
    <w:p w14:paraId="7E77B99E" w14:textId="77777777" w:rsidR="003F22FA" w:rsidRDefault="003F22FA">
      <w:pPr>
        <w:spacing w:after="160" w:line="279" w:lineRule="auto"/>
      </w:pPr>
    </w:p>
    <w:p w14:paraId="5218CB86" w14:textId="77777777" w:rsidR="0002717A" w:rsidRDefault="0002717A">
      <w:pPr>
        <w:spacing w:after="160" w:line="279" w:lineRule="auto"/>
      </w:pPr>
      <w:r>
        <w:br w:type="page"/>
      </w:r>
    </w:p>
    <w:p w14:paraId="1C44A787" w14:textId="77777777" w:rsidR="002779F0" w:rsidRDefault="002779F0" w:rsidP="002779F0">
      <w:pPr>
        <w:spacing w:after="160" w:line="279" w:lineRule="auto"/>
      </w:pPr>
    </w:p>
    <w:p w14:paraId="10DBA356" w14:textId="77777777" w:rsidR="002779F0" w:rsidRDefault="002779F0" w:rsidP="002779F0">
      <w:pPr>
        <w:spacing w:after="160" w:line="279" w:lineRule="auto"/>
      </w:pPr>
    </w:p>
    <w:tbl>
      <w:tblPr>
        <w:tblStyle w:val="PlainTable3"/>
        <w:tblW w:w="0" w:type="auto"/>
        <w:tblLook w:val="06A0" w:firstRow="1" w:lastRow="0" w:firstColumn="1" w:lastColumn="0" w:noHBand="1" w:noVBand="1"/>
      </w:tblPr>
      <w:tblGrid>
        <w:gridCol w:w="2066"/>
        <w:gridCol w:w="1436"/>
        <w:gridCol w:w="1129"/>
        <w:gridCol w:w="2183"/>
        <w:gridCol w:w="2212"/>
      </w:tblGrid>
      <w:tr w:rsidR="002779F0" w14:paraId="6720FDE0" w14:textId="77777777" w:rsidTr="003C34D1">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615" w:type="dxa"/>
            <w:gridSpan w:val="2"/>
          </w:tcPr>
          <w:p w14:paraId="5515E40C" w14:textId="77777777" w:rsidR="002779F0" w:rsidRDefault="002779F0" w:rsidP="003C34D1">
            <w:pPr>
              <w:pStyle w:val="Tablebody"/>
            </w:pPr>
          </w:p>
        </w:tc>
        <w:tc>
          <w:tcPr>
            <w:tcW w:w="1150" w:type="dxa"/>
          </w:tcPr>
          <w:p w14:paraId="43DA76FA"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n</w:t>
            </w:r>
          </w:p>
        </w:tc>
        <w:tc>
          <w:tcPr>
            <w:tcW w:w="2234" w:type="dxa"/>
          </w:tcPr>
          <w:p w14:paraId="2F132DC3"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Calibration Slope (95% CI)</w:t>
            </w:r>
          </w:p>
        </w:tc>
        <w:tc>
          <w:tcPr>
            <w:tcW w:w="2277" w:type="dxa"/>
          </w:tcPr>
          <w:p w14:paraId="0DCF5C9F"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Intercept (95% CI)</w:t>
            </w:r>
          </w:p>
        </w:tc>
      </w:tr>
      <w:tr w:rsidR="002779F0" w14:paraId="3572A961"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45" w:type="dxa"/>
            <w:vMerge w:val="restart"/>
          </w:tcPr>
          <w:p w14:paraId="77B86A77" w14:textId="77777777" w:rsidR="002779F0" w:rsidRDefault="002779F0" w:rsidP="003C34D1">
            <w:pPr>
              <w:pStyle w:val="Tablebody"/>
            </w:pPr>
            <w:r>
              <w:t>Base</w:t>
            </w:r>
          </w:p>
        </w:tc>
        <w:tc>
          <w:tcPr>
            <w:tcW w:w="1470" w:type="dxa"/>
          </w:tcPr>
          <w:p w14:paraId="78D94D3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150" w:type="dxa"/>
          </w:tcPr>
          <w:p w14:paraId="437520A9"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4581</w:t>
            </w:r>
          </w:p>
        </w:tc>
        <w:tc>
          <w:tcPr>
            <w:tcW w:w="2234" w:type="dxa"/>
          </w:tcPr>
          <w:p w14:paraId="7F72C4D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0.79 (0.62–0.97)</w:t>
            </w:r>
          </w:p>
        </w:tc>
        <w:tc>
          <w:tcPr>
            <w:tcW w:w="2277" w:type="dxa"/>
          </w:tcPr>
          <w:p w14:paraId="70F656F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0.04 (−0.10–0.17)</w:t>
            </w:r>
          </w:p>
        </w:tc>
      </w:tr>
      <w:tr w:rsidR="002779F0" w14:paraId="262FB105"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45" w:type="dxa"/>
            <w:vMerge/>
          </w:tcPr>
          <w:p w14:paraId="0AD8C6E2" w14:textId="77777777" w:rsidR="002779F0" w:rsidRDefault="002779F0" w:rsidP="003C34D1"/>
        </w:tc>
        <w:tc>
          <w:tcPr>
            <w:tcW w:w="1470" w:type="dxa"/>
          </w:tcPr>
          <w:p w14:paraId="39527B0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150" w:type="dxa"/>
          </w:tcPr>
          <w:p w14:paraId="2C45CA54"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4642</w:t>
            </w:r>
          </w:p>
        </w:tc>
        <w:tc>
          <w:tcPr>
            <w:tcW w:w="2234" w:type="dxa"/>
          </w:tcPr>
          <w:p w14:paraId="0C6FC0C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0.90 (0.69–1.12)</w:t>
            </w:r>
          </w:p>
        </w:tc>
        <w:tc>
          <w:tcPr>
            <w:tcW w:w="2277" w:type="dxa"/>
          </w:tcPr>
          <w:p w14:paraId="36423D1F"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−0.10 (−0.23–0.04)</w:t>
            </w:r>
          </w:p>
        </w:tc>
      </w:tr>
      <w:tr w:rsidR="002779F0" w14:paraId="6336E52A"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45" w:type="dxa"/>
            <w:vMerge/>
          </w:tcPr>
          <w:p w14:paraId="0EA6CFBB" w14:textId="77777777" w:rsidR="002779F0" w:rsidRDefault="002779F0" w:rsidP="003C34D1"/>
        </w:tc>
        <w:tc>
          <w:tcPr>
            <w:tcW w:w="1470" w:type="dxa"/>
          </w:tcPr>
          <w:p w14:paraId="307BF44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150" w:type="dxa"/>
          </w:tcPr>
          <w:p w14:paraId="1E571C3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3079</w:t>
            </w:r>
          </w:p>
        </w:tc>
        <w:tc>
          <w:tcPr>
            <w:tcW w:w="2234" w:type="dxa"/>
          </w:tcPr>
          <w:p w14:paraId="0EE31ED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1.04 (0.77–1.32)</w:t>
            </w:r>
          </w:p>
        </w:tc>
        <w:tc>
          <w:tcPr>
            <w:tcW w:w="2277" w:type="dxa"/>
          </w:tcPr>
          <w:p w14:paraId="3A22C6F1"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−0.04 (−0.21–0.12)</w:t>
            </w:r>
          </w:p>
        </w:tc>
      </w:tr>
      <w:tr w:rsidR="002779F0" w14:paraId="62466E8C"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45" w:type="dxa"/>
            <w:vMerge/>
          </w:tcPr>
          <w:p w14:paraId="4C025F63" w14:textId="77777777" w:rsidR="002779F0" w:rsidRDefault="002779F0" w:rsidP="003C34D1"/>
        </w:tc>
        <w:tc>
          <w:tcPr>
            <w:tcW w:w="1470" w:type="dxa"/>
          </w:tcPr>
          <w:p w14:paraId="12123EB8"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150" w:type="dxa"/>
          </w:tcPr>
          <w:p w14:paraId="60FCE5F1"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12302</w:t>
            </w:r>
          </w:p>
        </w:tc>
        <w:tc>
          <w:tcPr>
            <w:tcW w:w="2234" w:type="dxa"/>
          </w:tcPr>
          <w:p w14:paraId="610E4B3B"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0.88 (0.75–1.02)</w:t>
            </w:r>
          </w:p>
        </w:tc>
        <w:tc>
          <w:tcPr>
            <w:tcW w:w="2277" w:type="dxa"/>
          </w:tcPr>
          <w:p w14:paraId="7C68F9DC"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−0.03 (−0.12–0.05)</w:t>
            </w:r>
          </w:p>
        </w:tc>
      </w:tr>
      <w:tr w:rsidR="002779F0" w14:paraId="6254791E"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45" w:type="dxa"/>
            <w:vMerge w:val="restart"/>
          </w:tcPr>
          <w:p w14:paraId="430BD3FD" w14:textId="77777777" w:rsidR="002779F0" w:rsidRDefault="002779F0" w:rsidP="003C34D1">
            <w:pPr>
              <w:pStyle w:val="Tablebody"/>
            </w:pPr>
            <w:r>
              <w:t xml:space="preserve">Base + Age gap </w:t>
            </w:r>
          </w:p>
        </w:tc>
        <w:tc>
          <w:tcPr>
            <w:tcW w:w="1470" w:type="dxa"/>
          </w:tcPr>
          <w:p w14:paraId="37D076A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150" w:type="dxa"/>
          </w:tcPr>
          <w:p w14:paraId="536524DC"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4581</w:t>
            </w:r>
          </w:p>
        </w:tc>
        <w:tc>
          <w:tcPr>
            <w:tcW w:w="2234" w:type="dxa"/>
          </w:tcPr>
          <w:p w14:paraId="6A43E23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0.82 (0.65–0.99)</w:t>
            </w:r>
          </w:p>
        </w:tc>
        <w:tc>
          <w:tcPr>
            <w:tcW w:w="2277" w:type="dxa"/>
          </w:tcPr>
          <w:p w14:paraId="494B219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0.04 (−0.10–0.17)</w:t>
            </w:r>
          </w:p>
        </w:tc>
      </w:tr>
      <w:tr w:rsidR="002779F0" w14:paraId="115D5B4F"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45" w:type="dxa"/>
            <w:vMerge/>
          </w:tcPr>
          <w:p w14:paraId="5DB756E1" w14:textId="77777777" w:rsidR="002779F0" w:rsidRDefault="002779F0" w:rsidP="003C34D1"/>
        </w:tc>
        <w:tc>
          <w:tcPr>
            <w:tcW w:w="1470" w:type="dxa"/>
          </w:tcPr>
          <w:p w14:paraId="5D8CCD8E"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150" w:type="dxa"/>
          </w:tcPr>
          <w:p w14:paraId="7DB695E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4642</w:t>
            </w:r>
          </w:p>
        </w:tc>
        <w:tc>
          <w:tcPr>
            <w:tcW w:w="2234" w:type="dxa"/>
          </w:tcPr>
          <w:p w14:paraId="60A2A10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0.88 (0.70–1.06)</w:t>
            </w:r>
          </w:p>
        </w:tc>
        <w:tc>
          <w:tcPr>
            <w:tcW w:w="2277" w:type="dxa"/>
          </w:tcPr>
          <w:p w14:paraId="5A08742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−0.08 (−0.21–0.06)</w:t>
            </w:r>
          </w:p>
        </w:tc>
      </w:tr>
      <w:tr w:rsidR="002779F0" w14:paraId="6402E138"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45" w:type="dxa"/>
            <w:vMerge/>
          </w:tcPr>
          <w:p w14:paraId="45849654" w14:textId="77777777" w:rsidR="002779F0" w:rsidRDefault="002779F0" w:rsidP="003C34D1"/>
        </w:tc>
        <w:tc>
          <w:tcPr>
            <w:tcW w:w="1470" w:type="dxa"/>
          </w:tcPr>
          <w:p w14:paraId="0A87E9F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150" w:type="dxa"/>
          </w:tcPr>
          <w:p w14:paraId="1B26525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3079</w:t>
            </w:r>
          </w:p>
        </w:tc>
        <w:tc>
          <w:tcPr>
            <w:tcW w:w="2234" w:type="dxa"/>
          </w:tcPr>
          <w:p w14:paraId="283279C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1.08 (0.83–1.34)</w:t>
            </w:r>
          </w:p>
        </w:tc>
        <w:tc>
          <w:tcPr>
            <w:tcW w:w="2277" w:type="dxa"/>
          </w:tcPr>
          <w:p w14:paraId="33767F6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−0.05 (−0.22–0.11)</w:t>
            </w:r>
          </w:p>
        </w:tc>
      </w:tr>
      <w:tr w:rsidR="002779F0" w14:paraId="3FD6EBCC"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45" w:type="dxa"/>
            <w:vMerge/>
          </w:tcPr>
          <w:p w14:paraId="5D8707C5" w14:textId="77777777" w:rsidR="002779F0" w:rsidRDefault="002779F0" w:rsidP="003C34D1"/>
        </w:tc>
        <w:tc>
          <w:tcPr>
            <w:tcW w:w="1470" w:type="dxa"/>
          </w:tcPr>
          <w:p w14:paraId="2041F606"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150" w:type="dxa"/>
          </w:tcPr>
          <w:p w14:paraId="1D87F569"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12302</w:t>
            </w:r>
          </w:p>
        </w:tc>
        <w:tc>
          <w:tcPr>
            <w:tcW w:w="2234" w:type="dxa"/>
          </w:tcPr>
          <w:p w14:paraId="03DE7D96"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0.90 (0.78–1.02)</w:t>
            </w:r>
          </w:p>
        </w:tc>
        <w:tc>
          <w:tcPr>
            <w:tcW w:w="2277" w:type="dxa"/>
          </w:tcPr>
          <w:p w14:paraId="09849F1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−0.03 (−0.11–0.05)</w:t>
            </w:r>
          </w:p>
        </w:tc>
      </w:tr>
    </w:tbl>
    <w:p w14:paraId="3320D9C9" w14:textId="77777777" w:rsidR="002779F0" w:rsidRDefault="002779F0" w:rsidP="002779F0">
      <w:pPr>
        <w:spacing w:after="160" w:line="279" w:lineRule="auto"/>
      </w:pPr>
    </w:p>
    <w:p w14:paraId="0E4FC459" w14:textId="0213A35D" w:rsidR="00815AF4" w:rsidRPr="00815AF4" w:rsidRDefault="00815AF4" w:rsidP="003B4C19">
      <w:pPr>
        <w:pStyle w:val="Caption"/>
      </w:pPr>
      <w:bookmarkStart w:id="28" w:name="_Toc237015190"/>
      <w:r>
        <w:t xml:space="preserve">Supplementary Table </w:t>
      </w:r>
      <w:fldSimple w:instr=" SEQ Supplementary_Table \* ARABIC ">
        <w:r w:rsidR="00AC2EF6">
          <w:rPr>
            <w:noProof/>
          </w:rPr>
          <w:t>8</w:t>
        </w:r>
      </w:fldSimple>
      <w:r w:rsidR="002779F0" w:rsidRPr="00815AF4">
        <w:t>. Calibration slope and intercept for non-LC-related death in IECV clusters and pooled estimate in random effects meta-analysis, 5-year time horizon.</w:t>
      </w:r>
      <w:bookmarkEnd w:id="28"/>
      <w:r w:rsidR="002779F0" w:rsidRPr="00815AF4">
        <w:t xml:space="preserve"> </w:t>
      </w:r>
    </w:p>
    <w:p w14:paraId="252C3305" w14:textId="77777777" w:rsidR="002779F0" w:rsidRDefault="002779F0" w:rsidP="002779F0">
      <w:pPr>
        <w:spacing w:after="160" w:line="279" w:lineRule="auto"/>
      </w:pPr>
      <w:r>
        <w:t>CI: Confidence Interval; LC: Lung cancer; IECV: Internal-external cross validation.</w:t>
      </w:r>
    </w:p>
    <w:p w14:paraId="2BAE127F" w14:textId="77777777" w:rsidR="002779F0" w:rsidRDefault="002779F0" w:rsidP="002779F0">
      <w:pPr>
        <w:spacing w:after="160" w:line="279" w:lineRule="auto"/>
      </w:pPr>
    </w:p>
    <w:p w14:paraId="50085725" w14:textId="77777777" w:rsidR="002779F0" w:rsidRDefault="002779F0" w:rsidP="002779F0">
      <w:pPr>
        <w:spacing w:after="160" w:line="279" w:lineRule="auto"/>
      </w:pPr>
    </w:p>
    <w:p w14:paraId="6B040B71" w14:textId="77777777" w:rsidR="002779F0" w:rsidRDefault="002779F0" w:rsidP="002779F0">
      <w:pPr>
        <w:spacing w:after="160" w:line="279" w:lineRule="auto"/>
      </w:pPr>
    </w:p>
    <w:tbl>
      <w:tblPr>
        <w:tblStyle w:val="PlainTable3"/>
        <w:tblW w:w="9026" w:type="dxa"/>
        <w:tblLook w:val="04A0" w:firstRow="1" w:lastRow="0" w:firstColumn="1" w:lastColumn="0" w:noHBand="0" w:noVBand="1"/>
      </w:tblPr>
      <w:tblGrid>
        <w:gridCol w:w="1922"/>
        <w:gridCol w:w="892"/>
        <w:gridCol w:w="812"/>
        <w:gridCol w:w="3097"/>
        <w:gridCol w:w="2303"/>
      </w:tblGrid>
      <w:tr w:rsidR="002779F0" w:rsidRPr="007D774B" w14:paraId="000658ED" w14:textId="77777777" w:rsidTr="003C34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gridSpan w:val="2"/>
            <w:hideMark/>
          </w:tcPr>
          <w:p w14:paraId="1537E890" w14:textId="77777777" w:rsidR="002779F0" w:rsidRPr="007D774B" w:rsidRDefault="002779F0" w:rsidP="003C34D1">
            <w:pPr>
              <w:pStyle w:val="Tablebody"/>
            </w:pPr>
          </w:p>
        </w:tc>
        <w:tc>
          <w:tcPr>
            <w:tcW w:w="0" w:type="auto"/>
            <w:hideMark/>
          </w:tcPr>
          <w:p w14:paraId="1CE18F31" w14:textId="77777777" w:rsidR="002779F0" w:rsidRPr="007D774B" w:rsidRDefault="002779F0" w:rsidP="003C34D1">
            <w:pPr>
              <w:pStyle w:val="Tablebody"/>
              <w:cnfStyle w:val="100000000000" w:firstRow="1" w:lastRow="0" w:firstColumn="0" w:lastColumn="0" w:oddVBand="0" w:evenVBand="0" w:oddHBand="0" w:evenHBand="0" w:firstRowFirstColumn="0" w:firstRowLastColumn="0" w:lastRowFirstColumn="0" w:lastRowLastColumn="0"/>
            </w:pPr>
            <w:r w:rsidRPr="007D774B">
              <w:t>n</w:t>
            </w:r>
          </w:p>
        </w:tc>
        <w:tc>
          <w:tcPr>
            <w:tcW w:w="0" w:type="auto"/>
            <w:hideMark/>
          </w:tcPr>
          <w:p w14:paraId="143F0B18" w14:textId="77777777" w:rsidR="002779F0" w:rsidRPr="007D774B" w:rsidRDefault="002779F0" w:rsidP="003C34D1">
            <w:pPr>
              <w:pStyle w:val="Tablebody"/>
              <w:cnfStyle w:val="100000000000" w:firstRow="1" w:lastRow="0" w:firstColumn="0" w:lastColumn="0" w:oddVBand="0" w:evenVBand="0" w:oddHBand="0" w:evenHBand="0" w:firstRowFirstColumn="0" w:firstRowLastColumn="0" w:lastRowFirstColumn="0" w:lastRowLastColumn="0"/>
            </w:pPr>
            <w:r w:rsidRPr="007D774B">
              <w:t>Calibration Slope (95% CI)</w:t>
            </w:r>
          </w:p>
        </w:tc>
        <w:tc>
          <w:tcPr>
            <w:tcW w:w="0" w:type="auto"/>
            <w:hideMark/>
          </w:tcPr>
          <w:p w14:paraId="51994559" w14:textId="77777777" w:rsidR="002779F0" w:rsidRPr="007D774B" w:rsidRDefault="002779F0" w:rsidP="003C34D1">
            <w:pPr>
              <w:pStyle w:val="Tablebody"/>
              <w:cnfStyle w:val="100000000000" w:firstRow="1" w:lastRow="0" w:firstColumn="0" w:lastColumn="0" w:oddVBand="0" w:evenVBand="0" w:oddHBand="0" w:evenHBand="0" w:firstRowFirstColumn="0" w:firstRowLastColumn="0" w:lastRowFirstColumn="0" w:lastRowLastColumn="0"/>
            </w:pPr>
            <w:r w:rsidRPr="007D774B">
              <w:t>Intercept (95% CI)</w:t>
            </w:r>
          </w:p>
        </w:tc>
      </w:tr>
      <w:tr w:rsidR="002779F0" w:rsidRPr="007D774B" w14:paraId="1277A7BE"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E8E3DAA" w14:textId="77777777" w:rsidR="002779F0" w:rsidRPr="007D774B" w:rsidRDefault="002779F0" w:rsidP="003C34D1">
            <w:pPr>
              <w:pStyle w:val="Tablebody"/>
            </w:pPr>
            <w:r w:rsidRPr="007D774B">
              <w:t>Base</w:t>
            </w:r>
          </w:p>
        </w:tc>
        <w:tc>
          <w:tcPr>
            <w:tcW w:w="0" w:type="auto"/>
            <w:hideMark/>
          </w:tcPr>
          <w:p w14:paraId="01E053C4"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1</w:t>
            </w:r>
          </w:p>
        </w:tc>
        <w:tc>
          <w:tcPr>
            <w:tcW w:w="0" w:type="auto"/>
            <w:hideMark/>
          </w:tcPr>
          <w:p w14:paraId="15FA3F65"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4581</w:t>
            </w:r>
          </w:p>
        </w:tc>
        <w:tc>
          <w:tcPr>
            <w:tcW w:w="0" w:type="auto"/>
            <w:hideMark/>
          </w:tcPr>
          <w:p w14:paraId="3C5EC806"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0.68 (0.35–1.00)</w:t>
            </w:r>
          </w:p>
        </w:tc>
        <w:tc>
          <w:tcPr>
            <w:tcW w:w="0" w:type="auto"/>
            <w:hideMark/>
          </w:tcPr>
          <w:p w14:paraId="1B2C6DA9"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−0.12 (−0.34–0.09)</w:t>
            </w:r>
          </w:p>
        </w:tc>
      </w:tr>
      <w:tr w:rsidR="002779F0" w:rsidRPr="007D774B" w14:paraId="69C4A53D" w14:textId="77777777" w:rsidTr="003C34D1">
        <w:tc>
          <w:tcPr>
            <w:cnfStyle w:val="001000000000" w:firstRow="0" w:lastRow="0" w:firstColumn="1" w:lastColumn="0" w:oddVBand="0" w:evenVBand="0" w:oddHBand="0" w:evenHBand="0" w:firstRowFirstColumn="0" w:firstRowLastColumn="0" w:lastRowFirstColumn="0" w:lastRowLastColumn="0"/>
            <w:tcW w:w="0" w:type="auto"/>
            <w:vMerge/>
            <w:hideMark/>
          </w:tcPr>
          <w:p w14:paraId="136AD21B" w14:textId="77777777" w:rsidR="002779F0" w:rsidRPr="007D774B" w:rsidRDefault="002779F0" w:rsidP="003C34D1">
            <w:pPr>
              <w:pStyle w:val="Tablebody"/>
            </w:pPr>
          </w:p>
        </w:tc>
        <w:tc>
          <w:tcPr>
            <w:tcW w:w="0" w:type="auto"/>
            <w:hideMark/>
          </w:tcPr>
          <w:p w14:paraId="040B247D"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2</w:t>
            </w:r>
          </w:p>
        </w:tc>
        <w:tc>
          <w:tcPr>
            <w:tcW w:w="0" w:type="auto"/>
            <w:hideMark/>
          </w:tcPr>
          <w:p w14:paraId="3A83783F"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4642</w:t>
            </w:r>
          </w:p>
        </w:tc>
        <w:tc>
          <w:tcPr>
            <w:tcW w:w="0" w:type="auto"/>
            <w:hideMark/>
          </w:tcPr>
          <w:p w14:paraId="60A8E280"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0.51 (0.25–0.76)</w:t>
            </w:r>
          </w:p>
        </w:tc>
        <w:tc>
          <w:tcPr>
            <w:tcW w:w="0" w:type="auto"/>
            <w:hideMark/>
          </w:tcPr>
          <w:p w14:paraId="4A062BA1"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−0.22 (−0.43–−0.02)</w:t>
            </w:r>
          </w:p>
        </w:tc>
      </w:tr>
      <w:tr w:rsidR="002779F0" w:rsidRPr="007D774B" w14:paraId="47219A02"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380408A0" w14:textId="77777777" w:rsidR="002779F0" w:rsidRPr="007D774B" w:rsidRDefault="002779F0" w:rsidP="003C34D1">
            <w:pPr>
              <w:pStyle w:val="Tablebody"/>
            </w:pPr>
          </w:p>
        </w:tc>
        <w:tc>
          <w:tcPr>
            <w:tcW w:w="0" w:type="auto"/>
            <w:hideMark/>
          </w:tcPr>
          <w:p w14:paraId="0DCBB872"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3</w:t>
            </w:r>
          </w:p>
        </w:tc>
        <w:tc>
          <w:tcPr>
            <w:tcW w:w="0" w:type="auto"/>
            <w:hideMark/>
          </w:tcPr>
          <w:p w14:paraId="5B6FAA7B"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3079</w:t>
            </w:r>
          </w:p>
        </w:tc>
        <w:tc>
          <w:tcPr>
            <w:tcW w:w="0" w:type="auto"/>
            <w:hideMark/>
          </w:tcPr>
          <w:p w14:paraId="65EC0BF2"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1.08 (0.59–1.57)</w:t>
            </w:r>
          </w:p>
        </w:tc>
        <w:tc>
          <w:tcPr>
            <w:tcW w:w="0" w:type="auto"/>
            <w:hideMark/>
          </w:tcPr>
          <w:p w14:paraId="2B9325E5"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0.04 (−0.21–0.29)</w:t>
            </w:r>
          </w:p>
        </w:tc>
      </w:tr>
      <w:tr w:rsidR="002779F0" w:rsidRPr="007D774B" w14:paraId="56B88B27" w14:textId="77777777" w:rsidTr="003C34D1">
        <w:tc>
          <w:tcPr>
            <w:cnfStyle w:val="001000000000" w:firstRow="0" w:lastRow="0" w:firstColumn="1" w:lastColumn="0" w:oddVBand="0" w:evenVBand="0" w:oddHBand="0" w:evenHBand="0" w:firstRowFirstColumn="0" w:firstRowLastColumn="0" w:lastRowFirstColumn="0" w:lastRowLastColumn="0"/>
            <w:tcW w:w="0" w:type="auto"/>
            <w:vMerge/>
            <w:hideMark/>
          </w:tcPr>
          <w:p w14:paraId="6F1E1411" w14:textId="77777777" w:rsidR="002779F0" w:rsidRPr="007D774B" w:rsidRDefault="002779F0" w:rsidP="003C34D1">
            <w:pPr>
              <w:pStyle w:val="Tablebody"/>
            </w:pPr>
          </w:p>
        </w:tc>
        <w:tc>
          <w:tcPr>
            <w:tcW w:w="0" w:type="auto"/>
            <w:hideMark/>
          </w:tcPr>
          <w:p w14:paraId="6FF4CC1B"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Pooled</w:t>
            </w:r>
          </w:p>
        </w:tc>
        <w:tc>
          <w:tcPr>
            <w:tcW w:w="0" w:type="auto"/>
            <w:hideMark/>
          </w:tcPr>
          <w:p w14:paraId="1D47126F"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12302</w:t>
            </w:r>
          </w:p>
        </w:tc>
        <w:tc>
          <w:tcPr>
            <w:tcW w:w="0" w:type="auto"/>
            <w:hideMark/>
          </w:tcPr>
          <w:p w14:paraId="4A9AF215"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0.69 (0.41–0.98)</w:t>
            </w:r>
          </w:p>
        </w:tc>
        <w:tc>
          <w:tcPr>
            <w:tcW w:w="0" w:type="auto"/>
            <w:hideMark/>
          </w:tcPr>
          <w:p w14:paraId="3545ED97"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−0.12 (−0.26–0.03)</w:t>
            </w:r>
          </w:p>
        </w:tc>
      </w:tr>
      <w:tr w:rsidR="002779F0" w:rsidRPr="007D774B" w14:paraId="482BCC4B"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0BF3415" w14:textId="77777777" w:rsidR="002779F0" w:rsidRPr="007D774B" w:rsidRDefault="002779F0" w:rsidP="003C34D1">
            <w:pPr>
              <w:pStyle w:val="Tablebody"/>
            </w:pPr>
            <w:r w:rsidRPr="007D774B">
              <w:t xml:space="preserve">Base + Age </w:t>
            </w:r>
            <w:r>
              <w:t xml:space="preserve">gap </w:t>
            </w:r>
          </w:p>
        </w:tc>
        <w:tc>
          <w:tcPr>
            <w:tcW w:w="0" w:type="auto"/>
            <w:hideMark/>
          </w:tcPr>
          <w:p w14:paraId="423DC619"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1</w:t>
            </w:r>
          </w:p>
        </w:tc>
        <w:tc>
          <w:tcPr>
            <w:tcW w:w="0" w:type="auto"/>
            <w:hideMark/>
          </w:tcPr>
          <w:p w14:paraId="56E576F6"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4581</w:t>
            </w:r>
          </w:p>
        </w:tc>
        <w:tc>
          <w:tcPr>
            <w:tcW w:w="0" w:type="auto"/>
            <w:hideMark/>
          </w:tcPr>
          <w:p w14:paraId="3C11A46B"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0.68 (0.35–1.00)</w:t>
            </w:r>
          </w:p>
        </w:tc>
        <w:tc>
          <w:tcPr>
            <w:tcW w:w="0" w:type="auto"/>
            <w:hideMark/>
          </w:tcPr>
          <w:p w14:paraId="0BDD69AD"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−0.12 (−0.34–0.10)</w:t>
            </w:r>
          </w:p>
        </w:tc>
      </w:tr>
      <w:tr w:rsidR="002779F0" w:rsidRPr="007D774B" w14:paraId="27158BB8" w14:textId="77777777" w:rsidTr="003C34D1">
        <w:tc>
          <w:tcPr>
            <w:cnfStyle w:val="001000000000" w:firstRow="0" w:lastRow="0" w:firstColumn="1" w:lastColumn="0" w:oddVBand="0" w:evenVBand="0" w:oddHBand="0" w:evenHBand="0" w:firstRowFirstColumn="0" w:firstRowLastColumn="0" w:lastRowFirstColumn="0" w:lastRowLastColumn="0"/>
            <w:tcW w:w="0" w:type="auto"/>
            <w:vMerge/>
            <w:hideMark/>
          </w:tcPr>
          <w:p w14:paraId="534926CC" w14:textId="77777777" w:rsidR="002779F0" w:rsidRPr="007D774B" w:rsidRDefault="002779F0" w:rsidP="003C34D1">
            <w:pPr>
              <w:pStyle w:val="Tablebody"/>
            </w:pPr>
          </w:p>
        </w:tc>
        <w:tc>
          <w:tcPr>
            <w:tcW w:w="0" w:type="auto"/>
            <w:hideMark/>
          </w:tcPr>
          <w:p w14:paraId="386239E0"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2</w:t>
            </w:r>
          </w:p>
        </w:tc>
        <w:tc>
          <w:tcPr>
            <w:tcW w:w="0" w:type="auto"/>
            <w:hideMark/>
          </w:tcPr>
          <w:p w14:paraId="2B531115"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4642</w:t>
            </w:r>
          </w:p>
        </w:tc>
        <w:tc>
          <w:tcPr>
            <w:tcW w:w="0" w:type="auto"/>
            <w:hideMark/>
          </w:tcPr>
          <w:p w14:paraId="2CC309C7"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0.54 (0.28–0.80)</w:t>
            </w:r>
          </w:p>
        </w:tc>
        <w:tc>
          <w:tcPr>
            <w:tcW w:w="0" w:type="auto"/>
            <w:hideMark/>
          </w:tcPr>
          <w:p w14:paraId="515AE525"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−0.22 (−0.43–−0.01)</w:t>
            </w:r>
          </w:p>
        </w:tc>
      </w:tr>
      <w:tr w:rsidR="002779F0" w:rsidRPr="007D774B" w14:paraId="1818A8C6"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009DCC11" w14:textId="77777777" w:rsidR="002779F0" w:rsidRPr="007D774B" w:rsidRDefault="002779F0" w:rsidP="003C34D1">
            <w:pPr>
              <w:pStyle w:val="Tablebody"/>
            </w:pPr>
          </w:p>
        </w:tc>
        <w:tc>
          <w:tcPr>
            <w:tcW w:w="0" w:type="auto"/>
            <w:hideMark/>
          </w:tcPr>
          <w:p w14:paraId="40AA60D2"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3</w:t>
            </w:r>
          </w:p>
        </w:tc>
        <w:tc>
          <w:tcPr>
            <w:tcW w:w="0" w:type="auto"/>
            <w:hideMark/>
          </w:tcPr>
          <w:p w14:paraId="63513E6A"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3079</w:t>
            </w:r>
          </w:p>
        </w:tc>
        <w:tc>
          <w:tcPr>
            <w:tcW w:w="0" w:type="auto"/>
            <w:hideMark/>
          </w:tcPr>
          <w:p w14:paraId="3ED463EA"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0.89 (0.50–1.28)</w:t>
            </w:r>
          </w:p>
        </w:tc>
        <w:tc>
          <w:tcPr>
            <w:tcW w:w="0" w:type="auto"/>
            <w:hideMark/>
          </w:tcPr>
          <w:p w14:paraId="7509E810"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−0.02 (−0.28–0.24)</w:t>
            </w:r>
          </w:p>
        </w:tc>
      </w:tr>
      <w:tr w:rsidR="002779F0" w:rsidRPr="007D774B" w14:paraId="4C6CFEBB" w14:textId="77777777" w:rsidTr="003C34D1">
        <w:tc>
          <w:tcPr>
            <w:cnfStyle w:val="001000000000" w:firstRow="0" w:lastRow="0" w:firstColumn="1" w:lastColumn="0" w:oddVBand="0" w:evenVBand="0" w:oddHBand="0" w:evenHBand="0" w:firstRowFirstColumn="0" w:firstRowLastColumn="0" w:lastRowFirstColumn="0" w:lastRowLastColumn="0"/>
            <w:tcW w:w="0" w:type="auto"/>
            <w:vMerge/>
            <w:hideMark/>
          </w:tcPr>
          <w:p w14:paraId="050F6A42" w14:textId="77777777" w:rsidR="002779F0" w:rsidRPr="007D774B" w:rsidRDefault="002779F0" w:rsidP="003C34D1">
            <w:pPr>
              <w:pStyle w:val="Tablebody"/>
            </w:pPr>
          </w:p>
        </w:tc>
        <w:tc>
          <w:tcPr>
            <w:tcW w:w="0" w:type="auto"/>
            <w:hideMark/>
          </w:tcPr>
          <w:p w14:paraId="3B6C0D8A"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Pooled</w:t>
            </w:r>
          </w:p>
        </w:tc>
        <w:tc>
          <w:tcPr>
            <w:tcW w:w="0" w:type="auto"/>
            <w:hideMark/>
          </w:tcPr>
          <w:p w14:paraId="3B503D60"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12302</w:t>
            </w:r>
          </w:p>
        </w:tc>
        <w:tc>
          <w:tcPr>
            <w:tcW w:w="0" w:type="auto"/>
            <w:hideMark/>
          </w:tcPr>
          <w:p w14:paraId="104F6857"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0.66 (0.47–0.85)</w:t>
            </w:r>
          </w:p>
        </w:tc>
        <w:tc>
          <w:tcPr>
            <w:tcW w:w="0" w:type="auto"/>
            <w:hideMark/>
          </w:tcPr>
          <w:p w14:paraId="51628AA0"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−0.13 (−0.26–0.00)</w:t>
            </w:r>
          </w:p>
        </w:tc>
      </w:tr>
    </w:tbl>
    <w:p w14:paraId="0C752746" w14:textId="77777777" w:rsidR="002779F0" w:rsidRDefault="002779F0" w:rsidP="002779F0">
      <w:pPr>
        <w:spacing w:after="160" w:line="279" w:lineRule="auto"/>
        <w:rPr>
          <w:b/>
          <w:bCs/>
        </w:rPr>
      </w:pPr>
    </w:p>
    <w:p w14:paraId="05706C05" w14:textId="4645E51F" w:rsidR="009F70E8" w:rsidRPr="009F70E8" w:rsidRDefault="003B4C19" w:rsidP="003B4C19">
      <w:pPr>
        <w:pStyle w:val="Caption"/>
      </w:pPr>
      <w:bookmarkStart w:id="29" w:name="_Toc237015191"/>
      <w:r>
        <w:t xml:space="preserve">Supplementary Table </w:t>
      </w:r>
      <w:fldSimple w:instr=" SEQ Supplementary_Table \* ARABIC ">
        <w:r w:rsidR="00AC2EF6">
          <w:rPr>
            <w:noProof/>
          </w:rPr>
          <w:t>9</w:t>
        </w:r>
      </w:fldSimple>
      <w:r w:rsidR="002779F0" w:rsidRPr="009F70E8">
        <w:t>. Calibration slope and intercept for LC diagnosis in IECV clusters and pooled estimate in random effects meta-analysis, 2-year time horizon.</w:t>
      </w:r>
      <w:bookmarkEnd w:id="29"/>
      <w:r w:rsidR="002779F0" w:rsidRPr="009F70E8">
        <w:t xml:space="preserve"> </w:t>
      </w:r>
    </w:p>
    <w:p w14:paraId="44ECA926" w14:textId="77777777" w:rsidR="002779F0" w:rsidRDefault="002779F0" w:rsidP="002779F0">
      <w:pPr>
        <w:spacing w:after="160" w:line="279" w:lineRule="auto"/>
      </w:pPr>
      <w:r>
        <w:t>CI: Confidence Interval; LC: Lung cancer; IECV: Internal-external cross validation.</w:t>
      </w:r>
    </w:p>
    <w:p w14:paraId="4621EC86" w14:textId="77777777" w:rsidR="003F22FA" w:rsidRDefault="003F22FA">
      <w:pPr>
        <w:spacing w:after="160" w:line="279" w:lineRule="auto"/>
      </w:pPr>
    </w:p>
    <w:p w14:paraId="1E7BA2BB" w14:textId="77777777" w:rsidR="0002717A" w:rsidRDefault="0002717A">
      <w:pPr>
        <w:spacing w:after="160" w:line="279" w:lineRule="auto"/>
      </w:pPr>
      <w:r>
        <w:br w:type="page"/>
      </w:r>
    </w:p>
    <w:p w14:paraId="081E8F71" w14:textId="77777777" w:rsidR="002779F0" w:rsidRDefault="002779F0" w:rsidP="002779F0">
      <w:pPr>
        <w:spacing w:after="160" w:line="279" w:lineRule="auto"/>
      </w:pPr>
    </w:p>
    <w:tbl>
      <w:tblPr>
        <w:tblStyle w:val="PlainTable3"/>
        <w:tblW w:w="9026" w:type="dxa"/>
        <w:tblLook w:val="04A0" w:firstRow="1" w:lastRow="0" w:firstColumn="1" w:lastColumn="0" w:noHBand="0" w:noVBand="1"/>
      </w:tblPr>
      <w:tblGrid>
        <w:gridCol w:w="1952"/>
        <w:gridCol w:w="905"/>
        <w:gridCol w:w="825"/>
        <w:gridCol w:w="3145"/>
        <w:gridCol w:w="2199"/>
      </w:tblGrid>
      <w:tr w:rsidR="002779F0" w:rsidRPr="007D774B" w14:paraId="33208F0B" w14:textId="77777777" w:rsidTr="003C34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gridSpan w:val="2"/>
            <w:hideMark/>
          </w:tcPr>
          <w:p w14:paraId="17719BAC" w14:textId="77777777" w:rsidR="002779F0" w:rsidRPr="007D774B" w:rsidRDefault="002779F0" w:rsidP="003C34D1">
            <w:pPr>
              <w:pStyle w:val="Tablebody"/>
            </w:pPr>
          </w:p>
        </w:tc>
        <w:tc>
          <w:tcPr>
            <w:tcW w:w="0" w:type="auto"/>
            <w:hideMark/>
          </w:tcPr>
          <w:p w14:paraId="7C6DE31B" w14:textId="77777777" w:rsidR="002779F0" w:rsidRPr="007D774B" w:rsidRDefault="002779F0" w:rsidP="003C34D1">
            <w:pPr>
              <w:pStyle w:val="Tablebody"/>
              <w:cnfStyle w:val="100000000000" w:firstRow="1" w:lastRow="0" w:firstColumn="0" w:lastColumn="0" w:oddVBand="0" w:evenVBand="0" w:oddHBand="0" w:evenHBand="0" w:firstRowFirstColumn="0" w:firstRowLastColumn="0" w:lastRowFirstColumn="0" w:lastRowLastColumn="0"/>
            </w:pPr>
            <w:r w:rsidRPr="007D774B">
              <w:t>n</w:t>
            </w:r>
          </w:p>
        </w:tc>
        <w:tc>
          <w:tcPr>
            <w:tcW w:w="0" w:type="auto"/>
            <w:hideMark/>
          </w:tcPr>
          <w:p w14:paraId="1EAE89E8" w14:textId="77777777" w:rsidR="002779F0" w:rsidRPr="007D774B" w:rsidRDefault="002779F0" w:rsidP="003C34D1">
            <w:pPr>
              <w:pStyle w:val="Tablebody"/>
              <w:cnfStyle w:val="100000000000" w:firstRow="1" w:lastRow="0" w:firstColumn="0" w:lastColumn="0" w:oddVBand="0" w:evenVBand="0" w:oddHBand="0" w:evenHBand="0" w:firstRowFirstColumn="0" w:firstRowLastColumn="0" w:lastRowFirstColumn="0" w:lastRowLastColumn="0"/>
            </w:pPr>
            <w:r w:rsidRPr="007D774B">
              <w:t>Calibration Slope (95% CI)</w:t>
            </w:r>
          </w:p>
        </w:tc>
        <w:tc>
          <w:tcPr>
            <w:tcW w:w="0" w:type="auto"/>
            <w:hideMark/>
          </w:tcPr>
          <w:p w14:paraId="28ED4FF1" w14:textId="77777777" w:rsidR="002779F0" w:rsidRPr="007D774B" w:rsidRDefault="002779F0" w:rsidP="003C34D1">
            <w:pPr>
              <w:pStyle w:val="Tablebody"/>
              <w:cnfStyle w:val="100000000000" w:firstRow="1" w:lastRow="0" w:firstColumn="0" w:lastColumn="0" w:oddVBand="0" w:evenVBand="0" w:oddHBand="0" w:evenHBand="0" w:firstRowFirstColumn="0" w:firstRowLastColumn="0" w:lastRowFirstColumn="0" w:lastRowLastColumn="0"/>
            </w:pPr>
            <w:r w:rsidRPr="007D774B">
              <w:t>Intercept (95% CI)</w:t>
            </w:r>
          </w:p>
        </w:tc>
      </w:tr>
      <w:tr w:rsidR="002779F0" w:rsidRPr="007D774B" w14:paraId="2C43F012"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31C5F35" w14:textId="77777777" w:rsidR="002779F0" w:rsidRPr="007D774B" w:rsidRDefault="002779F0" w:rsidP="003C34D1">
            <w:pPr>
              <w:pStyle w:val="Tablebody"/>
            </w:pPr>
            <w:r w:rsidRPr="007D774B">
              <w:t>Base</w:t>
            </w:r>
          </w:p>
        </w:tc>
        <w:tc>
          <w:tcPr>
            <w:tcW w:w="0" w:type="auto"/>
            <w:hideMark/>
          </w:tcPr>
          <w:p w14:paraId="727D2F4B"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1</w:t>
            </w:r>
          </w:p>
        </w:tc>
        <w:tc>
          <w:tcPr>
            <w:tcW w:w="0" w:type="auto"/>
            <w:hideMark/>
          </w:tcPr>
          <w:p w14:paraId="478C558C"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4581</w:t>
            </w:r>
          </w:p>
        </w:tc>
        <w:tc>
          <w:tcPr>
            <w:tcW w:w="0" w:type="auto"/>
            <w:hideMark/>
          </w:tcPr>
          <w:p w14:paraId="6DBAABA8"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0.85 (0.49–1.22)</w:t>
            </w:r>
          </w:p>
        </w:tc>
        <w:tc>
          <w:tcPr>
            <w:tcW w:w="0" w:type="auto"/>
            <w:hideMark/>
          </w:tcPr>
          <w:p w14:paraId="2D583708"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0.12 (−0.13–0.37)</w:t>
            </w:r>
          </w:p>
        </w:tc>
      </w:tr>
      <w:tr w:rsidR="002779F0" w:rsidRPr="007D774B" w14:paraId="1160C918" w14:textId="77777777" w:rsidTr="003C34D1">
        <w:tc>
          <w:tcPr>
            <w:cnfStyle w:val="001000000000" w:firstRow="0" w:lastRow="0" w:firstColumn="1" w:lastColumn="0" w:oddVBand="0" w:evenVBand="0" w:oddHBand="0" w:evenHBand="0" w:firstRowFirstColumn="0" w:firstRowLastColumn="0" w:lastRowFirstColumn="0" w:lastRowLastColumn="0"/>
            <w:tcW w:w="0" w:type="auto"/>
            <w:vMerge/>
            <w:hideMark/>
          </w:tcPr>
          <w:p w14:paraId="455DA4ED" w14:textId="77777777" w:rsidR="002779F0" w:rsidRPr="007D774B" w:rsidRDefault="002779F0" w:rsidP="003C34D1">
            <w:pPr>
              <w:pStyle w:val="Tablebody"/>
            </w:pPr>
          </w:p>
        </w:tc>
        <w:tc>
          <w:tcPr>
            <w:tcW w:w="0" w:type="auto"/>
            <w:hideMark/>
          </w:tcPr>
          <w:p w14:paraId="348CEF64"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2</w:t>
            </w:r>
          </w:p>
        </w:tc>
        <w:tc>
          <w:tcPr>
            <w:tcW w:w="0" w:type="auto"/>
            <w:hideMark/>
          </w:tcPr>
          <w:p w14:paraId="1DC89A42"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4642</w:t>
            </w:r>
          </w:p>
        </w:tc>
        <w:tc>
          <w:tcPr>
            <w:tcW w:w="0" w:type="auto"/>
            <w:hideMark/>
          </w:tcPr>
          <w:p w14:paraId="33D2A208"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0.87 (0.45–1.29)</w:t>
            </w:r>
          </w:p>
        </w:tc>
        <w:tc>
          <w:tcPr>
            <w:tcW w:w="0" w:type="auto"/>
            <w:hideMark/>
          </w:tcPr>
          <w:p w14:paraId="329ECE65"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−0.20 (−0.45–0.05)</w:t>
            </w:r>
          </w:p>
        </w:tc>
      </w:tr>
      <w:tr w:rsidR="002779F0" w:rsidRPr="007D774B" w14:paraId="125457DA"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490F4D5F" w14:textId="77777777" w:rsidR="002779F0" w:rsidRPr="007D774B" w:rsidRDefault="002779F0" w:rsidP="003C34D1">
            <w:pPr>
              <w:pStyle w:val="Tablebody"/>
            </w:pPr>
          </w:p>
        </w:tc>
        <w:tc>
          <w:tcPr>
            <w:tcW w:w="0" w:type="auto"/>
            <w:hideMark/>
          </w:tcPr>
          <w:p w14:paraId="6B18236E"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3</w:t>
            </w:r>
          </w:p>
        </w:tc>
        <w:tc>
          <w:tcPr>
            <w:tcW w:w="0" w:type="auto"/>
            <w:hideMark/>
          </w:tcPr>
          <w:p w14:paraId="18141EB6"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3079</w:t>
            </w:r>
          </w:p>
        </w:tc>
        <w:tc>
          <w:tcPr>
            <w:tcW w:w="0" w:type="auto"/>
            <w:hideMark/>
          </w:tcPr>
          <w:p w14:paraId="56EAE762"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1.62 (0.76–2.47)</w:t>
            </w:r>
          </w:p>
        </w:tc>
        <w:tc>
          <w:tcPr>
            <w:tcW w:w="0" w:type="auto"/>
            <w:hideMark/>
          </w:tcPr>
          <w:p w14:paraId="0CBB8E72"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0.06 (−0.25–0.37)</w:t>
            </w:r>
          </w:p>
        </w:tc>
      </w:tr>
      <w:tr w:rsidR="002779F0" w:rsidRPr="007D774B" w14:paraId="4DFEFDFE" w14:textId="77777777" w:rsidTr="003C34D1">
        <w:tc>
          <w:tcPr>
            <w:cnfStyle w:val="001000000000" w:firstRow="0" w:lastRow="0" w:firstColumn="1" w:lastColumn="0" w:oddVBand="0" w:evenVBand="0" w:oddHBand="0" w:evenHBand="0" w:firstRowFirstColumn="0" w:firstRowLastColumn="0" w:lastRowFirstColumn="0" w:lastRowLastColumn="0"/>
            <w:tcW w:w="0" w:type="auto"/>
            <w:vMerge/>
            <w:hideMark/>
          </w:tcPr>
          <w:p w14:paraId="48BAEEA8" w14:textId="77777777" w:rsidR="002779F0" w:rsidRPr="007D774B" w:rsidRDefault="002779F0" w:rsidP="003C34D1">
            <w:pPr>
              <w:pStyle w:val="Tablebody"/>
            </w:pPr>
          </w:p>
        </w:tc>
        <w:tc>
          <w:tcPr>
            <w:tcW w:w="0" w:type="auto"/>
            <w:hideMark/>
          </w:tcPr>
          <w:p w14:paraId="4662802B"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Pooled</w:t>
            </w:r>
          </w:p>
        </w:tc>
        <w:tc>
          <w:tcPr>
            <w:tcW w:w="0" w:type="auto"/>
            <w:hideMark/>
          </w:tcPr>
          <w:p w14:paraId="4BDBC2FE"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12302</w:t>
            </w:r>
          </w:p>
        </w:tc>
        <w:tc>
          <w:tcPr>
            <w:tcW w:w="0" w:type="auto"/>
            <w:hideMark/>
          </w:tcPr>
          <w:p w14:paraId="48D46E27"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0.93 (0.67–1.19)</w:t>
            </w:r>
          </w:p>
        </w:tc>
        <w:tc>
          <w:tcPr>
            <w:tcW w:w="0" w:type="auto"/>
            <w:hideMark/>
          </w:tcPr>
          <w:p w14:paraId="1892ACE1"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−0.01 (−0.22–0.19)</w:t>
            </w:r>
          </w:p>
        </w:tc>
      </w:tr>
      <w:tr w:rsidR="002779F0" w:rsidRPr="007D774B" w14:paraId="01CB7B93"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A62D356" w14:textId="77777777" w:rsidR="002779F0" w:rsidRPr="007D774B" w:rsidRDefault="002779F0" w:rsidP="003C34D1">
            <w:pPr>
              <w:pStyle w:val="Tablebody"/>
            </w:pPr>
            <w:r w:rsidRPr="007D774B">
              <w:t xml:space="preserve">Base + Age </w:t>
            </w:r>
            <w:r>
              <w:t xml:space="preserve">gap </w:t>
            </w:r>
          </w:p>
        </w:tc>
        <w:tc>
          <w:tcPr>
            <w:tcW w:w="0" w:type="auto"/>
            <w:hideMark/>
          </w:tcPr>
          <w:p w14:paraId="4C5270D2"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1</w:t>
            </w:r>
          </w:p>
        </w:tc>
        <w:tc>
          <w:tcPr>
            <w:tcW w:w="0" w:type="auto"/>
            <w:hideMark/>
          </w:tcPr>
          <w:p w14:paraId="11BEF552"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4581</w:t>
            </w:r>
          </w:p>
        </w:tc>
        <w:tc>
          <w:tcPr>
            <w:tcW w:w="0" w:type="auto"/>
            <w:hideMark/>
          </w:tcPr>
          <w:p w14:paraId="65D5F3C6"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0.86 (0.53–1.20)</w:t>
            </w:r>
          </w:p>
        </w:tc>
        <w:tc>
          <w:tcPr>
            <w:tcW w:w="0" w:type="auto"/>
            <w:hideMark/>
          </w:tcPr>
          <w:p w14:paraId="5BF5DA7B"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0.13 (−0.12–0.39)</w:t>
            </w:r>
          </w:p>
        </w:tc>
      </w:tr>
      <w:tr w:rsidR="002779F0" w:rsidRPr="007D774B" w14:paraId="4B838FD1" w14:textId="77777777" w:rsidTr="003C34D1">
        <w:tc>
          <w:tcPr>
            <w:cnfStyle w:val="001000000000" w:firstRow="0" w:lastRow="0" w:firstColumn="1" w:lastColumn="0" w:oddVBand="0" w:evenVBand="0" w:oddHBand="0" w:evenHBand="0" w:firstRowFirstColumn="0" w:firstRowLastColumn="0" w:lastRowFirstColumn="0" w:lastRowLastColumn="0"/>
            <w:tcW w:w="0" w:type="auto"/>
            <w:vMerge/>
            <w:hideMark/>
          </w:tcPr>
          <w:p w14:paraId="7650768A" w14:textId="77777777" w:rsidR="002779F0" w:rsidRPr="007D774B" w:rsidRDefault="002779F0" w:rsidP="003C34D1">
            <w:pPr>
              <w:pStyle w:val="Tablebody"/>
            </w:pPr>
          </w:p>
        </w:tc>
        <w:tc>
          <w:tcPr>
            <w:tcW w:w="0" w:type="auto"/>
            <w:hideMark/>
          </w:tcPr>
          <w:p w14:paraId="07E0788F"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2</w:t>
            </w:r>
          </w:p>
        </w:tc>
        <w:tc>
          <w:tcPr>
            <w:tcW w:w="0" w:type="auto"/>
            <w:hideMark/>
          </w:tcPr>
          <w:p w14:paraId="497DCA0F"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4642</w:t>
            </w:r>
          </w:p>
        </w:tc>
        <w:tc>
          <w:tcPr>
            <w:tcW w:w="0" w:type="auto"/>
            <w:hideMark/>
          </w:tcPr>
          <w:p w14:paraId="79BD7F8E"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0.73 (0.40–1.07)</w:t>
            </w:r>
          </w:p>
        </w:tc>
        <w:tc>
          <w:tcPr>
            <w:tcW w:w="0" w:type="auto"/>
            <w:hideMark/>
          </w:tcPr>
          <w:p w14:paraId="75D3702E"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−0.26 (−0.52–0.00)</w:t>
            </w:r>
          </w:p>
        </w:tc>
      </w:tr>
      <w:tr w:rsidR="002779F0" w:rsidRPr="007D774B" w14:paraId="611FEB93" w14:textId="77777777" w:rsidTr="003C34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11312F8D" w14:textId="77777777" w:rsidR="002779F0" w:rsidRPr="007D774B" w:rsidRDefault="002779F0" w:rsidP="003C34D1">
            <w:pPr>
              <w:pStyle w:val="Tablebody"/>
            </w:pPr>
          </w:p>
        </w:tc>
        <w:tc>
          <w:tcPr>
            <w:tcW w:w="0" w:type="auto"/>
            <w:hideMark/>
          </w:tcPr>
          <w:p w14:paraId="26F9F9E8"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3</w:t>
            </w:r>
          </w:p>
        </w:tc>
        <w:tc>
          <w:tcPr>
            <w:tcW w:w="0" w:type="auto"/>
            <w:hideMark/>
          </w:tcPr>
          <w:p w14:paraId="5EF51045"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3079</w:t>
            </w:r>
          </w:p>
        </w:tc>
        <w:tc>
          <w:tcPr>
            <w:tcW w:w="0" w:type="auto"/>
            <w:hideMark/>
          </w:tcPr>
          <w:p w14:paraId="7A7E22D8"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1.40 (0.71–2.09)</w:t>
            </w:r>
          </w:p>
        </w:tc>
        <w:tc>
          <w:tcPr>
            <w:tcW w:w="0" w:type="auto"/>
            <w:hideMark/>
          </w:tcPr>
          <w:p w14:paraId="540BBB5E" w14:textId="77777777" w:rsidR="002779F0" w:rsidRPr="007D774B" w:rsidRDefault="002779F0" w:rsidP="003C34D1">
            <w:pPr>
              <w:pStyle w:val="Tablebody"/>
              <w:cnfStyle w:val="000000100000" w:firstRow="0" w:lastRow="0" w:firstColumn="0" w:lastColumn="0" w:oddVBand="0" w:evenVBand="0" w:oddHBand="1" w:evenHBand="0" w:firstRowFirstColumn="0" w:firstRowLastColumn="0" w:lastRowFirstColumn="0" w:lastRowLastColumn="0"/>
            </w:pPr>
            <w:r w:rsidRPr="007D774B">
              <w:t>0.03 (−0.28–0.34)</w:t>
            </w:r>
          </w:p>
        </w:tc>
      </w:tr>
      <w:tr w:rsidR="002779F0" w:rsidRPr="007D774B" w14:paraId="482F58C6" w14:textId="77777777" w:rsidTr="003C34D1">
        <w:tc>
          <w:tcPr>
            <w:cnfStyle w:val="001000000000" w:firstRow="0" w:lastRow="0" w:firstColumn="1" w:lastColumn="0" w:oddVBand="0" w:evenVBand="0" w:oddHBand="0" w:evenHBand="0" w:firstRowFirstColumn="0" w:firstRowLastColumn="0" w:lastRowFirstColumn="0" w:lastRowLastColumn="0"/>
            <w:tcW w:w="0" w:type="auto"/>
            <w:vMerge/>
            <w:hideMark/>
          </w:tcPr>
          <w:p w14:paraId="209D4BDC" w14:textId="77777777" w:rsidR="002779F0" w:rsidRPr="007D774B" w:rsidRDefault="002779F0" w:rsidP="003C34D1">
            <w:pPr>
              <w:pStyle w:val="Tablebody"/>
            </w:pPr>
          </w:p>
        </w:tc>
        <w:tc>
          <w:tcPr>
            <w:tcW w:w="0" w:type="auto"/>
            <w:hideMark/>
          </w:tcPr>
          <w:p w14:paraId="4D73E826"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Pooled</w:t>
            </w:r>
          </w:p>
        </w:tc>
        <w:tc>
          <w:tcPr>
            <w:tcW w:w="0" w:type="auto"/>
            <w:hideMark/>
          </w:tcPr>
          <w:p w14:paraId="729DE09B"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12302</w:t>
            </w:r>
          </w:p>
        </w:tc>
        <w:tc>
          <w:tcPr>
            <w:tcW w:w="0" w:type="auto"/>
            <w:hideMark/>
          </w:tcPr>
          <w:p w14:paraId="2DBE7C3E"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0.86 (0.64–1.08)</w:t>
            </w:r>
          </w:p>
        </w:tc>
        <w:tc>
          <w:tcPr>
            <w:tcW w:w="0" w:type="auto"/>
            <w:hideMark/>
          </w:tcPr>
          <w:p w14:paraId="7FB11995" w14:textId="77777777" w:rsidR="002779F0" w:rsidRPr="007D774B" w:rsidRDefault="002779F0" w:rsidP="003C34D1">
            <w:pPr>
              <w:pStyle w:val="Tablebody"/>
              <w:cnfStyle w:val="000000000000" w:firstRow="0" w:lastRow="0" w:firstColumn="0" w:lastColumn="0" w:oddVBand="0" w:evenVBand="0" w:oddHBand="0" w:evenHBand="0" w:firstRowFirstColumn="0" w:firstRowLastColumn="0" w:lastRowFirstColumn="0" w:lastRowLastColumn="0"/>
            </w:pPr>
            <w:r w:rsidRPr="007D774B">
              <w:t>−0.03 (−0.28–0.21)</w:t>
            </w:r>
          </w:p>
        </w:tc>
      </w:tr>
    </w:tbl>
    <w:p w14:paraId="5B6D7048" w14:textId="77777777" w:rsidR="002779F0" w:rsidRPr="003B4C19" w:rsidRDefault="002779F0" w:rsidP="002779F0">
      <w:pPr>
        <w:spacing w:after="160" w:line="279" w:lineRule="auto"/>
      </w:pPr>
    </w:p>
    <w:p w14:paraId="10795785" w14:textId="59F865CD" w:rsidR="009F70E8" w:rsidRPr="003B4C19" w:rsidRDefault="003B4C19" w:rsidP="003B4C19">
      <w:pPr>
        <w:pStyle w:val="Caption"/>
      </w:pPr>
      <w:bookmarkStart w:id="30" w:name="_Toc237015192"/>
      <w:r>
        <w:t xml:space="preserve">Supplementary Table </w:t>
      </w:r>
      <w:fldSimple w:instr=" SEQ Supplementary_Table \* ARABIC ">
        <w:r w:rsidR="00AC2EF6">
          <w:rPr>
            <w:noProof/>
          </w:rPr>
          <w:t>10</w:t>
        </w:r>
      </w:fldSimple>
      <w:r w:rsidR="002779F0" w:rsidRPr="003B4C19">
        <w:t>. Calibration slope and intercept for non-LC-related death in IECV clusters and pooled estimate in random effects meta-analysis, 2-year time horizon.</w:t>
      </w:r>
      <w:bookmarkEnd w:id="30"/>
      <w:r w:rsidR="002779F0" w:rsidRPr="003B4C19">
        <w:t xml:space="preserve"> </w:t>
      </w:r>
    </w:p>
    <w:p w14:paraId="1A1F493C" w14:textId="77777777" w:rsidR="00BD7115" w:rsidRDefault="002779F0" w:rsidP="002779F0">
      <w:pPr>
        <w:spacing w:after="160" w:line="279" w:lineRule="auto"/>
      </w:pPr>
      <w:r>
        <w:t>CI: Confidence Interval; LC: Lung cancer; IECV: Internal-external cross validation.</w:t>
      </w:r>
    </w:p>
    <w:p w14:paraId="3D4933F3" w14:textId="77777777" w:rsidR="00BD7115" w:rsidRDefault="00BD7115">
      <w:pPr>
        <w:spacing w:after="160" w:line="279" w:lineRule="auto"/>
      </w:pPr>
    </w:p>
    <w:p w14:paraId="3C5AD11C" w14:textId="77777777" w:rsidR="002779F0" w:rsidRDefault="002779F0" w:rsidP="002779F0">
      <w:pPr>
        <w:spacing w:after="160" w:line="279" w:lineRule="auto"/>
      </w:pPr>
    </w:p>
    <w:tbl>
      <w:tblPr>
        <w:tblStyle w:val="PlainTable3"/>
        <w:tblW w:w="0" w:type="auto"/>
        <w:tblLook w:val="06A0" w:firstRow="1" w:lastRow="0" w:firstColumn="1" w:lastColumn="0" w:noHBand="1" w:noVBand="1"/>
      </w:tblPr>
      <w:tblGrid>
        <w:gridCol w:w="2199"/>
        <w:gridCol w:w="1071"/>
        <w:gridCol w:w="1321"/>
        <w:gridCol w:w="2214"/>
        <w:gridCol w:w="2221"/>
      </w:tblGrid>
      <w:tr w:rsidR="002779F0" w14:paraId="3A5F6897" w14:textId="77777777" w:rsidTr="003C34D1">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270" w:type="dxa"/>
            <w:gridSpan w:val="2"/>
          </w:tcPr>
          <w:p w14:paraId="0315053A" w14:textId="77777777" w:rsidR="002779F0" w:rsidRDefault="002779F0" w:rsidP="003C34D1">
            <w:pPr>
              <w:pStyle w:val="Tablebody"/>
            </w:pPr>
          </w:p>
        </w:tc>
        <w:tc>
          <w:tcPr>
            <w:tcW w:w="1321" w:type="dxa"/>
          </w:tcPr>
          <w:p w14:paraId="587644AE"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n</w:t>
            </w:r>
          </w:p>
        </w:tc>
        <w:tc>
          <w:tcPr>
            <w:tcW w:w="2214" w:type="dxa"/>
          </w:tcPr>
          <w:p w14:paraId="4C35B369"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Calibration Slope (95% CI)</w:t>
            </w:r>
          </w:p>
        </w:tc>
        <w:tc>
          <w:tcPr>
            <w:tcW w:w="2221" w:type="dxa"/>
          </w:tcPr>
          <w:p w14:paraId="433098B6"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Intercept (95% CI)</w:t>
            </w:r>
          </w:p>
        </w:tc>
      </w:tr>
      <w:tr w:rsidR="002779F0" w14:paraId="042DA1AB"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99" w:type="dxa"/>
            <w:vMerge w:val="restart"/>
          </w:tcPr>
          <w:p w14:paraId="793C46F6" w14:textId="77777777" w:rsidR="002779F0" w:rsidRDefault="002779F0" w:rsidP="003C34D1">
            <w:pPr>
              <w:pStyle w:val="Tablebody"/>
            </w:pPr>
            <w:r>
              <w:t>Base</w:t>
            </w:r>
          </w:p>
        </w:tc>
        <w:tc>
          <w:tcPr>
            <w:tcW w:w="1071" w:type="dxa"/>
          </w:tcPr>
          <w:p w14:paraId="187B50F8"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321" w:type="dxa"/>
          </w:tcPr>
          <w:p w14:paraId="4DDDE879"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4014</w:t>
            </w:r>
          </w:p>
        </w:tc>
        <w:tc>
          <w:tcPr>
            <w:tcW w:w="2214" w:type="dxa"/>
          </w:tcPr>
          <w:p w14:paraId="552C5481"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0.88 (0.62–1.14)</w:t>
            </w:r>
          </w:p>
        </w:tc>
        <w:tc>
          <w:tcPr>
            <w:tcW w:w="2221" w:type="dxa"/>
          </w:tcPr>
          <w:p w14:paraId="20B2BDF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0.02 (−0.14–0.19)</w:t>
            </w:r>
          </w:p>
        </w:tc>
      </w:tr>
      <w:tr w:rsidR="002779F0" w14:paraId="56EDB4B6"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99" w:type="dxa"/>
            <w:vMerge/>
          </w:tcPr>
          <w:p w14:paraId="659FCBCD" w14:textId="77777777" w:rsidR="002779F0" w:rsidRDefault="002779F0" w:rsidP="003C34D1"/>
        </w:tc>
        <w:tc>
          <w:tcPr>
            <w:tcW w:w="1071" w:type="dxa"/>
          </w:tcPr>
          <w:p w14:paraId="3E5A5788"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321" w:type="dxa"/>
          </w:tcPr>
          <w:p w14:paraId="2ADCD10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4063</w:t>
            </w:r>
          </w:p>
        </w:tc>
        <w:tc>
          <w:tcPr>
            <w:tcW w:w="2214" w:type="dxa"/>
          </w:tcPr>
          <w:p w14:paraId="744AC99C"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0.66 (0.43–0.89)</w:t>
            </w:r>
          </w:p>
        </w:tc>
        <w:tc>
          <w:tcPr>
            <w:tcW w:w="2221" w:type="dxa"/>
          </w:tcPr>
          <w:p w14:paraId="742552F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−0.15 (−0.31–0.00)</w:t>
            </w:r>
          </w:p>
        </w:tc>
      </w:tr>
      <w:tr w:rsidR="002779F0" w14:paraId="105D7D85"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99" w:type="dxa"/>
            <w:vMerge/>
          </w:tcPr>
          <w:p w14:paraId="783A8D3F" w14:textId="77777777" w:rsidR="002779F0" w:rsidRDefault="002779F0" w:rsidP="003C34D1"/>
        </w:tc>
        <w:tc>
          <w:tcPr>
            <w:tcW w:w="1071" w:type="dxa"/>
          </w:tcPr>
          <w:p w14:paraId="79498FA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321" w:type="dxa"/>
          </w:tcPr>
          <w:p w14:paraId="161853D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2705</w:t>
            </w:r>
          </w:p>
        </w:tc>
        <w:tc>
          <w:tcPr>
            <w:tcW w:w="2214" w:type="dxa"/>
          </w:tcPr>
          <w:p w14:paraId="3E54D058"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0.94 (0.60–1.28)</w:t>
            </w:r>
          </w:p>
        </w:tc>
        <w:tc>
          <w:tcPr>
            <w:tcW w:w="2221" w:type="dxa"/>
          </w:tcPr>
          <w:p w14:paraId="56C9A22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−0.04 (−0.24–0.15)</w:t>
            </w:r>
          </w:p>
        </w:tc>
      </w:tr>
      <w:tr w:rsidR="002779F0" w14:paraId="3ACF6C69"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99" w:type="dxa"/>
            <w:vMerge/>
          </w:tcPr>
          <w:p w14:paraId="6DA50D43" w14:textId="77777777" w:rsidR="002779F0" w:rsidRDefault="002779F0" w:rsidP="003C34D1"/>
        </w:tc>
        <w:tc>
          <w:tcPr>
            <w:tcW w:w="1071" w:type="dxa"/>
          </w:tcPr>
          <w:p w14:paraId="6FFABB26"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321" w:type="dxa"/>
          </w:tcPr>
          <w:p w14:paraId="00EA8BBB"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10782</w:t>
            </w:r>
          </w:p>
        </w:tc>
        <w:tc>
          <w:tcPr>
            <w:tcW w:w="2214" w:type="dxa"/>
          </w:tcPr>
          <w:p w14:paraId="40FF4034"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0.80 (0.62–0.98)</w:t>
            </w:r>
          </w:p>
        </w:tc>
        <w:tc>
          <w:tcPr>
            <w:tcW w:w="2221" w:type="dxa"/>
          </w:tcPr>
          <w:p w14:paraId="1B4ED85F"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−0.06 (−0.17–0.05)</w:t>
            </w:r>
          </w:p>
        </w:tc>
      </w:tr>
      <w:tr w:rsidR="002779F0" w14:paraId="6ECB0910"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99" w:type="dxa"/>
            <w:vMerge w:val="restart"/>
          </w:tcPr>
          <w:p w14:paraId="427EBEF4" w14:textId="77777777" w:rsidR="002779F0" w:rsidRDefault="002779F0" w:rsidP="003C34D1">
            <w:pPr>
              <w:pStyle w:val="Tablebody"/>
            </w:pPr>
            <w:r>
              <w:t xml:space="preserve">Base + Age gap </w:t>
            </w:r>
          </w:p>
        </w:tc>
        <w:tc>
          <w:tcPr>
            <w:tcW w:w="1071" w:type="dxa"/>
          </w:tcPr>
          <w:p w14:paraId="1370631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321" w:type="dxa"/>
          </w:tcPr>
          <w:p w14:paraId="59956781"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4014</w:t>
            </w:r>
          </w:p>
        </w:tc>
        <w:tc>
          <w:tcPr>
            <w:tcW w:w="2214" w:type="dxa"/>
          </w:tcPr>
          <w:p w14:paraId="53B0A20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0.86 (0.62–1.11)</w:t>
            </w:r>
          </w:p>
        </w:tc>
        <w:tc>
          <w:tcPr>
            <w:tcW w:w="2221" w:type="dxa"/>
          </w:tcPr>
          <w:p w14:paraId="3A4471B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0.03 (−0.13–0.20)</w:t>
            </w:r>
          </w:p>
        </w:tc>
      </w:tr>
      <w:tr w:rsidR="002779F0" w14:paraId="679419D5"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99" w:type="dxa"/>
            <w:vMerge/>
          </w:tcPr>
          <w:p w14:paraId="7E27A29F" w14:textId="77777777" w:rsidR="002779F0" w:rsidRDefault="002779F0" w:rsidP="003C34D1"/>
        </w:tc>
        <w:tc>
          <w:tcPr>
            <w:tcW w:w="1071" w:type="dxa"/>
          </w:tcPr>
          <w:p w14:paraId="519698AF"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321" w:type="dxa"/>
          </w:tcPr>
          <w:p w14:paraId="196C533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4063</w:t>
            </w:r>
          </w:p>
        </w:tc>
        <w:tc>
          <w:tcPr>
            <w:tcW w:w="2214" w:type="dxa"/>
          </w:tcPr>
          <w:p w14:paraId="6BC0E5B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0.67 (0.45–0.89)</w:t>
            </w:r>
          </w:p>
        </w:tc>
        <w:tc>
          <w:tcPr>
            <w:tcW w:w="2221" w:type="dxa"/>
          </w:tcPr>
          <w:p w14:paraId="623A09B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−0.15 (−0.31–0.00)</w:t>
            </w:r>
          </w:p>
        </w:tc>
      </w:tr>
      <w:tr w:rsidR="002779F0" w14:paraId="34C0BCD0"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99" w:type="dxa"/>
            <w:vMerge/>
          </w:tcPr>
          <w:p w14:paraId="37AFE47C" w14:textId="77777777" w:rsidR="002779F0" w:rsidRDefault="002779F0" w:rsidP="003C34D1"/>
        </w:tc>
        <w:tc>
          <w:tcPr>
            <w:tcW w:w="1071" w:type="dxa"/>
          </w:tcPr>
          <w:p w14:paraId="71DD364C"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321" w:type="dxa"/>
          </w:tcPr>
          <w:p w14:paraId="4E78E5D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2705</w:t>
            </w:r>
          </w:p>
        </w:tc>
        <w:tc>
          <w:tcPr>
            <w:tcW w:w="2214" w:type="dxa"/>
          </w:tcPr>
          <w:p w14:paraId="0F172AA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0.85 (0.55–1.15)</w:t>
            </w:r>
          </w:p>
        </w:tc>
        <w:tc>
          <w:tcPr>
            <w:tcW w:w="2221" w:type="dxa"/>
          </w:tcPr>
          <w:p w14:paraId="06CAFFB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−0.09 (−0.28–0.11)</w:t>
            </w:r>
          </w:p>
        </w:tc>
      </w:tr>
      <w:tr w:rsidR="002779F0" w14:paraId="663D696F"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99" w:type="dxa"/>
            <w:vMerge/>
          </w:tcPr>
          <w:p w14:paraId="61184D47" w14:textId="77777777" w:rsidR="002779F0" w:rsidRDefault="002779F0" w:rsidP="003C34D1"/>
        </w:tc>
        <w:tc>
          <w:tcPr>
            <w:tcW w:w="1071" w:type="dxa"/>
          </w:tcPr>
          <w:p w14:paraId="7C59953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321" w:type="dxa"/>
          </w:tcPr>
          <w:p w14:paraId="13BDC1C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10782</w:t>
            </w:r>
          </w:p>
        </w:tc>
        <w:tc>
          <w:tcPr>
            <w:tcW w:w="2214" w:type="dxa"/>
          </w:tcPr>
          <w:p w14:paraId="71BF0F9B"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0.78 (0.63–0.92)</w:t>
            </w:r>
          </w:p>
        </w:tc>
        <w:tc>
          <w:tcPr>
            <w:tcW w:w="2221" w:type="dxa"/>
          </w:tcPr>
          <w:p w14:paraId="49C6AF3C"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−0.07 (−0.19–0.05)</w:t>
            </w:r>
          </w:p>
        </w:tc>
      </w:tr>
      <w:tr w:rsidR="002779F0" w14:paraId="27D9DFB2"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99" w:type="dxa"/>
            <w:vMerge w:val="restart"/>
          </w:tcPr>
          <w:p w14:paraId="5D02C2F4" w14:textId="77777777" w:rsidR="002779F0" w:rsidRDefault="002779F0" w:rsidP="003C34D1">
            <w:pPr>
              <w:pStyle w:val="Tablebody"/>
            </w:pPr>
            <w:r>
              <w:t>Base + Raw Biomarkers</w:t>
            </w:r>
          </w:p>
        </w:tc>
        <w:tc>
          <w:tcPr>
            <w:tcW w:w="1071" w:type="dxa"/>
          </w:tcPr>
          <w:p w14:paraId="4DFDFF9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321" w:type="dxa"/>
          </w:tcPr>
          <w:p w14:paraId="2443A58B"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4014</w:t>
            </w:r>
          </w:p>
        </w:tc>
        <w:tc>
          <w:tcPr>
            <w:tcW w:w="2214" w:type="dxa"/>
          </w:tcPr>
          <w:p w14:paraId="52327CDE"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0.82 (0.57–1.07)</w:t>
            </w:r>
          </w:p>
        </w:tc>
        <w:tc>
          <w:tcPr>
            <w:tcW w:w="2221" w:type="dxa"/>
          </w:tcPr>
          <w:p w14:paraId="75ED336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0.01 (−0.15–0.18)</w:t>
            </w:r>
          </w:p>
        </w:tc>
      </w:tr>
      <w:tr w:rsidR="002779F0" w14:paraId="26B0E17E"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99" w:type="dxa"/>
            <w:vMerge/>
          </w:tcPr>
          <w:p w14:paraId="6C676B14" w14:textId="77777777" w:rsidR="002779F0" w:rsidRDefault="002779F0" w:rsidP="003C34D1"/>
        </w:tc>
        <w:tc>
          <w:tcPr>
            <w:tcW w:w="1071" w:type="dxa"/>
          </w:tcPr>
          <w:p w14:paraId="5683E00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321" w:type="dxa"/>
          </w:tcPr>
          <w:p w14:paraId="1C36D08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4063</w:t>
            </w:r>
          </w:p>
        </w:tc>
        <w:tc>
          <w:tcPr>
            <w:tcW w:w="2214" w:type="dxa"/>
          </w:tcPr>
          <w:p w14:paraId="7DEB80CB"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0.66 (0.44–0.87)</w:t>
            </w:r>
          </w:p>
        </w:tc>
        <w:tc>
          <w:tcPr>
            <w:tcW w:w="2221" w:type="dxa"/>
          </w:tcPr>
          <w:p w14:paraId="4EB8E834"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−0.17 (−0.33–−0.01)</w:t>
            </w:r>
          </w:p>
        </w:tc>
      </w:tr>
      <w:tr w:rsidR="002779F0" w14:paraId="08033970"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99" w:type="dxa"/>
            <w:vMerge/>
          </w:tcPr>
          <w:p w14:paraId="6AC76701" w14:textId="77777777" w:rsidR="002779F0" w:rsidRDefault="002779F0" w:rsidP="003C34D1"/>
        </w:tc>
        <w:tc>
          <w:tcPr>
            <w:tcW w:w="1071" w:type="dxa"/>
          </w:tcPr>
          <w:p w14:paraId="7EC76F18"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321" w:type="dxa"/>
          </w:tcPr>
          <w:p w14:paraId="43FDF4E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2705</w:t>
            </w:r>
          </w:p>
        </w:tc>
        <w:tc>
          <w:tcPr>
            <w:tcW w:w="2214" w:type="dxa"/>
          </w:tcPr>
          <w:p w14:paraId="00A97EF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0.90 (0.58–1.21)</w:t>
            </w:r>
          </w:p>
        </w:tc>
        <w:tc>
          <w:tcPr>
            <w:tcW w:w="2221" w:type="dxa"/>
          </w:tcPr>
          <w:p w14:paraId="017887E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−0.06 (−0.26–0.13)</w:t>
            </w:r>
          </w:p>
        </w:tc>
      </w:tr>
      <w:tr w:rsidR="002779F0" w14:paraId="36DD1EB7"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199" w:type="dxa"/>
            <w:vMerge/>
          </w:tcPr>
          <w:p w14:paraId="7EBF2E59" w14:textId="77777777" w:rsidR="002779F0" w:rsidRDefault="002779F0" w:rsidP="003C34D1"/>
        </w:tc>
        <w:tc>
          <w:tcPr>
            <w:tcW w:w="1071" w:type="dxa"/>
          </w:tcPr>
          <w:p w14:paraId="076207C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321" w:type="dxa"/>
          </w:tcPr>
          <w:p w14:paraId="56D189B4"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10782</w:t>
            </w:r>
          </w:p>
        </w:tc>
        <w:tc>
          <w:tcPr>
            <w:tcW w:w="2214" w:type="dxa"/>
          </w:tcPr>
          <w:p w14:paraId="3F9C968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0.76 (0.62–0.91)</w:t>
            </w:r>
          </w:p>
        </w:tc>
        <w:tc>
          <w:tcPr>
            <w:tcW w:w="2221" w:type="dxa"/>
          </w:tcPr>
          <w:p w14:paraId="7546C414"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−0.07 (−0.19–0.04)</w:t>
            </w:r>
          </w:p>
        </w:tc>
      </w:tr>
    </w:tbl>
    <w:p w14:paraId="5BF0183D" w14:textId="77777777" w:rsidR="002779F0" w:rsidRDefault="002779F0" w:rsidP="002779F0">
      <w:pPr>
        <w:spacing w:after="160" w:line="279" w:lineRule="auto"/>
      </w:pPr>
    </w:p>
    <w:p w14:paraId="24DEBA1F" w14:textId="37F6CA99" w:rsidR="003B4C19" w:rsidRPr="003B4C19" w:rsidRDefault="003B4C19" w:rsidP="003B4C19">
      <w:pPr>
        <w:pStyle w:val="Caption"/>
      </w:pPr>
      <w:bookmarkStart w:id="31" w:name="_Toc237015193"/>
      <w:r w:rsidRPr="003B4C19">
        <w:t xml:space="preserve">Supplementary Table </w:t>
      </w:r>
      <w:fldSimple w:instr=" SEQ Supplementary_Table \* ARABIC ">
        <w:r w:rsidR="00AC2EF6">
          <w:rPr>
            <w:noProof/>
          </w:rPr>
          <w:t>11</w:t>
        </w:r>
      </w:fldSimple>
      <w:r w:rsidR="002779F0" w:rsidRPr="003B4C19">
        <w:t>. Complete case sensitivity analysis, calibration slope and intercept for LC diagnosis in IECV clusters and pooled estimate in random effects meta-analysis, 5-year time horizon.</w:t>
      </w:r>
      <w:bookmarkEnd w:id="31"/>
      <w:r w:rsidR="002779F0" w:rsidRPr="003B4C19">
        <w:t xml:space="preserve"> </w:t>
      </w:r>
    </w:p>
    <w:p w14:paraId="0F970890" w14:textId="77777777" w:rsidR="0002717A" w:rsidRDefault="002779F0" w:rsidP="003B4C19">
      <w:pPr>
        <w:pStyle w:val="Caption"/>
      </w:pPr>
      <w:r>
        <w:t>CI: Confidence Interval; LC: Lung cancer; IECV: Internal-external cross validation.</w:t>
      </w:r>
    </w:p>
    <w:p w14:paraId="303032DD" w14:textId="77777777" w:rsidR="0002717A" w:rsidRDefault="0002717A">
      <w:pPr>
        <w:spacing w:after="160" w:line="279" w:lineRule="auto"/>
      </w:pPr>
      <w:r>
        <w:br w:type="page"/>
      </w:r>
    </w:p>
    <w:p w14:paraId="441C04C1" w14:textId="77777777" w:rsidR="002779F0" w:rsidRDefault="002779F0" w:rsidP="002779F0">
      <w:pPr>
        <w:spacing w:after="160" w:line="279" w:lineRule="auto"/>
      </w:pPr>
    </w:p>
    <w:tbl>
      <w:tblPr>
        <w:tblStyle w:val="PlainTable3"/>
        <w:tblW w:w="0" w:type="auto"/>
        <w:tblLook w:val="06A0" w:firstRow="1" w:lastRow="0" w:firstColumn="1" w:lastColumn="0" w:noHBand="1" w:noVBand="1"/>
      </w:tblPr>
      <w:tblGrid>
        <w:gridCol w:w="2230"/>
        <w:gridCol w:w="1080"/>
        <w:gridCol w:w="1394"/>
        <w:gridCol w:w="2195"/>
        <w:gridCol w:w="2127"/>
      </w:tblGrid>
      <w:tr w:rsidR="002779F0" w14:paraId="0D13119B" w14:textId="77777777" w:rsidTr="003C34D1">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471" w:type="dxa"/>
            <w:gridSpan w:val="2"/>
          </w:tcPr>
          <w:p w14:paraId="01EF29FF" w14:textId="77777777" w:rsidR="002779F0" w:rsidRDefault="002779F0" w:rsidP="003C34D1">
            <w:pPr>
              <w:pStyle w:val="Tablebody"/>
            </w:pPr>
          </w:p>
        </w:tc>
        <w:tc>
          <w:tcPr>
            <w:tcW w:w="1485" w:type="dxa"/>
          </w:tcPr>
          <w:p w14:paraId="4F2AD2DC"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n</w:t>
            </w:r>
          </w:p>
        </w:tc>
        <w:tc>
          <w:tcPr>
            <w:tcW w:w="2324" w:type="dxa"/>
          </w:tcPr>
          <w:p w14:paraId="38E816BE"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Calibration Slope (95% CI)</w:t>
            </w:r>
          </w:p>
        </w:tc>
        <w:tc>
          <w:tcPr>
            <w:tcW w:w="2277" w:type="dxa"/>
          </w:tcPr>
          <w:p w14:paraId="3ABD592E"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Intercept (95% CI)</w:t>
            </w:r>
          </w:p>
        </w:tc>
      </w:tr>
      <w:tr w:rsidR="002779F0" w14:paraId="76B7FCFF"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val="restart"/>
          </w:tcPr>
          <w:p w14:paraId="2F971D42" w14:textId="77777777" w:rsidR="002779F0" w:rsidRDefault="002779F0" w:rsidP="003C34D1">
            <w:pPr>
              <w:pStyle w:val="Tablebody"/>
            </w:pPr>
            <w:r>
              <w:t>Base</w:t>
            </w:r>
          </w:p>
        </w:tc>
        <w:tc>
          <w:tcPr>
            <w:tcW w:w="1116" w:type="dxa"/>
          </w:tcPr>
          <w:p w14:paraId="534A3E6C"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485" w:type="dxa"/>
          </w:tcPr>
          <w:p w14:paraId="6249A01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4014</w:t>
            </w:r>
          </w:p>
        </w:tc>
        <w:tc>
          <w:tcPr>
            <w:tcW w:w="2324" w:type="dxa"/>
          </w:tcPr>
          <w:p w14:paraId="3D8F2038"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0.83 (0.63–1.02)</w:t>
            </w:r>
          </w:p>
        </w:tc>
        <w:tc>
          <w:tcPr>
            <w:tcW w:w="2277" w:type="dxa"/>
          </w:tcPr>
          <w:p w14:paraId="36D3CEF9"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0.05 (−0.09–0.19)</w:t>
            </w:r>
          </w:p>
        </w:tc>
      </w:tr>
      <w:tr w:rsidR="002779F0" w14:paraId="6135779C"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0B71BAFA" w14:textId="77777777" w:rsidR="002779F0" w:rsidRDefault="002779F0" w:rsidP="003C34D1"/>
        </w:tc>
        <w:tc>
          <w:tcPr>
            <w:tcW w:w="1116" w:type="dxa"/>
          </w:tcPr>
          <w:p w14:paraId="251EB18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485" w:type="dxa"/>
          </w:tcPr>
          <w:p w14:paraId="258C93E8"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4063</w:t>
            </w:r>
          </w:p>
        </w:tc>
        <w:tc>
          <w:tcPr>
            <w:tcW w:w="2324" w:type="dxa"/>
          </w:tcPr>
          <w:p w14:paraId="1D12F04B"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0.84 (0.62–1.06)</w:t>
            </w:r>
          </w:p>
        </w:tc>
        <w:tc>
          <w:tcPr>
            <w:tcW w:w="2277" w:type="dxa"/>
          </w:tcPr>
          <w:p w14:paraId="7A992BE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−0.11 (−0.25–0.04)</w:t>
            </w:r>
          </w:p>
        </w:tc>
      </w:tr>
      <w:tr w:rsidR="002779F0" w14:paraId="0DE545ED"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5B3A74E9" w14:textId="77777777" w:rsidR="002779F0" w:rsidRDefault="002779F0" w:rsidP="003C34D1"/>
        </w:tc>
        <w:tc>
          <w:tcPr>
            <w:tcW w:w="1116" w:type="dxa"/>
          </w:tcPr>
          <w:p w14:paraId="6CA3F54B"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485" w:type="dxa"/>
          </w:tcPr>
          <w:p w14:paraId="6906389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2705</w:t>
            </w:r>
          </w:p>
        </w:tc>
        <w:tc>
          <w:tcPr>
            <w:tcW w:w="2324" w:type="dxa"/>
          </w:tcPr>
          <w:p w14:paraId="2EB65D9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0.90 (0.63–1.16)</w:t>
            </w:r>
          </w:p>
        </w:tc>
        <w:tc>
          <w:tcPr>
            <w:tcW w:w="2277" w:type="dxa"/>
          </w:tcPr>
          <w:p w14:paraId="25321891"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−0.07 (−0.25–0.10)</w:t>
            </w:r>
          </w:p>
        </w:tc>
      </w:tr>
      <w:tr w:rsidR="002779F0" w14:paraId="76D4B38A"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2FB84102" w14:textId="77777777" w:rsidR="002779F0" w:rsidRDefault="002779F0" w:rsidP="003C34D1"/>
        </w:tc>
        <w:tc>
          <w:tcPr>
            <w:tcW w:w="1116" w:type="dxa"/>
          </w:tcPr>
          <w:p w14:paraId="4AA2AE2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485" w:type="dxa"/>
          </w:tcPr>
          <w:p w14:paraId="5DFF485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10782</w:t>
            </w:r>
          </w:p>
        </w:tc>
        <w:tc>
          <w:tcPr>
            <w:tcW w:w="2324" w:type="dxa"/>
          </w:tcPr>
          <w:p w14:paraId="2586D9FE"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0.85 (0.72–0.98)</w:t>
            </w:r>
          </w:p>
        </w:tc>
        <w:tc>
          <w:tcPr>
            <w:tcW w:w="2277" w:type="dxa"/>
          </w:tcPr>
          <w:p w14:paraId="4165BB71"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−0.04 (−0.14–0.06)</w:t>
            </w:r>
          </w:p>
        </w:tc>
      </w:tr>
      <w:tr w:rsidR="002779F0" w14:paraId="72C2B48D"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val="restart"/>
          </w:tcPr>
          <w:p w14:paraId="58F8BF00" w14:textId="77777777" w:rsidR="002779F0" w:rsidRDefault="002779F0" w:rsidP="003C34D1">
            <w:pPr>
              <w:pStyle w:val="Tablebody"/>
            </w:pPr>
            <w:r>
              <w:t xml:space="preserve">Base + Age gap </w:t>
            </w:r>
          </w:p>
        </w:tc>
        <w:tc>
          <w:tcPr>
            <w:tcW w:w="1116" w:type="dxa"/>
          </w:tcPr>
          <w:p w14:paraId="59C4453B"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485" w:type="dxa"/>
          </w:tcPr>
          <w:p w14:paraId="59A0C74B"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4014</w:t>
            </w:r>
          </w:p>
        </w:tc>
        <w:tc>
          <w:tcPr>
            <w:tcW w:w="2324" w:type="dxa"/>
          </w:tcPr>
          <w:p w14:paraId="080A6071"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0.80 (0.63–0.98)</w:t>
            </w:r>
          </w:p>
        </w:tc>
        <w:tc>
          <w:tcPr>
            <w:tcW w:w="2277" w:type="dxa"/>
          </w:tcPr>
          <w:p w14:paraId="11227A8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0.03 (−0.12–0.17)</w:t>
            </w:r>
          </w:p>
        </w:tc>
      </w:tr>
      <w:tr w:rsidR="002779F0" w14:paraId="7843D350"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32957192" w14:textId="77777777" w:rsidR="002779F0" w:rsidRDefault="002779F0" w:rsidP="003C34D1"/>
        </w:tc>
        <w:tc>
          <w:tcPr>
            <w:tcW w:w="1116" w:type="dxa"/>
          </w:tcPr>
          <w:p w14:paraId="2A32BAB1"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485" w:type="dxa"/>
          </w:tcPr>
          <w:p w14:paraId="7730EB2B"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4063</w:t>
            </w:r>
          </w:p>
        </w:tc>
        <w:tc>
          <w:tcPr>
            <w:tcW w:w="2324" w:type="dxa"/>
          </w:tcPr>
          <w:p w14:paraId="2ABACCC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0.84 (0.66–1.02)</w:t>
            </w:r>
          </w:p>
        </w:tc>
        <w:tc>
          <w:tcPr>
            <w:tcW w:w="2277" w:type="dxa"/>
          </w:tcPr>
          <w:p w14:paraId="5B4EC76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−0.09 (−0.23–0.06)</w:t>
            </w:r>
          </w:p>
        </w:tc>
      </w:tr>
      <w:tr w:rsidR="002779F0" w14:paraId="422D2C55"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5D0EA6A9" w14:textId="77777777" w:rsidR="002779F0" w:rsidRDefault="002779F0" w:rsidP="003C34D1"/>
        </w:tc>
        <w:tc>
          <w:tcPr>
            <w:tcW w:w="1116" w:type="dxa"/>
          </w:tcPr>
          <w:p w14:paraId="161C925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485" w:type="dxa"/>
          </w:tcPr>
          <w:p w14:paraId="6125D6A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2705</w:t>
            </w:r>
          </w:p>
        </w:tc>
        <w:tc>
          <w:tcPr>
            <w:tcW w:w="2324" w:type="dxa"/>
          </w:tcPr>
          <w:p w14:paraId="03A8015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0.98 (0.73–1.23)</w:t>
            </w:r>
          </w:p>
        </w:tc>
        <w:tc>
          <w:tcPr>
            <w:tcW w:w="2277" w:type="dxa"/>
          </w:tcPr>
          <w:p w14:paraId="5F470239"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−0.06 (−0.24–0.11)</w:t>
            </w:r>
          </w:p>
        </w:tc>
      </w:tr>
      <w:tr w:rsidR="002779F0" w14:paraId="30B5C036"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5A0A9ABC" w14:textId="77777777" w:rsidR="002779F0" w:rsidRDefault="002779F0" w:rsidP="003C34D1"/>
        </w:tc>
        <w:tc>
          <w:tcPr>
            <w:tcW w:w="1116" w:type="dxa"/>
          </w:tcPr>
          <w:p w14:paraId="63DF00A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485" w:type="dxa"/>
          </w:tcPr>
          <w:p w14:paraId="7D29D9A4"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10782</w:t>
            </w:r>
          </w:p>
        </w:tc>
        <w:tc>
          <w:tcPr>
            <w:tcW w:w="2324" w:type="dxa"/>
          </w:tcPr>
          <w:p w14:paraId="498F5EE4"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0.85 (0.74–0.97)</w:t>
            </w:r>
          </w:p>
        </w:tc>
        <w:tc>
          <w:tcPr>
            <w:tcW w:w="2277" w:type="dxa"/>
          </w:tcPr>
          <w:p w14:paraId="1C38237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−0.04 (−0.13–0.05)</w:t>
            </w:r>
          </w:p>
        </w:tc>
      </w:tr>
      <w:tr w:rsidR="002779F0" w14:paraId="125B5990"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val="restart"/>
          </w:tcPr>
          <w:p w14:paraId="479B96A2" w14:textId="77777777" w:rsidR="002779F0" w:rsidRDefault="002779F0" w:rsidP="003C34D1">
            <w:pPr>
              <w:pStyle w:val="Tablebody"/>
            </w:pPr>
            <w:r>
              <w:t>Base + Raw Biomarkers</w:t>
            </w:r>
          </w:p>
        </w:tc>
        <w:tc>
          <w:tcPr>
            <w:tcW w:w="1116" w:type="dxa"/>
          </w:tcPr>
          <w:p w14:paraId="36EE957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485" w:type="dxa"/>
          </w:tcPr>
          <w:p w14:paraId="79E92DE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4014</w:t>
            </w:r>
          </w:p>
        </w:tc>
        <w:tc>
          <w:tcPr>
            <w:tcW w:w="2324" w:type="dxa"/>
          </w:tcPr>
          <w:p w14:paraId="0191F24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0.80 (0.63–0.97)</w:t>
            </w:r>
          </w:p>
        </w:tc>
        <w:tc>
          <w:tcPr>
            <w:tcW w:w="2277" w:type="dxa"/>
          </w:tcPr>
          <w:p w14:paraId="57091444"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0.00 (−0.15–0.15)</w:t>
            </w:r>
          </w:p>
        </w:tc>
      </w:tr>
      <w:tr w:rsidR="002779F0" w14:paraId="2ACDF736"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5587949F" w14:textId="77777777" w:rsidR="002779F0" w:rsidRDefault="002779F0" w:rsidP="003C34D1"/>
        </w:tc>
        <w:tc>
          <w:tcPr>
            <w:tcW w:w="1116" w:type="dxa"/>
          </w:tcPr>
          <w:p w14:paraId="4D5D712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485" w:type="dxa"/>
          </w:tcPr>
          <w:p w14:paraId="14CAB36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4063</w:t>
            </w:r>
          </w:p>
        </w:tc>
        <w:tc>
          <w:tcPr>
            <w:tcW w:w="2324" w:type="dxa"/>
          </w:tcPr>
          <w:p w14:paraId="3F50F57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0.83 (0.64–1.01)</w:t>
            </w:r>
          </w:p>
        </w:tc>
        <w:tc>
          <w:tcPr>
            <w:tcW w:w="2277" w:type="dxa"/>
          </w:tcPr>
          <w:p w14:paraId="1FE4E26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−0.06 (−0.22–0.09)</w:t>
            </w:r>
          </w:p>
        </w:tc>
      </w:tr>
      <w:tr w:rsidR="002779F0" w14:paraId="6ABFC72D"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3A91A723" w14:textId="77777777" w:rsidR="002779F0" w:rsidRDefault="002779F0" w:rsidP="003C34D1"/>
        </w:tc>
        <w:tc>
          <w:tcPr>
            <w:tcW w:w="1116" w:type="dxa"/>
          </w:tcPr>
          <w:p w14:paraId="00C5BF5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485" w:type="dxa"/>
          </w:tcPr>
          <w:p w14:paraId="3D4AF78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2705</w:t>
            </w:r>
          </w:p>
        </w:tc>
        <w:tc>
          <w:tcPr>
            <w:tcW w:w="2324" w:type="dxa"/>
          </w:tcPr>
          <w:p w14:paraId="0005C37F"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0.91 (0.67–1.14)</w:t>
            </w:r>
          </w:p>
        </w:tc>
        <w:tc>
          <w:tcPr>
            <w:tcW w:w="2277" w:type="dxa"/>
          </w:tcPr>
          <w:p w14:paraId="78297D7B"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−0.06 (−0.25–0.13)</w:t>
            </w:r>
          </w:p>
        </w:tc>
      </w:tr>
      <w:tr w:rsidR="002779F0" w14:paraId="681FC791"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5A48FBE9" w14:textId="77777777" w:rsidR="002779F0" w:rsidRDefault="002779F0" w:rsidP="003C34D1"/>
        </w:tc>
        <w:tc>
          <w:tcPr>
            <w:tcW w:w="1116" w:type="dxa"/>
          </w:tcPr>
          <w:p w14:paraId="3CF50F6F"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485" w:type="dxa"/>
          </w:tcPr>
          <w:p w14:paraId="205DDD7C"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10782</w:t>
            </w:r>
          </w:p>
        </w:tc>
        <w:tc>
          <w:tcPr>
            <w:tcW w:w="2324" w:type="dxa"/>
          </w:tcPr>
          <w:p w14:paraId="4C068E7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0.83 (0.72–0.95)</w:t>
            </w:r>
          </w:p>
        </w:tc>
        <w:tc>
          <w:tcPr>
            <w:tcW w:w="2277" w:type="dxa"/>
          </w:tcPr>
          <w:p w14:paraId="3293B8A8"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−0.04 (−0.13–0.05)</w:t>
            </w:r>
          </w:p>
        </w:tc>
      </w:tr>
    </w:tbl>
    <w:p w14:paraId="2637EAE8" w14:textId="77777777" w:rsidR="002779F0" w:rsidRDefault="002779F0" w:rsidP="002779F0">
      <w:pPr>
        <w:spacing w:after="160" w:line="279" w:lineRule="auto"/>
        <w:rPr>
          <w:b/>
          <w:bCs/>
        </w:rPr>
      </w:pPr>
    </w:p>
    <w:p w14:paraId="4A3B88F8" w14:textId="6B1F125B" w:rsidR="003B4C19" w:rsidRPr="003B4C19" w:rsidRDefault="003B4C19" w:rsidP="003B4C19">
      <w:pPr>
        <w:pStyle w:val="Caption"/>
      </w:pPr>
      <w:bookmarkStart w:id="32" w:name="_Ref237006819"/>
      <w:bookmarkStart w:id="33" w:name="_Toc237015194"/>
      <w:r>
        <w:t xml:space="preserve">Supplementary Table </w:t>
      </w:r>
      <w:fldSimple w:instr=" SEQ Supplementary_Table \* ARABIC ">
        <w:r w:rsidR="00AC2EF6">
          <w:rPr>
            <w:noProof/>
          </w:rPr>
          <w:t>12</w:t>
        </w:r>
      </w:fldSimple>
      <w:bookmarkEnd w:id="32"/>
      <w:r w:rsidR="002779F0" w:rsidRPr="003B4C19">
        <w:t>. Complete case sensitivity analysis, calibration slope and intercept for non-LC-related death in IECV clusters and pooled estimate in random effects meta-analysis, 5-year time horizon.</w:t>
      </w:r>
      <w:bookmarkEnd w:id="33"/>
      <w:r w:rsidR="002779F0" w:rsidRPr="003B4C19">
        <w:t xml:space="preserve"> </w:t>
      </w:r>
    </w:p>
    <w:p w14:paraId="69025EE5" w14:textId="77777777" w:rsidR="002779F0" w:rsidRDefault="002779F0" w:rsidP="002779F0">
      <w:pPr>
        <w:spacing w:after="160" w:line="279" w:lineRule="auto"/>
      </w:pPr>
      <w:r>
        <w:t>CI: Confidence Interval; LC: Lung cancer; IECV: Internal-external cross validation.</w:t>
      </w:r>
    </w:p>
    <w:p w14:paraId="1AFF5800" w14:textId="77777777" w:rsidR="0002717A" w:rsidRDefault="0002717A">
      <w:pPr>
        <w:spacing w:after="160" w:line="279" w:lineRule="auto"/>
      </w:pPr>
      <w:r>
        <w:br w:type="page"/>
      </w:r>
    </w:p>
    <w:p w14:paraId="50DFC58D" w14:textId="77777777" w:rsidR="00A40DBE" w:rsidRDefault="00A40DBE" w:rsidP="002779F0">
      <w:pPr>
        <w:spacing w:after="160" w:line="279" w:lineRule="auto"/>
      </w:pPr>
    </w:p>
    <w:p w14:paraId="33AA8BFD" w14:textId="77777777" w:rsidR="00A40DBE" w:rsidRDefault="00A40DBE" w:rsidP="00A40DBE">
      <w:pPr>
        <w:jc w:val="center"/>
      </w:pPr>
      <w:r>
        <w:rPr>
          <w:noProof/>
        </w:rPr>
        <w:drawing>
          <wp:inline distT="0" distB="0" distL="0" distR="0" wp14:anchorId="1ED5F3DA" wp14:editId="10F8C0F0">
            <wp:extent cx="5486411" cy="3657607"/>
            <wp:effectExtent l="0" t="0" r="0" b="0"/>
            <wp:docPr id="10854664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466415" name="Picture 1085466415"/>
                    <pic:cNvPicPr/>
                  </pic:nvPicPr>
                  <pic:blipFill>
                    <a:blip r:embed="rId10">
                      <a:extLst>
                        <a:ext uri="{28A0092B-C50C-407E-A947-70E740481C1C}">
                          <a14:useLocalDpi xmlns:a14="http://schemas.microsoft.com/office/drawing/2010/main"/>
                        </a:ext>
                      </a:extLst>
                    </a:blip>
                    <a:stretch>
                      <a:fillRect/>
                    </a:stretch>
                  </pic:blipFill>
                  <pic:spPr>
                    <a:xfrm>
                      <a:off x="0" y="0"/>
                      <a:ext cx="5486411" cy="3657607"/>
                    </a:xfrm>
                    <a:prstGeom prst="rect">
                      <a:avLst/>
                    </a:prstGeom>
                  </pic:spPr>
                </pic:pic>
              </a:graphicData>
            </a:graphic>
          </wp:inline>
        </w:drawing>
      </w:r>
    </w:p>
    <w:p w14:paraId="30C9339D" w14:textId="6DDF7B91" w:rsidR="003B4C19" w:rsidRPr="003B4C19" w:rsidRDefault="003B4C19" w:rsidP="003B4C19">
      <w:pPr>
        <w:pStyle w:val="Caption"/>
      </w:pPr>
      <w:bookmarkStart w:id="34" w:name="_Ref237002907"/>
      <w:bookmarkStart w:id="35" w:name="_Toc237015201"/>
      <w:r>
        <w:t xml:space="preserve">Supplementary Figure </w:t>
      </w:r>
      <w:fldSimple w:instr=" SEQ Supplementary_Figure \* ARABIC ">
        <w:r w:rsidR="00AC2EF6">
          <w:rPr>
            <w:noProof/>
          </w:rPr>
          <w:t>2</w:t>
        </w:r>
      </w:fldSimple>
      <w:bookmarkEnd w:id="34"/>
      <w:r w:rsidR="00A40DBE" w:rsidRPr="003B4C19">
        <w:t>. Forest plot of competing risks model concordance at 5 years by IECV clusters and random effects meta-analyzed estimates.</w:t>
      </w:r>
      <w:bookmarkEnd w:id="35"/>
    </w:p>
    <w:p w14:paraId="31CDEB8C" w14:textId="77777777" w:rsidR="00A40DBE" w:rsidRDefault="00A40DBE" w:rsidP="00A40DBE">
      <w:r>
        <w:t>Outcome is lung cancer diagnosis. C-index: Concordance index; CI: confidence interval.</w:t>
      </w:r>
    </w:p>
    <w:p w14:paraId="43D227B6" w14:textId="77777777" w:rsidR="00A40DBE" w:rsidRDefault="00A40DBE" w:rsidP="00A40DBE">
      <w:pPr>
        <w:spacing w:after="160" w:line="279" w:lineRule="auto"/>
      </w:pPr>
      <w:r>
        <w:br w:type="page"/>
      </w:r>
    </w:p>
    <w:p w14:paraId="704A4064" w14:textId="77777777" w:rsidR="00A40DBE" w:rsidRDefault="00A40DBE" w:rsidP="00A40DBE">
      <w:r>
        <w:rPr>
          <w:noProof/>
        </w:rPr>
        <w:lastRenderedPageBreak/>
        <w:drawing>
          <wp:inline distT="0" distB="0" distL="0" distR="0" wp14:anchorId="320E7E1C" wp14:editId="7108BBDE">
            <wp:extent cx="5486411" cy="3657607"/>
            <wp:effectExtent l="0" t="0" r="0" b="0"/>
            <wp:docPr id="9892909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290906" name="Picture 989290906"/>
                    <pic:cNvPicPr/>
                  </pic:nvPicPr>
                  <pic:blipFill>
                    <a:blip r:embed="rId11">
                      <a:extLst>
                        <a:ext uri="{28A0092B-C50C-407E-A947-70E740481C1C}">
                          <a14:useLocalDpi xmlns:a14="http://schemas.microsoft.com/office/drawing/2010/main"/>
                        </a:ext>
                      </a:extLst>
                    </a:blip>
                    <a:stretch>
                      <a:fillRect/>
                    </a:stretch>
                  </pic:blipFill>
                  <pic:spPr>
                    <a:xfrm>
                      <a:off x="0" y="0"/>
                      <a:ext cx="5486411" cy="3657607"/>
                    </a:xfrm>
                    <a:prstGeom prst="rect">
                      <a:avLst/>
                    </a:prstGeom>
                  </pic:spPr>
                </pic:pic>
              </a:graphicData>
            </a:graphic>
          </wp:inline>
        </w:drawing>
      </w:r>
    </w:p>
    <w:p w14:paraId="6B951CE9" w14:textId="0B9C1DD4" w:rsidR="003B4C19" w:rsidRPr="003B4C19" w:rsidRDefault="003B4C19" w:rsidP="003B4C19">
      <w:pPr>
        <w:pStyle w:val="Caption"/>
      </w:pPr>
      <w:bookmarkStart w:id="36" w:name="_Toc237015202"/>
      <w:r>
        <w:t xml:space="preserve">Supplementary Figure </w:t>
      </w:r>
      <w:fldSimple w:instr=" SEQ Supplementary_Figure \* ARABIC ">
        <w:r w:rsidR="00AC2EF6">
          <w:rPr>
            <w:noProof/>
          </w:rPr>
          <w:t>3</w:t>
        </w:r>
      </w:fldSimple>
      <w:r w:rsidR="00A40DBE" w:rsidRPr="003B4C19">
        <w:t>. Forest plot of competing risks model concordance at 2 years by IECV clusters and random effects meta-analyzed estimates.</w:t>
      </w:r>
      <w:bookmarkEnd w:id="36"/>
    </w:p>
    <w:p w14:paraId="5282F5BA" w14:textId="77777777" w:rsidR="00A40DBE" w:rsidRDefault="00A40DBE" w:rsidP="00A40DBE">
      <w:r>
        <w:t xml:space="preserve"> Outcome is non-lung cancer related death. C-index: Concordance index; CI: confidence interval.</w:t>
      </w:r>
    </w:p>
    <w:p w14:paraId="0519CDBF" w14:textId="77777777" w:rsidR="00A40DBE" w:rsidRDefault="00A40DBE" w:rsidP="00A40DBE">
      <w:pPr>
        <w:spacing w:after="160" w:line="279" w:lineRule="auto"/>
      </w:pPr>
      <w:r>
        <w:br w:type="page"/>
      </w:r>
    </w:p>
    <w:p w14:paraId="49F6BE73" w14:textId="77777777" w:rsidR="00A40DBE" w:rsidRDefault="00A40DBE" w:rsidP="00A40DBE">
      <w:r>
        <w:rPr>
          <w:noProof/>
        </w:rPr>
        <w:lastRenderedPageBreak/>
        <w:drawing>
          <wp:inline distT="0" distB="0" distL="0" distR="0" wp14:anchorId="771C24F9" wp14:editId="0DC36DA7">
            <wp:extent cx="5486411" cy="3657607"/>
            <wp:effectExtent l="0" t="0" r="0" b="0"/>
            <wp:docPr id="1629933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93311" name="Picture 162993311"/>
                    <pic:cNvPicPr/>
                  </pic:nvPicPr>
                  <pic:blipFill>
                    <a:blip r:embed="rId12">
                      <a:extLst>
                        <a:ext uri="{28A0092B-C50C-407E-A947-70E740481C1C}">
                          <a14:useLocalDpi xmlns:a14="http://schemas.microsoft.com/office/drawing/2010/main"/>
                        </a:ext>
                      </a:extLst>
                    </a:blip>
                    <a:stretch>
                      <a:fillRect/>
                    </a:stretch>
                  </pic:blipFill>
                  <pic:spPr>
                    <a:xfrm>
                      <a:off x="0" y="0"/>
                      <a:ext cx="5486411" cy="3657607"/>
                    </a:xfrm>
                    <a:prstGeom prst="rect">
                      <a:avLst/>
                    </a:prstGeom>
                  </pic:spPr>
                </pic:pic>
              </a:graphicData>
            </a:graphic>
          </wp:inline>
        </w:drawing>
      </w:r>
    </w:p>
    <w:p w14:paraId="19F5261C" w14:textId="46CE13B9" w:rsidR="003B4C19" w:rsidRPr="003B4C19" w:rsidRDefault="003B4C19" w:rsidP="003B4C19">
      <w:pPr>
        <w:pStyle w:val="Caption"/>
      </w:pPr>
      <w:bookmarkStart w:id="37" w:name="_Toc237015203"/>
      <w:r>
        <w:t xml:space="preserve">Supplementary Figure </w:t>
      </w:r>
      <w:fldSimple w:instr=" SEQ Supplementary_Figure \* ARABIC ">
        <w:r w:rsidR="00AC2EF6">
          <w:rPr>
            <w:noProof/>
          </w:rPr>
          <w:t>4</w:t>
        </w:r>
      </w:fldSimple>
      <w:r w:rsidR="00A40DBE" w:rsidRPr="003B4C19">
        <w:t>. Forest plot of competing risks model concordance at 2 years by IECV clusters and random effects meta-analyzed estimates.</w:t>
      </w:r>
      <w:bookmarkEnd w:id="37"/>
    </w:p>
    <w:p w14:paraId="6CC3BBF6" w14:textId="77777777" w:rsidR="00A40DBE" w:rsidRDefault="00A40DBE" w:rsidP="00A40DBE">
      <w:r>
        <w:t>Outcome is lung cancer diagnosis. C-index: Concordance index; CI: confidence interval.</w:t>
      </w:r>
    </w:p>
    <w:p w14:paraId="2C0ECA9F" w14:textId="77777777" w:rsidR="00A40DBE" w:rsidRDefault="00A40DBE" w:rsidP="00A40DBE"/>
    <w:p w14:paraId="4E801226" w14:textId="77777777" w:rsidR="00A40DBE" w:rsidRDefault="00A40DBE" w:rsidP="00A40DBE"/>
    <w:p w14:paraId="22451439" w14:textId="77777777" w:rsidR="00A40DBE" w:rsidRDefault="00A40DBE" w:rsidP="00A40DBE"/>
    <w:p w14:paraId="4F258F12" w14:textId="77777777" w:rsidR="00A40DBE" w:rsidRDefault="00A40DBE" w:rsidP="00A40DBE"/>
    <w:p w14:paraId="6EEE8080" w14:textId="77777777" w:rsidR="00A40DBE" w:rsidRDefault="00A40DBE" w:rsidP="00A40DBE">
      <w:r>
        <w:br w:type="page"/>
      </w:r>
    </w:p>
    <w:p w14:paraId="4EC49BF8" w14:textId="77777777" w:rsidR="00A40DBE" w:rsidRDefault="00A40DBE" w:rsidP="00A40DBE">
      <w:r>
        <w:rPr>
          <w:noProof/>
        </w:rPr>
        <w:lastRenderedPageBreak/>
        <w:drawing>
          <wp:inline distT="0" distB="0" distL="0" distR="0" wp14:anchorId="1D5269A0" wp14:editId="7DAADD50">
            <wp:extent cx="5486411" cy="5486411"/>
            <wp:effectExtent l="0" t="0" r="0" b="0"/>
            <wp:docPr id="2714260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26079" name="Picture 271426079"/>
                    <pic:cNvPicPr/>
                  </pic:nvPicPr>
                  <pic:blipFill>
                    <a:blip r:embed="rId13">
                      <a:extLst>
                        <a:ext uri="{28A0092B-C50C-407E-A947-70E740481C1C}">
                          <a14:useLocalDpi xmlns:a14="http://schemas.microsoft.com/office/drawing/2010/main"/>
                        </a:ext>
                      </a:extLst>
                    </a:blip>
                    <a:stretch>
                      <a:fillRect/>
                    </a:stretch>
                  </pic:blipFill>
                  <pic:spPr>
                    <a:xfrm>
                      <a:off x="0" y="0"/>
                      <a:ext cx="5486411" cy="5486411"/>
                    </a:xfrm>
                    <a:prstGeom prst="rect">
                      <a:avLst/>
                    </a:prstGeom>
                  </pic:spPr>
                </pic:pic>
              </a:graphicData>
            </a:graphic>
          </wp:inline>
        </w:drawing>
      </w:r>
    </w:p>
    <w:p w14:paraId="67A06177" w14:textId="77777777" w:rsidR="0090078E" w:rsidRDefault="0090078E" w:rsidP="003B4C19">
      <w:pPr>
        <w:pStyle w:val="Caption"/>
      </w:pPr>
    </w:p>
    <w:p w14:paraId="0EC81369" w14:textId="2039C86B" w:rsidR="003B4C19" w:rsidRPr="003B4C19" w:rsidRDefault="003B4C19" w:rsidP="003B4C19">
      <w:pPr>
        <w:pStyle w:val="Caption"/>
      </w:pPr>
      <w:bookmarkStart w:id="38" w:name="_Toc237015204"/>
      <w:r>
        <w:t xml:space="preserve">Supplementary Figure </w:t>
      </w:r>
      <w:fldSimple w:instr=" SEQ Supplementary_Figure \* ARABIC ">
        <w:r w:rsidR="00AC2EF6">
          <w:rPr>
            <w:noProof/>
          </w:rPr>
          <w:t>5</w:t>
        </w:r>
      </w:fldSimple>
      <w:r w:rsidR="00A40DBE" w:rsidRPr="003B4C19">
        <w:t>. Forest plot of competing risks model concordance by IECV clusters and random effects meta-analyzed estimates, complete case sensitivity analysis.</w:t>
      </w:r>
      <w:bookmarkEnd w:id="38"/>
      <w:r w:rsidR="00A40DBE" w:rsidRPr="003B4C19">
        <w:t xml:space="preserve"> </w:t>
      </w:r>
    </w:p>
    <w:p w14:paraId="2C9D5C51" w14:textId="77777777" w:rsidR="00A40DBE" w:rsidRDefault="00A40DBE" w:rsidP="00A40DBE">
      <w:r>
        <w:t>Outcome of non-lung cancer death. IECV: internal-external cross validation; LC: lung cancer; C-index: Concordance index; CI: confidence interval.</w:t>
      </w:r>
    </w:p>
    <w:p w14:paraId="2BEB599B" w14:textId="77777777" w:rsidR="00A40DBE" w:rsidRDefault="00A40DBE" w:rsidP="00A40DBE">
      <w:r>
        <w:br w:type="page"/>
      </w:r>
    </w:p>
    <w:p w14:paraId="7ED96267" w14:textId="77777777" w:rsidR="0090078E" w:rsidRDefault="00A40DBE" w:rsidP="000A47F8">
      <w:pPr>
        <w:pStyle w:val="Caption"/>
      </w:pPr>
      <w:r>
        <w:rPr>
          <w:noProof/>
        </w:rPr>
        <w:lastRenderedPageBreak/>
        <w:drawing>
          <wp:inline distT="0" distB="0" distL="0" distR="0" wp14:anchorId="1EF93D20" wp14:editId="5AAAC03A">
            <wp:extent cx="5486411" cy="5486411"/>
            <wp:effectExtent l="0" t="0" r="0" b="0"/>
            <wp:docPr id="3969464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46414" name="Picture 396946414"/>
                    <pic:cNvPicPr/>
                  </pic:nvPicPr>
                  <pic:blipFill>
                    <a:blip r:embed="rId14">
                      <a:extLst>
                        <a:ext uri="{28A0092B-C50C-407E-A947-70E740481C1C}">
                          <a14:useLocalDpi xmlns:a14="http://schemas.microsoft.com/office/drawing/2010/main"/>
                        </a:ext>
                      </a:extLst>
                    </a:blip>
                    <a:stretch>
                      <a:fillRect/>
                    </a:stretch>
                  </pic:blipFill>
                  <pic:spPr>
                    <a:xfrm>
                      <a:off x="0" y="0"/>
                      <a:ext cx="5486411" cy="5486411"/>
                    </a:xfrm>
                    <a:prstGeom prst="rect">
                      <a:avLst/>
                    </a:prstGeom>
                  </pic:spPr>
                </pic:pic>
              </a:graphicData>
            </a:graphic>
          </wp:inline>
        </w:drawing>
      </w:r>
    </w:p>
    <w:p w14:paraId="74A0F41D" w14:textId="2122BE3E" w:rsidR="000A47F8" w:rsidRDefault="000A47F8" w:rsidP="000A47F8">
      <w:pPr>
        <w:pStyle w:val="Caption"/>
      </w:pPr>
      <w:bookmarkStart w:id="39" w:name="_Toc237015205"/>
      <w:r>
        <w:t xml:space="preserve">Supplementary Figure </w:t>
      </w:r>
      <w:fldSimple w:instr=" SEQ Supplementary_Figure \* ARABIC ">
        <w:r w:rsidR="00AC2EF6">
          <w:rPr>
            <w:noProof/>
          </w:rPr>
          <w:t>6</w:t>
        </w:r>
      </w:fldSimple>
      <w:r w:rsidR="00A40DBE" w:rsidRPr="000A47F8">
        <w:t>. Forest plot of competing risks model concordance by IECV clusters and random effects meta-analyzed estimates, complete case sensitivity analysis.</w:t>
      </w:r>
      <w:bookmarkEnd w:id="39"/>
      <w:r w:rsidR="00A40DBE">
        <w:t xml:space="preserve"> </w:t>
      </w:r>
    </w:p>
    <w:p w14:paraId="5DC1EF8C" w14:textId="77777777" w:rsidR="00A40DBE" w:rsidRDefault="00A40DBE" w:rsidP="00A40DBE">
      <w:r>
        <w:t>Outcome of lung cancer diagnosis. IECV: internal-external cross validation; LC: lung cancer; C-index: Concordance index; CI: confidence interval.</w:t>
      </w:r>
    </w:p>
    <w:p w14:paraId="740FC72A" w14:textId="77777777" w:rsidR="00A40DBE" w:rsidRDefault="00A40DBE" w:rsidP="00A40DBE">
      <w:pPr>
        <w:jc w:val="center"/>
      </w:pPr>
      <w:r>
        <w:rPr>
          <w:noProof/>
        </w:rPr>
        <w:lastRenderedPageBreak/>
        <w:drawing>
          <wp:inline distT="0" distB="0" distL="0" distR="0" wp14:anchorId="4CEBA035" wp14:editId="066DE5C7">
            <wp:extent cx="5724525" cy="3771900"/>
            <wp:effectExtent l="0" t="0" r="0" b="0"/>
            <wp:docPr id="3478058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05868" name="Picture 347805868"/>
                    <pic:cNvPicPr/>
                  </pic:nvPicPr>
                  <pic:blipFill>
                    <a:blip r:embed="rId15">
                      <a:extLst>
                        <a:ext uri="{28A0092B-C50C-407E-A947-70E740481C1C}">
                          <a14:useLocalDpi xmlns:a14="http://schemas.microsoft.com/office/drawing/2010/main"/>
                        </a:ext>
                      </a:extLst>
                    </a:blip>
                    <a:stretch>
                      <a:fillRect/>
                    </a:stretch>
                  </pic:blipFill>
                  <pic:spPr>
                    <a:xfrm>
                      <a:off x="0" y="0"/>
                      <a:ext cx="5724525" cy="3771900"/>
                    </a:xfrm>
                    <a:prstGeom prst="rect">
                      <a:avLst/>
                    </a:prstGeom>
                  </pic:spPr>
                </pic:pic>
              </a:graphicData>
            </a:graphic>
          </wp:inline>
        </w:drawing>
      </w:r>
    </w:p>
    <w:p w14:paraId="1C589963" w14:textId="4926CFB6" w:rsidR="000A47F8" w:rsidRPr="000A47F8" w:rsidRDefault="000A47F8" w:rsidP="000A47F8">
      <w:pPr>
        <w:pStyle w:val="Caption"/>
      </w:pPr>
      <w:bookmarkStart w:id="40" w:name="_Toc237015206"/>
      <w:r>
        <w:t xml:space="preserve">Supplementary Figure </w:t>
      </w:r>
      <w:fldSimple w:instr=" SEQ Supplementary_Figure \* ARABIC ">
        <w:r w:rsidR="00AC2EF6">
          <w:rPr>
            <w:noProof/>
          </w:rPr>
          <w:t>7</w:t>
        </w:r>
      </w:fldSimple>
      <w:r w:rsidR="00A40DBE" w:rsidRPr="000A47F8">
        <w:t>. Calibration plots for non-lung cancer related death at 5 years across IECV clusters.</w:t>
      </w:r>
      <w:bookmarkEnd w:id="40"/>
      <w:r w:rsidR="00A40DBE" w:rsidRPr="000A47F8">
        <w:t xml:space="preserve"> </w:t>
      </w:r>
    </w:p>
    <w:p w14:paraId="0E0119A6" w14:textId="77777777" w:rsidR="00A40DBE" w:rsidRDefault="00A40DBE" w:rsidP="00A40DBE">
      <w:r>
        <w:t xml:space="preserve">Each column shows a different validation cluster; the top row </w:t>
      </w:r>
      <w:proofErr w:type="gramStart"/>
      <w:r>
        <w:t>are</w:t>
      </w:r>
      <w:proofErr w:type="gramEnd"/>
      <w:r>
        <w:t xml:space="preserve"> models with clinical variables only, and the bottom row </w:t>
      </w:r>
      <w:proofErr w:type="gramStart"/>
      <w:r>
        <w:t>are</w:t>
      </w:r>
      <w:proofErr w:type="gramEnd"/>
      <w:r>
        <w:t xml:space="preserve"> models with the addition of the single age gap metric. Fit lines are LOESS-smoothed calibration curves with 95% confidence bands. The diagonal dashed line represents perfect calibration. Histograms show the distribution of predicted risks.</w:t>
      </w:r>
    </w:p>
    <w:p w14:paraId="5B41AF00" w14:textId="77777777" w:rsidR="00A40DBE" w:rsidRDefault="00A40DBE" w:rsidP="00A40DBE"/>
    <w:p w14:paraId="01E36799" w14:textId="77777777" w:rsidR="00A40DBE" w:rsidRDefault="00A40DBE" w:rsidP="00A40DBE"/>
    <w:p w14:paraId="0C0A0ED5" w14:textId="77777777" w:rsidR="00A40DBE" w:rsidRDefault="00A40DBE" w:rsidP="00A40DBE"/>
    <w:p w14:paraId="78E7C856" w14:textId="77777777" w:rsidR="00A40DBE" w:rsidRDefault="00A40DBE" w:rsidP="00A40DBE">
      <w:r>
        <w:br w:type="page"/>
      </w:r>
    </w:p>
    <w:p w14:paraId="6EFD7C99" w14:textId="77777777" w:rsidR="00A40DBE" w:rsidRDefault="00A40DBE" w:rsidP="00A40DBE">
      <w:r>
        <w:rPr>
          <w:noProof/>
        </w:rPr>
        <w:lastRenderedPageBreak/>
        <w:drawing>
          <wp:inline distT="0" distB="0" distL="0" distR="0" wp14:anchorId="4114B293" wp14:editId="52137C7B">
            <wp:extent cx="5724525" cy="3771900"/>
            <wp:effectExtent l="0" t="0" r="0" b="0"/>
            <wp:docPr id="20741985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198519" name="Picture 2074198519"/>
                    <pic:cNvPicPr/>
                  </pic:nvPicPr>
                  <pic:blipFill>
                    <a:blip r:embed="rId16">
                      <a:extLst>
                        <a:ext uri="{28A0092B-C50C-407E-A947-70E740481C1C}">
                          <a14:useLocalDpi xmlns:a14="http://schemas.microsoft.com/office/drawing/2010/main"/>
                        </a:ext>
                      </a:extLst>
                    </a:blip>
                    <a:stretch>
                      <a:fillRect/>
                    </a:stretch>
                  </pic:blipFill>
                  <pic:spPr>
                    <a:xfrm>
                      <a:off x="0" y="0"/>
                      <a:ext cx="5724525" cy="3771900"/>
                    </a:xfrm>
                    <a:prstGeom prst="rect">
                      <a:avLst/>
                    </a:prstGeom>
                  </pic:spPr>
                </pic:pic>
              </a:graphicData>
            </a:graphic>
          </wp:inline>
        </w:drawing>
      </w:r>
    </w:p>
    <w:p w14:paraId="0DA1E3C2" w14:textId="12EE0F2F" w:rsidR="000A47F8" w:rsidRPr="000A47F8" w:rsidRDefault="000A47F8" w:rsidP="000A47F8">
      <w:pPr>
        <w:pStyle w:val="Caption"/>
      </w:pPr>
      <w:bookmarkStart w:id="41" w:name="_Toc237015207"/>
      <w:r>
        <w:t xml:space="preserve">Supplementary Figure </w:t>
      </w:r>
      <w:fldSimple w:instr=" SEQ Supplementary_Figure \* ARABIC ">
        <w:r w:rsidR="00AC2EF6">
          <w:rPr>
            <w:noProof/>
          </w:rPr>
          <w:t>8</w:t>
        </w:r>
      </w:fldSimple>
      <w:r w:rsidR="00A40DBE" w:rsidRPr="000A47F8">
        <w:t>. Calibration plots for lung cancer diagnosis at 5 years across IECV clusters.</w:t>
      </w:r>
      <w:bookmarkEnd w:id="41"/>
      <w:r w:rsidR="00A40DBE" w:rsidRPr="000A47F8">
        <w:t xml:space="preserve"> </w:t>
      </w:r>
    </w:p>
    <w:p w14:paraId="16AB4BCA" w14:textId="77777777" w:rsidR="00A40DBE" w:rsidRDefault="00A40DBE" w:rsidP="00A40DBE">
      <w:r>
        <w:t xml:space="preserve">Each column shows a different validation cluster; the top row </w:t>
      </w:r>
      <w:proofErr w:type="gramStart"/>
      <w:r>
        <w:t>represent</w:t>
      </w:r>
      <w:proofErr w:type="gramEnd"/>
      <w:r>
        <w:t xml:space="preserve"> models with clinical variables only, and the bottom row </w:t>
      </w:r>
      <w:proofErr w:type="gramStart"/>
      <w:r>
        <w:t>represent</w:t>
      </w:r>
      <w:proofErr w:type="gramEnd"/>
      <w:r>
        <w:t xml:space="preserve"> models with the addition of the single age gap metric. Fit lines are LOESS-smoothed calibration curves with 95% confidence bands. The diagonal dashed line represents perfect calibration. Histograms show the distribution of predicted risks.</w:t>
      </w:r>
    </w:p>
    <w:p w14:paraId="448754B5" w14:textId="77777777" w:rsidR="00A40DBE" w:rsidRDefault="00A40DBE" w:rsidP="00A40DBE"/>
    <w:p w14:paraId="16C972CE" w14:textId="77777777" w:rsidR="00A40DBE" w:rsidRDefault="00A40DBE" w:rsidP="00A40DBE"/>
    <w:p w14:paraId="49461483" w14:textId="77777777" w:rsidR="00A40DBE" w:rsidRDefault="00A40DBE" w:rsidP="00A40DBE"/>
    <w:p w14:paraId="208DD0F7" w14:textId="77777777" w:rsidR="00A40DBE" w:rsidRDefault="00A40DBE" w:rsidP="00A40DBE"/>
    <w:p w14:paraId="7B96525E" w14:textId="77777777" w:rsidR="00A40DBE" w:rsidRDefault="00A40DBE" w:rsidP="00A40DBE">
      <w:r>
        <w:br w:type="page"/>
      </w:r>
    </w:p>
    <w:p w14:paraId="50E2DAA8" w14:textId="77777777" w:rsidR="00A40DBE" w:rsidRDefault="00A40DBE" w:rsidP="00A40DBE">
      <w:pPr>
        <w:jc w:val="center"/>
      </w:pPr>
      <w:r>
        <w:rPr>
          <w:noProof/>
        </w:rPr>
        <w:lastRenderedPageBreak/>
        <w:drawing>
          <wp:inline distT="0" distB="0" distL="0" distR="0" wp14:anchorId="509B54AC" wp14:editId="720C2A17">
            <wp:extent cx="5724525" cy="5724525"/>
            <wp:effectExtent l="0" t="0" r="0" b="0"/>
            <wp:docPr id="9557245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24565" name="Picture 955724565"/>
                    <pic:cNvPicPr/>
                  </pic:nvPicPr>
                  <pic:blipFill>
                    <a:blip r:embed="rId17">
                      <a:extLst>
                        <a:ext uri="{28A0092B-C50C-407E-A947-70E740481C1C}">
                          <a14:useLocalDpi xmlns:a14="http://schemas.microsoft.com/office/drawing/2010/main"/>
                        </a:ext>
                      </a:extLst>
                    </a:blip>
                    <a:stretch>
                      <a:fillRect/>
                    </a:stretch>
                  </pic:blipFill>
                  <pic:spPr>
                    <a:xfrm>
                      <a:off x="0" y="0"/>
                      <a:ext cx="5724525" cy="5724525"/>
                    </a:xfrm>
                    <a:prstGeom prst="rect">
                      <a:avLst/>
                    </a:prstGeom>
                  </pic:spPr>
                </pic:pic>
              </a:graphicData>
            </a:graphic>
          </wp:inline>
        </w:drawing>
      </w:r>
    </w:p>
    <w:p w14:paraId="29EB3846" w14:textId="40002EC4" w:rsidR="000A47F8" w:rsidRPr="000A47F8" w:rsidRDefault="000A47F8" w:rsidP="000A47F8">
      <w:pPr>
        <w:pStyle w:val="Caption"/>
      </w:pPr>
      <w:bookmarkStart w:id="42" w:name="_Toc237015208"/>
      <w:r>
        <w:t xml:space="preserve">Supplementary Figure </w:t>
      </w:r>
      <w:fldSimple w:instr=" SEQ Supplementary_Figure \* ARABIC ">
        <w:r w:rsidR="00AC2EF6">
          <w:rPr>
            <w:noProof/>
          </w:rPr>
          <w:t>9</w:t>
        </w:r>
      </w:fldSimple>
      <w:r w:rsidR="00A40DBE" w:rsidRPr="000A47F8">
        <w:t>. Calibration plots for non-lung cancer death at 5 years across IECV clusters, complete case sensitivity analysis.</w:t>
      </w:r>
      <w:bookmarkEnd w:id="42"/>
      <w:r w:rsidR="00A40DBE" w:rsidRPr="000A47F8">
        <w:t xml:space="preserve"> </w:t>
      </w:r>
    </w:p>
    <w:p w14:paraId="3FDA95B8" w14:textId="77777777" w:rsidR="00A40DBE" w:rsidRDefault="00A40DBE" w:rsidP="00A40DBE">
      <w:r w:rsidRPr="4B29E1AF">
        <w:t xml:space="preserve">Each column shows a different validation cluster; each row shows a different model (base clinical variables, base + age </w:t>
      </w:r>
      <w:r>
        <w:t>gap</w:t>
      </w:r>
      <w:r w:rsidRPr="4B29E1AF">
        <w:t>, base + raw biomarkers). Fit lines are LOESS-smoothed calibration curves with 95% confidence bands. The diagonal dashed line represents perfect calibration. Histograms show the distribution of predicted risks.</w:t>
      </w:r>
    </w:p>
    <w:p w14:paraId="3FAE87D7" w14:textId="77777777" w:rsidR="00A40DBE" w:rsidRDefault="00A40DBE" w:rsidP="00A40DBE"/>
    <w:p w14:paraId="259E0E56" w14:textId="77777777" w:rsidR="00A40DBE" w:rsidRDefault="00A40DBE" w:rsidP="00A40DBE">
      <w:r>
        <w:br w:type="page"/>
      </w:r>
    </w:p>
    <w:p w14:paraId="3B98BACE" w14:textId="77777777" w:rsidR="00A40DBE" w:rsidRDefault="00A40DBE" w:rsidP="00A40DBE">
      <w:r>
        <w:rPr>
          <w:noProof/>
        </w:rPr>
        <w:lastRenderedPageBreak/>
        <w:drawing>
          <wp:inline distT="0" distB="0" distL="0" distR="0" wp14:anchorId="57B7ABDD" wp14:editId="3C4932B3">
            <wp:extent cx="5724525" cy="5724525"/>
            <wp:effectExtent l="0" t="0" r="0" b="0"/>
            <wp:docPr id="10181003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100396" name="Picture 1018100396"/>
                    <pic:cNvPicPr/>
                  </pic:nvPicPr>
                  <pic:blipFill>
                    <a:blip r:embed="rId18">
                      <a:extLst>
                        <a:ext uri="{28A0092B-C50C-407E-A947-70E740481C1C}">
                          <a14:useLocalDpi xmlns:a14="http://schemas.microsoft.com/office/drawing/2010/main"/>
                        </a:ext>
                      </a:extLst>
                    </a:blip>
                    <a:stretch>
                      <a:fillRect/>
                    </a:stretch>
                  </pic:blipFill>
                  <pic:spPr>
                    <a:xfrm>
                      <a:off x="0" y="0"/>
                      <a:ext cx="5724525" cy="5724525"/>
                    </a:xfrm>
                    <a:prstGeom prst="rect">
                      <a:avLst/>
                    </a:prstGeom>
                  </pic:spPr>
                </pic:pic>
              </a:graphicData>
            </a:graphic>
          </wp:inline>
        </w:drawing>
      </w:r>
    </w:p>
    <w:p w14:paraId="6D434833" w14:textId="299982D1" w:rsidR="000A47F8" w:rsidRPr="000A47F8" w:rsidRDefault="000A47F8" w:rsidP="000A47F8">
      <w:pPr>
        <w:pStyle w:val="Caption"/>
      </w:pPr>
      <w:bookmarkStart w:id="43" w:name="_Toc237015209"/>
      <w:r>
        <w:t xml:space="preserve">Supplementary Figure </w:t>
      </w:r>
      <w:fldSimple w:instr=" SEQ Supplementary_Figure \* ARABIC ">
        <w:r w:rsidR="00AC2EF6">
          <w:rPr>
            <w:noProof/>
          </w:rPr>
          <w:t>10</w:t>
        </w:r>
      </w:fldSimple>
      <w:r w:rsidR="00A40DBE" w:rsidRPr="000A47F8">
        <w:t>. Calibration plots for lung cancer diagnosis at 5 years across IECV clusters, complete case sensitivity analysis.</w:t>
      </w:r>
      <w:bookmarkEnd w:id="43"/>
      <w:r w:rsidR="00A40DBE" w:rsidRPr="000A47F8">
        <w:t xml:space="preserve"> </w:t>
      </w:r>
    </w:p>
    <w:p w14:paraId="4935C4C9" w14:textId="77777777" w:rsidR="00A40DBE" w:rsidRDefault="00A40DBE" w:rsidP="00A40DBE">
      <w:r w:rsidRPr="4B29E1AF">
        <w:t xml:space="preserve">Each column shows a different validation cluster; each row shows a different model (base clinical variables, base + age </w:t>
      </w:r>
      <w:r>
        <w:t>gap</w:t>
      </w:r>
      <w:r w:rsidRPr="4B29E1AF">
        <w:t>, base + raw biomarkers). Fit lines are LOESS-smoothed calibration curves with 95% confidence bands. The diagonal dashed line represents perfect calibration. Histograms show the distribution of predicted risks.</w:t>
      </w:r>
    </w:p>
    <w:p w14:paraId="2ECB4164" w14:textId="77777777" w:rsidR="00A40DBE" w:rsidRDefault="00A40DBE" w:rsidP="002779F0">
      <w:pPr>
        <w:spacing w:after="160" w:line="279" w:lineRule="auto"/>
      </w:pPr>
    </w:p>
    <w:p w14:paraId="46986229" w14:textId="77777777" w:rsidR="002779F0" w:rsidRPr="002779F0" w:rsidRDefault="002779F0" w:rsidP="002779F0"/>
    <w:p w14:paraId="5EFA87A6" w14:textId="77777777" w:rsidR="002779F0" w:rsidRPr="002779F0" w:rsidRDefault="002779F0" w:rsidP="002779F0">
      <w:pPr>
        <w:pStyle w:val="Heading2"/>
      </w:pPr>
      <w:bookmarkStart w:id="44" w:name="_Toc236995702"/>
      <w:bookmarkStart w:id="45" w:name="_Toc237015178"/>
      <w:r w:rsidRPr="002779F0">
        <w:lastRenderedPageBreak/>
        <w:t>Comparison with established risk prediction tools</w:t>
      </w:r>
      <w:bookmarkEnd w:id="44"/>
      <w:bookmarkEnd w:id="45"/>
    </w:p>
    <w:p w14:paraId="4C32D374" w14:textId="72548622" w:rsidR="002828C9" w:rsidRDefault="002828C9">
      <w:r>
        <w:t xml:space="preserve">To benchmark age gap against previously published, </w:t>
      </w:r>
      <w:proofErr w:type="gramStart"/>
      <w:r>
        <w:t>externally-derived</w:t>
      </w:r>
      <w:proofErr w:type="gramEnd"/>
      <w:r>
        <w:t xml:space="preserve"> competing-mortality risk tools, we compared model discrimination and calibration for non-lung cancer death against two standalone tools: the PLCO comorbidity index (PLCO-ci)</w:t>
      </w:r>
      <w:r w:rsidR="0080282B" w:rsidRPr="0080282B">
        <w:rPr>
          <w:color w:val="000000"/>
          <w:vertAlign w:val="superscript"/>
        </w:rPr>
        <w:t>7</w:t>
      </w:r>
      <w:r>
        <w:t>, and a non-lung-cancer-death risk derived from the LYFS-CT model’s own internal competing-risk term</w:t>
      </w:r>
      <w:r w:rsidR="0080282B" w:rsidRPr="0080282B">
        <w:rPr>
          <w:color w:val="000000"/>
          <w:vertAlign w:val="superscript"/>
        </w:rPr>
        <w:t>8</w:t>
      </w:r>
      <w:r>
        <w:t xml:space="preserve">, obtained from the National Cancer Institute’s </w:t>
      </w:r>
      <w:proofErr w:type="spellStart"/>
      <w:r>
        <w:t>lcrisks</w:t>
      </w:r>
      <w:proofErr w:type="spellEnd"/>
      <w:r>
        <w:t xml:space="preserve"> reference implementation. Both tools combine age, sex, smoking history and comorbidity diagnoses (hypertension, cardiovascular disease, stroke, COPD, diabetes, and personal cancer history) into a single composite score; comorbidity diagnoses were derived from linked primary care records, and published model coefficients were applied directly, without refitting. Each tool was evaluated as a standalone predictor rather than as an addition to the base clinical variables, since both tools already incorporate age, sex, smoking and comorbidities within their own composite score; combining them additively with the base model would evaluate a largely redundant set of covariates and understate each tool’s genuine standalone performance. The clinical-only (Base) and combined clinical and age gap (Base + Age gap) models are repeated here as reference points, using the same out-of-fold internal-external cross-validation predictions reported throughout.</w:t>
      </w:r>
    </w:p>
    <w:p w14:paraId="54E6F569" w14:textId="6DFFC50F" w:rsidR="000174CE" w:rsidRDefault="002828C9">
      <w:r>
        <w:t>Both established tools performed comparably to the clinical-only model when used standalone (PLCO-ci: C-index 0.69, 95% CI 0.66–0.71 at 5 years; LYFS-CT: 0.70, 95% CI 0.67–0.73 at 5 years; Supplementary Figure 11</w:t>
      </w:r>
      <w:proofErr w:type="gramStart"/>
      <w:r>
        <w:t>), and</w:t>
      </w:r>
      <w:proofErr w:type="gramEnd"/>
      <w:r>
        <w:t xml:space="preserve"> were reasonably calibrated (</w:t>
      </w:r>
      <w:r w:rsidR="00E37FA6">
        <w:fldChar w:fldCharType="begin"/>
      </w:r>
      <w:r w:rsidR="00E37FA6">
        <w:instrText xml:space="preserve"> REF _Ref237006846 \h </w:instrText>
      </w:r>
      <w:r w:rsidR="00E37FA6">
        <w:fldChar w:fldCharType="separate"/>
      </w:r>
      <w:r w:rsidR="00AC2EF6">
        <w:t xml:space="preserve">Supplementary Table </w:t>
      </w:r>
      <w:r w:rsidR="00AC2EF6">
        <w:rPr>
          <w:noProof/>
        </w:rPr>
        <w:t>13</w:t>
      </w:r>
      <w:r w:rsidR="00E37FA6">
        <w:fldChar w:fldCharType="end"/>
      </w:r>
      <w:r w:rsidR="001729B9">
        <w:t xml:space="preserve"> and </w:t>
      </w:r>
      <w:r w:rsidR="001729B9">
        <w:fldChar w:fldCharType="begin"/>
      </w:r>
      <w:r w:rsidR="001729B9">
        <w:instrText xml:space="preserve"> REF _Ref237006879 \h </w:instrText>
      </w:r>
      <w:r w:rsidR="001729B9">
        <w:fldChar w:fldCharType="separate"/>
      </w:r>
      <w:r w:rsidR="00AC2EF6">
        <w:t xml:space="preserve">Supplementary Table </w:t>
      </w:r>
      <w:r w:rsidR="00AC2EF6">
        <w:rPr>
          <w:noProof/>
        </w:rPr>
        <w:t>14</w:t>
      </w:r>
      <w:r w:rsidR="001729B9">
        <w:fldChar w:fldCharType="end"/>
      </w:r>
      <w:r>
        <w:t>). The combined clinical and age gap model significantly outperformed both established tools at 5 years (vs. PLCO-ci alone: difference 0.039, 95% CI 0.019–0.085, p&lt;0.001; vs. LYFS-CT alone: difference 0.029, 95% CI 0.019–0.046, p&lt;0.001); the direction of this difference was consistent, but not statistically significant, at 2 years.</w:t>
      </w:r>
    </w:p>
    <w:p w14:paraId="3B61A90B" w14:textId="77777777" w:rsidR="000174CE" w:rsidRDefault="000174CE">
      <w:pPr>
        <w:spacing w:after="160" w:line="279" w:lineRule="auto"/>
      </w:pPr>
      <w:r>
        <w:br w:type="page"/>
      </w:r>
    </w:p>
    <w:p w14:paraId="2C9ED40D" w14:textId="77777777" w:rsidR="002828C9" w:rsidRDefault="002828C9"/>
    <w:tbl>
      <w:tblPr>
        <w:tblStyle w:val="PlainTable3"/>
        <w:tblW w:w="0" w:type="auto"/>
        <w:tblLook w:val="06A0" w:firstRow="1" w:lastRow="0" w:firstColumn="1" w:lastColumn="0" w:noHBand="1" w:noVBand="1"/>
      </w:tblPr>
      <w:tblGrid>
        <w:gridCol w:w="2186"/>
        <w:gridCol w:w="1084"/>
        <w:gridCol w:w="1404"/>
        <w:gridCol w:w="2209"/>
        <w:gridCol w:w="2143"/>
      </w:tblGrid>
      <w:tr w:rsidR="002779F0" w14:paraId="627C6C14" w14:textId="77777777" w:rsidTr="003C34D1">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471" w:type="dxa"/>
            <w:gridSpan w:val="2"/>
          </w:tcPr>
          <w:p w14:paraId="6439D462" w14:textId="77777777" w:rsidR="002779F0" w:rsidRDefault="002779F0" w:rsidP="003C34D1">
            <w:pPr>
              <w:pStyle w:val="Tablebody"/>
            </w:pPr>
          </w:p>
        </w:tc>
        <w:tc>
          <w:tcPr>
            <w:tcW w:w="1485" w:type="dxa"/>
          </w:tcPr>
          <w:p w14:paraId="19958F64"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n</w:t>
            </w:r>
          </w:p>
        </w:tc>
        <w:tc>
          <w:tcPr>
            <w:tcW w:w="2324" w:type="dxa"/>
          </w:tcPr>
          <w:p w14:paraId="19AAB65D"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Calibration Slope (95% CI)</w:t>
            </w:r>
          </w:p>
        </w:tc>
        <w:tc>
          <w:tcPr>
            <w:tcW w:w="2277" w:type="dxa"/>
          </w:tcPr>
          <w:p w14:paraId="4522C8C1"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Intercept (95% CI)</w:t>
            </w:r>
          </w:p>
        </w:tc>
      </w:tr>
      <w:tr w:rsidR="002779F0" w14:paraId="6E0D4136"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val="restart"/>
          </w:tcPr>
          <w:p w14:paraId="5A4B1E8B" w14:textId="77777777" w:rsidR="002779F0" w:rsidRDefault="002779F0" w:rsidP="003C34D1">
            <w:pPr>
              <w:pStyle w:val="Tablebody"/>
            </w:pPr>
            <w:r>
              <w:t>Base</w:t>
            </w:r>
          </w:p>
        </w:tc>
        <w:tc>
          <w:tcPr>
            <w:tcW w:w="1116" w:type="dxa"/>
          </w:tcPr>
          <w:p w14:paraId="0EDFAE3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485" w:type="dxa"/>
          </w:tcPr>
          <w:p w14:paraId="362A2C4C"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4580</w:t>
            </w:r>
          </w:p>
        </w:tc>
        <w:tc>
          <w:tcPr>
            <w:tcW w:w="2324" w:type="dxa"/>
          </w:tcPr>
          <w:p w14:paraId="0AF236AE"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0.79 (0.62–0.97)</w:t>
            </w:r>
          </w:p>
        </w:tc>
        <w:tc>
          <w:tcPr>
            <w:tcW w:w="2277" w:type="dxa"/>
          </w:tcPr>
          <w:p w14:paraId="0928673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0.04 (−0.10–0.17)</w:t>
            </w:r>
          </w:p>
        </w:tc>
      </w:tr>
      <w:tr w:rsidR="002779F0" w14:paraId="18088E9A"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0D8B9B59" w14:textId="77777777" w:rsidR="002779F0" w:rsidRDefault="002779F0" w:rsidP="003C34D1"/>
        </w:tc>
        <w:tc>
          <w:tcPr>
            <w:tcW w:w="1116" w:type="dxa"/>
          </w:tcPr>
          <w:p w14:paraId="3FD35A0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485" w:type="dxa"/>
          </w:tcPr>
          <w:p w14:paraId="2A30CCCE"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4642</w:t>
            </w:r>
          </w:p>
        </w:tc>
        <w:tc>
          <w:tcPr>
            <w:tcW w:w="2324" w:type="dxa"/>
          </w:tcPr>
          <w:p w14:paraId="2D2DB8A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0.90 (0.69–1.12)</w:t>
            </w:r>
          </w:p>
        </w:tc>
        <w:tc>
          <w:tcPr>
            <w:tcW w:w="2277" w:type="dxa"/>
          </w:tcPr>
          <w:p w14:paraId="4E11B2E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-0.09 (−0.23–0.04)</w:t>
            </w:r>
          </w:p>
        </w:tc>
      </w:tr>
      <w:tr w:rsidR="002779F0" w14:paraId="4EBCC4D6"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1B535F26" w14:textId="77777777" w:rsidR="002779F0" w:rsidRDefault="002779F0" w:rsidP="003C34D1"/>
        </w:tc>
        <w:tc>
          <w:tcPr>
            <w:tcW w:w="1116" w:type="dxa"/>
          </w:tcPr>
          <w:p w14:paraId="6875E6EE"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485" w:type="dxa"/>
          </w:tcPr>
          <w:p w14:paraId="0E292629"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3078</w:t>
            </w:r>
          </w:p>
        </w:tc>
        <w:tc>
          <w:tcPr>
            <w:tcW w:w="2324" w:type="dxa"/>
          </w:tcPr>
          <w:p w14:paraId="5BA9A35F"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1.05 (0.77–1.33)</w:t>
            </w:r>
          </w:p>
        </w:tc>
        <w:tc>
          <w:tcPr>
            <w:tcW w:w="2277" w:type="dxa"/>
          </w:tcPr>
          <w:p w14:paraId="15ED615C"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-0.05 (−0.21–0.12)</w:t>
            </w:r>
          </w:p>
        </w:tc>
      </w:tr>
      <w:tr w:rsidR="002779F0" w14:paraId="419FA642"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3AD82B58" w14:textId="77777777" w:rsidR="002779F0" w:rsidRDefault="002779F0" w:rsidP="003C34D1"/>
        </w:tc>
        <w:tc>
          <w:tcPr>
            <w:tcW w:w="1116" w:type="dxa"/>
          </w:tcPr>
          <w:p w14:paraId="1203B48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485" w:type="dxa"/>
          </w:tcPr>
          <w:p w14:paraId="33304AB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12300</w:t>
            </w:r>
          </w:p>
        </w:tc>
        <w:tc>
          <w:tcPr>
            <w:tcW w:w="2324" w:type="dxa"/>
          </w:tcPr>
          <w:p w14:paraId="5EAE7158"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0.88 (0.75–1.02)</w:t>
            </w:r>
          </w:p>
        </w:tc>
        <w:tc>
          <w:tcPr>
            <w:tcW w:w="2277" w:type="dxa"/>
          </w:tcPr>
          <w:p w14:paraId="653F1F46"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-0.03 (−0.12–0.05)</w:t>
            </w:r>
          </w:p>
        </w:tc>
      </w:tr>
      <w:tr w:rsidR="002779F0" w14:paraId="509241D9"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val="restart"/>
          </w:tcPr>
          <w:p w14:paraId="24BA060C" w14:textId="77777777" w:rsidR="002779F0" w:rsidRDefault="002779F0" w:rsidP="003C34D1">
            <w:pPr>
              <w:pStyle w:val="Tablebody"/>
            </w:pPr>
            <w:r>
              <w:t>Base + Age gap</w:t>
            </w:r>
          </w:p>
        </w:tc>
        <w:tc>
          <w:tcPr>
            <w:tcW w:w="1116" w:type="dxa"/>
          </w:tcPr>
          <w:p w14:paraId="0F86CC8F"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485" w:type="dxa"/>
          </w:tcPr>
          <w:p w14:paraId="41624764"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4580</w:t>
            </w:r>
          </w:p>
        </w:tc>
        <w:tc>
          <w:tcPr>
            <w:tcW w:w="2324" w:type="dxa"/>
          </w:tcPr>
          <w:p w14:paraId="72599F11"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0.81 (0.64–0.98)</w:t>
            </w:r>
          </w:p>
        </w:tc>
        <w:tc>
          <w:tcPr>
            <w:tcW w:w="2277" w:type="dxa"/>
          </w:tcPr>
          <w:p w14:paraId="733843E9"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0.03 (−0.11–0.17)</w:t>
            </w:r>
          </w:p>
        </w:tc>
      </w:tr>
      <w:tr w:rsidR="002779F0" w14:paraId="3805733C"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15F4F395" w14:textId="77777777" w:rsidR="002779F0" w:rsidRDefault="002779F0" w:rsidP="003C34D1"/>
        </w:tc>
        <w:tc>
          <w:tcPr>
            <w:tcW w:w="1116" w:type="dxa"/>
          </w:tcPr>
          <w:p w14:paraId="7131551F"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485" w:type="dxa"/>
          </w:tcPr>
          <w:p w14:paraId="0C9B76BC"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4642</w:t>
            </w:r>
          </w:p>
        </w:tc>
        <w:tc>
          <w:tcPr>
            <w:tcW w:w="2324" w:type="dxa"/>
          </w:tcPr>
          <w:p w14:paraId="4326B02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0.89 (0.71–1.07)</w:t>
            </w:r>
          </w:p>
        </w:tc>
        <w:tc>
          <w:tcPr>
            <w:tcW w:w="2277" w:type="dxa"/>
          </w:tcPr>
          <w:p w14:paraId="3E3FFE24"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-0.07 (−0.21–0.06)</w:t>
            </w:r>
          </w:p>
        </w:tc>
      </w:tr>
      <w:tr w:rsidR="002779F0" w14:paraId="7B51CEBD"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44229B90" w14:textId="77777777" w:rsidR="002779F0" w:rsidRDefault="002779F0" w:rsidP="003C34D1"/>
        </w:tc>
        <w:tc>
          <w:tcPr>
            <w:tcW w:w="1116" w:type="dxa"/>
          </w:tcPr>
          <w:p w14:paraId="7EB6CA2F"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485" w:type="dxa"/>
          </w:tcPr>
          <w:p w14:paraId="45777C56"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3078</w:t>
            </w:r>
          </w:p>
        </w:tc>
        <w:tc>
          <w:tcPr>
            <w:tcW w:w="2324" w:type="dxa"/>
          </w:tcPr>
          <w:p w14:paraId="13E9D479"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1.09 (0.83–1.35)</w:t>
            </w:r>
          </w:p>
        </w:tc>
        <w:tc>
          <w:tcPr>
            <w:tcW w:w="2277" w:type="dxa"/>
          </w:tcPr>
          <w:p w14:paraId="0C88E8A6"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-0.06 (−0.22–0.11)</w:t>
            </w:r>
          </w:p>
        </w:tc>
      </w:tr>
      <w:tr w:rsidR="002779F0" w14:paraId="203443C6"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0C752FD6" w14:textId="77777777" w:rsidR="002779F0" w:rsidRDefault="002779F0" w:rsidP="003C34D1"/>
        </w:tc>
        <w:tc>
          <w:tcPr>
            <w:tcW w:w="1116" w:type="dxa"/>
          </w:tcPr>
          <w:p w14:paraId="06B8CBEF"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485" w:type="dxa"/>
          </w:tcPr>
          <w:p w14:paraId="7A744339"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12300</w:t>
            </w:r>
          </w:p>
        </w:tc>
        <w:tc>
          <w:tcPr>
            <w:tcW w:w="2324" w:type="dxa"/>
          </w:tcPr>
          <w:p w14:paraId="5943D2C6"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0.90 (0.76–1.04)</w:t>
            </w:r>
          </w:p>
        </w:tc>
        <w:tc>
          <w:tcPr>
            <w:tcW w:w="2277" w:type="dxa"/>
          </w:tcPr>
          <w:p w14:paraId="19F9D38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-0.03 (−0.11–0.05)</w:t>
            </w:r>
          </w:p>
        </w:tc>
      </w:tr>
      <w:tr w:rsidR="002779F0" w14:paraId="2B1BC9B9"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val="restart"/>
          </w:tcPr>
          <w:p w14:paraId="1018CE16" w14:textId="77777777" w:rsidR="002779F0" w:rsidRDefault="002779F0" w:rsidP="003C34D1">
            <w:pPr>
              <w:pStyle w:val="Tablebody"/>
            </w:pPr>
            <w:r>
              <w:t>LYFS-CT alone</w:t>
            </w:r>
          </w:p>
        </w:tc>
        <w:tc>
          <w:tcPr>
            <w:tcW w:w="1116" w:type="dxa"/>
          </w:tcPr>
          <w:p w14:paraId="22A6DC9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485" w:type="dxa"/>
          </w:tcPr>
          <w:p w14:paraId="766941F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4574</w:t>
            </w:r>
          </w:p>
        </w:tc>
        <w:tc>
          <w:tcPr>
            <w:tcW w:w="2324" w:type="dxa"/>
          </w:tcPr>
          <w:p w14:paraId="3F150BB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0.88 (0.62–1.13)</w:t>
            </w:r>
          </w:p>
        </w:tc>
        <w:tc>
          <w:tcPr>
            <w:tcW w:w="2277" w:type="dxa"/>
          </w:tcPr>
          <w:p w14:paraId="256EEA3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0.11 (−0.02–0.25)</w:t>
            </w:r>
          </w:p>
        </w:tc>
      </w:tr>
      <w:tr w:rsidR="002779F0" w14:paraId="03058862"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64168935" w14:textId="77777777" w:rsidR="002779F0" w:rsidRDefault="002779F0" w:rsidP="003C34D1"/>
        </w:tc>
        <w:tc>
          <w:tcPr>
            <w:tcW w:w="1116" w:type="dxa"/>
          </w:tcPr>
          <w:p w14:paraId="4F9AAFA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485" w:type="dxa"/>
          </w:tcPr>
          <w:p w14:paraId="7C50E3F1"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4641</w:t>
            </w:r>
          </w:p>
        </w:tc>
        <w:tc>
          <w:tcPr>
            <w:tcW w:w="2324" w:type="dxa"/>
          </w:tcPr>
          <w:p w14:paraId="46458BB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0.90 (0.66–1.15)</w:t>
            </w:r>
          </w:p>
        </w:tc>
        <w:tc>
          <w:tcPr>
            <w:tcW w:w="2277" w:type="dxa"/>
          </w:tcPr>
          <w:p w14:paraId="750CB19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0.06 (−0.07–0.20)</w:t>
            </w:r>
          </w:p>
        </w:tc>
      </w:tr>
      <w:tr w:rsidR="002779F0" w14:paraId="65B97C38"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064DD6C5" w14:textId="77777777" w:rsidR="002779F0" w:rsidRDefault="002779F0" w:rsidP="003C34D1"/>
        </w:tc>
        <w:tc>
          <w:tcPr>
            <w:tcW w:w="1116" w:type="dxa"/>
          </w:tcPr>
          <w:p w14:paraId="7334FBC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485" w:type="dxa"/>
          </w:tcPr>
          <w:p w14:paraId="52AB618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2978</w:t>
            </w:r>
          </w:p>
        </w:tc>
        <w:tc>
          <w:tcPr>
            <w:tcW w:w="2324" w:type="dxa"/>
          </w:tcPr>
          <w:p w14:paraId="13C8CF0F"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1.15 (0.77–1.53)</w:t>
            </w:r>
          </w:p>
        </w:tc>
        <w:tc>
          <w:tcPr>
            <w:tcW w:w="2277" w:type="dxa"/>
          </w:tcPr>
          <w:p w14:paraId="19BC3E94"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-0.04 (−0.20–0.13)</w:t>
            </w:r>
          </w:p>
        </w:tc>
      </w:tr>
      <w:tr w:rsidR="002779F0" w14:paraId="68B8A88C"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17DF62FD" w14:textId="77777777" w:rsidR="002779F0" w:rsidRDefault="002779F0" w:rsidP="003C34D1"/>
        </w:tc>
        <w:tc>
          <w:tcPr>
            <w:tcW w:w="1116" w:type="dxa"/>
          </w:tcPr>
          <w:p w14:paraId="6FE533F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485" w:type="dxa"/>
          </w:tcPr>
          <w:p w14:paraId="47066896"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12193</w:t>
            </w:r>
          </w:p>
        </w:tc>
        <w:tc>
          <w:tcPr>
            <w:tcW w:w="2324" w:type="dxa"/>
          </w:tcPr>
          <w:p w14:paraId="5BE719A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0.94 (0.78–1.10)</w:t>
            </w:r>
          </w:p>
        </w:tc>
        <w:tc>
          <w:tcPr>
            <w:tcW w:w="2277" w:type="dxa"/>
          </w:tcPr>
          <w:p w14:paraId="4BCF3F3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0.06 (−0.02–0.14)</w:t>
            </w:r>
          </w:p>
        </w:tc>
      </w:tr>
      <w:tr w:rsidR="002779F0" w14:paraId="71C7FD28"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val="restart"/>
          </w:tcPr>
          <w:p w14:paraId="0F26E9F7" w14:textId="77777777" w:rsidR="002779F0" w:rsidRDefault="002779F0" w:rsidP="003C34D1">
            <w:pPr>
              <w:pStyle w:val="Tablebody"/>
            </w:pPr>
            <w:r>
              <w:t>PLCO-ci alone</w:t>
            </w:r>
          </w:p>
        </w:tc>
        <w:tc>
          <w:tcPr>
            <w:tcW w:w="1116" w:type="dxa"/>
          </w:tcPr>
          <w:p w14:paraId="62EA59CF"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485" w:type="dxa"/>
          </w:tcPr>
          <w:p w14:paraId="5384331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4579</w:t>
            </w:r>
          </w:p>
        </w:tc>
        <w:tc>
          <w:tcPr>
            <w:tcW w:w="2324" w:type="dxa"/>
          </w:tcPr>
          <w:p w14:paraId="11A7D6F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0.82 (0.63–1.01)</w:t>
            </w:r>
          </w:p>
        </w:tc>
        <w:tc>
          <w:tcPr>
            <w:tcW w:w="2277" w:type="dxa"/>
          </w:tcPr>
          <w:p w14:paraId="6EEF6A2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0.05 (−0.08–0.18)</w:t>
            </w:r>
          </w:p>
        </w:tc>
      </w:tr>
      <w:tr w:rsidR="002779F0" w14:paraId="711AF19B"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2047E124" w14:textId="77777777" w:rsidR="002779F0" w:rsidRDefault="002779F0" w:rsidP="003C34D1"/>
        </w:tc>
        <w:tc>
          <w:tcPr>
            <w:tcW w:w="1116" w:type="dxa"/>
          </w:tcPr>
          <w:p w14:paraId="0094F46E"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485" w:type="dxa"/>
          </w:tcPr>
          <w:p w14:paraId="6D71C4F9"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4641</w:t>
            </w:r>
          </w:p>
        </w:tc>
        <w:tc>
          <w:tcPr>
            <w:tcW w:w="2324" w:type="dxa"/>
          </w:tcPr>
          <w:p w14:paraId="409E7A5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0.95 (0.74–1.16)</w:t>
            </w:r>
          </w:p>
        </w:tc>
        <w:tc>
          <w:tcPr>
            <w:tcW w:w="2277" w:type="dxa"/>
          </w:tcPr>
          <w:p w14:paraId="1AC77688"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0.01 (−0.12–0.14)</w:t>
            </w:r>
          </w:p>
        </w:tc>
      </w:tr>
      <w:tr w:rsidR="002779F0" w14:paraId="3E76750F"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31B3BBF9" w14:textId="77777777" w:rsidR="002779F0" w:rsidRDefault="002779F0" w:rsidP="003C34D1"/>
        </w:tc>
        <w:tc>
          <w:tcPr>
            <w:tcW w:w="1116" w:type="dxa"/>
          </w:tcPr>
          <w:p w14:paraId="573F124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485" w:type="dxa"/>
          </w:tcPr>
          <w:p w14:paraId="29AC1671"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3077</w:t>
            </w:r>
          </w:p>
        </w:tc>
        <w:tc>
          <w:tcPr>
            <w:tcW w:w="2324" w:type="dxa"/>
          </w:tcPr>
          <w:p w14:paraId="49E5A3D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0.65 (0.42–0.88)</w:t>
            </w:r>
          </w:p>
        </w:tc>
        <w:tc>
          <w:tcPr>
            <w:tcW w:w="2277" w:type="dxa"/>
          </w:tcPr>
          <w:p w14:paraId="09CAA70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-0.16 (−0.33–0.00)</w:t>
            </w:r>
          </w:p>
        </w:tc>
      </w:tr>
      <w:tr w:rsidR="002779F0" w14:paraId="5B59F436"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61759F28" w14:textId="77777777" w:rsidR="002779F0" w:rsidRDefault="002779F0" w:rsidP="003C34D1"/>
        </w:tc>
        <w:tc>
          <w:tcPr>
            <w:tcW w:w="1116" w:type="dxa"/>
          </w:tcPr>
          <w:p w14:paraId="7867B22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485" w:type="dxa"/>
          </w:tcPr>
          <w:p w14:paraId="3D2A35DE"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12297</w:t>
            </w:r>
          </w:p>
        </w:tc>
        <w:tc>
          <w:tcPr>
            <w:tcW w:w="2324" w:type="dxa"/>
          </w:tcPr>
          <w:p w14:paraId="17616C61"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0.81 (0.65–0.97)</w:t>
            </w:r>
          </w:p>
        </w:tc>
        <w:tc>
          <w:tcPr>
            <w:tcW w:w="2277" w:type="dxa"/>
          </w:tcPr>
          <w:p w14:paraId="0F8779D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-0.02 (−0.14–0.09)</w:t>
            </w:r>
          </w:p>
        </w:tc>
      </w:tr>
    </w:tbl>
    <w:p w14:paraId="24FAA3EB" w14:textId="2C70F5B3" w:rsidR="00B13C75" w:rsidRDefault="00B13C75" w:rsidP="003B4C19">
      <w:pPr>
        <w:pStyle w:val="Caption"/>
      </w:pPr>
      <w:bookmarkStart w:id="46" w:name="_Ref237006846"/>
      <w:bookmarkStart w:id="47" w:name="_Toc236995703"/>
      <w:bookmarkStart w:id="48" w:name="_Toc237015195"/>
      <w:r>
        <w:t xml:space="preserve">Supplementary Table </w:t>
      </w:r>
      <w:fldSimple w:instr=" SEQ Supplementary_Table \* ARABIC ">
        <w:r w:rsidR="00AC2EF6">
          <w:rPr>
            <w:noProof/>
          </w:rPr>
          <w:t>13</w:t>
        </w:r>
      </w:fldSimple>
      <w:bookmarkEnd w:id="46"/>
      <w:r w:rsidR="003067D6" w:rsidRPr="4B29E1AF">
        <w:rPr>
          <w:b/>
          <w:bCs/>
        </w:rPr>
        <w:t xml:space="preserve">. </w:t>
      </w:r>
      <w:r w:rsidR="003067D6" w:rsidRPr="00B13C75">
        <w:t>Calibration slope and intercept for non-LC-related death, comparing established risk tools (PLCO-ci, LYFS-CT) with the Base and Base + Age gap models, in IECV clusters and pooled estimate in random effects meta-analysis, 5-year time horizon.</w:t>
      </w:r>
      <w:bookmarkEnd w:id="47"/>
      <w:bookmarkEnd w:id="48"/>
    </w:p>
    <w:p w14:paraId="3E6F4237" w14:textId="77777777" w:rsidR="000174CE" w:rsidRDefault="003067D6" w:rsidP="003B4C19">
      <w:pPr>
        <w:pStyle w:val="Caption"/>
      </w:pPr>
      <w:r>
        <w:t>CI: Confidence Interval; IECV: Internal-external cross validation; PLCO-ci: PLCO comorbidity index; LYFS-CT: non-lung-cancer-death risk derived from the LYFS-CT model.</w:t>
      </w:r>
    </w:p>
    <w:p w14:paraId="4D4C1BA2" w14:textId="77777777" w:rsidR="000174CE" w:rsidRDefault="000174CE">
      <w:pPr>
        <w:spacing w:after="160" w:line="279" w:lineRule="auto"/>
      </w:pPr>
      <w:r>
        <w:br w:type="page"/>
      </w:r>
    </w:p>
    <w:p w14:paraId="7BCD0604" w14:textId="77777777" w:rsidR="003067D6" w:rsidRDefault="003067D6" w:rsidP="003B4C19">
      <w:pPr>
        <w:pStyle w:val="Caption"/>
        <w:rPr>
          <w:b/>
          <w:bCs/>
        </w:rPr>
      </w:pPr>
    </w:p>
    <w:tbl>
      <w:tblPr>
        <w:tblStyle w:val="PlainTable3"/>
        <w:tblW w:w="0" w:type="auto"/>
        <w:tblLook w:val="06A0" w:firstRow="1" w:lastRow="0" w:firstColumn="1" w:lastColumn="0" w:noHBand="1" w:noVBand="1"/>
      </w:tblPr>
      <w:tblGrid>
        <w:gridCol w:w="2186"/>
        <w:gridCol w:w="1084"/>
        <w:gridCol w:w="1404"/>
        <w:gridCol w:w="2209"/>
        <w:gridCol w:w="2143"/>
      </w:tblGrid>
      <w:tr w:rsidR="002779F0" w14:paraId="1C7979BB" w14:textId="77777777" w:rsidTr="003C34D1">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471" w:type="dxa"/>
            <w:gridSpan w:val="2"/>
          </w:tcPr>
          <w:p w14:paraId="036CC470" w14:textId="77777777" w:rsidR="002779F0" w:rsidRDefault="002779F0" w:rsidP="003C34D1">
            <w:pPr>
              <w:pStyle w:val="Tablebody"/>
            </w:pPr>
          </w:p>
        </w:tc>
        <w:tc>
          <w:tcPr>
            <w:tcW w:w="1485" w:type="dxa"/>
          </w:tcPr>
          <w:p w14:paraId="7EB8AF43"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n</w:t>
            </w:r>
          </w:p>
        </w:tc>
        <w:tc>
          <w:tcPr>
            <w:tcW w:w="2324" w:type="dxa"/>
          </w:tcPr>
          <w:p w14:paraId="0E288E7C"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Calibration Slope (95% CI)</w:t>
            </w:r>
          </w:p>
        </w:tc>
        <w:tc>
          <w:tcPr>
            <w:tcW w:w="2277" w:type="dxa"/>
          </w:tcPr>
          <w:p w14:paraId="44EEE950" w14:textId="77777777" w:rsidR="002779F0" w:rsidRDefault="002779F0" w:rsidP="003C34D1">
            <w:pPr>
              <w:pStyle w:val="Tablebody"/>
              <w:cnfStyle w:val="100000000000" w:firstRow="1" w:lastRow="0" w:firstColumn="0" w:lastColumn="0" w:oddVBand="0" w:evenVBand="0" w:oddHBand="0" w:evenHBand="0" w:firstRowFirstColumn="0" w:firstRowLastColumn="0" w:lastRowFirstColumn="0" w:lastRowLastColumn="0"/>
            </w:pPr>
            <w:r>
              <w:t>Intercept (95% CI)</w:t>
            </w:r>
          </w:p>
        </w:tc>
      </w:tr>
      <w:tr w:rsidR="002779F0" w14:paraId="2A050D54"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val="restart"/>
          </w:tcPr>
          <w:p w14:paraId="7B3FC256" w14:textId="77777777" w:rsidR="002779F0" w:rsidRDefault="002779F0" w:rsidP="003C34D1">
            <w:pPr>
              <w:pStyle w:val="Tablebody"/>
            </w:pPr>
            <w:r>
              <w:t>Base</w:t>
            </w:r>
          </w:p>
        </w:tc>
        <w:tc>
          <w:tcPr>
            <w:tcW w:w="1116" w:type="dxa"/>
          </w:tcPr>
          <w:p w14:paraId="580F616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485" w:type="dxa"/>
          </w:tcPr>
          <w:p w14:paraId="6119093B"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4580</w:t>
            </w:r>
          </w:p>
        </w:tc>
        <w:tc>
          <w:tcPr>
            <w:tcW w:w="2324" w:type="dxa"/>
          </w:tcPr>
          <w:p w14:paraId="1884019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0.85 (0.49–1.22)</w:t>
            </w:r>
          </w:p>
        </w:tc>
        <w:tc>
          <w:tcPr>
            <w:tcW w:w="2277" w:type="dxa"/>
          </w:tcPr>
          <w:p w14:paraId="1B3DB99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0.12 (−0.13–0.37)</w:t>
            </w:r>
          </w:p>
        </w:tc>
      </w:tr>
      <w:tr w:rsidR="002779F0" w14:paraId="27F541EC"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1EDD0996" w14:textId="77777777" w:rsidR="002779F0" w:rsidRDefault="002779F0" w:rsidP="003C34D1"/>
        </w:tc>
        <w:tc>
          <w:tcPr>
            <w:tcW w:w="1116" w:type="dxa"/>
          </w:tcPr>
          <w:p w14:paraId="20C59091"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485" w:type="dxa"/>
          </w:tcPr>
          <w:p w14:paraId="5647D2AE"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4642</w:t>
            </w:r>
          </w:p>
        </w:tc>
        <w:tc>
          <w:tcPr>
            <w:tcW w:w="2324" w:type="dxa"/>
          </w:tcPr>
          <w:p w14:paraId="1C6A4C68"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0.87 (0.45–1.28)</w:t>
            </w:r>
          </w:p>
        </w:tc>
        <w:tc>
          <w:tcPr>
            <w:tcW w:w="2277" w:type="dxa"/>
          </w:tcPr>
          <w:p w14:paraId="3501FA8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-0.20 (−0.45–0.05)</w:t>
            </w:r>
          </w:p>
        </w:tc>
      </w:tr>
      <w:tr w:rsidR="002779F0" w14:paraId="4140EFB9"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06EEC0A5" w14:textId="77777777" w:rsidR="002779F0" w:rsidRDefault="002779F0" w:rsidP="003C34D1"/>
        </w:tc>
        <w:tc>
          <w:tcPr>
            <w:tcW w:w="1116" w:type="dxa"/>
          </w:tcPr>
          <w:p w14:paraId="10613F7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485" w:type="dxa"/>
          </w:tcPr>
          <w:p w14:paraId="7DCCF45F"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3078</w:t>
            </w:r>
          </w:p>
        </w:tc>
        <w:tc>
          <w:tcPr>
            <w:tcW w:w="2324" w:type="dxa"/>
          </w:tcPr>
          <w:p w14:paraId="3AC7E489"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1.62 (0.76–2.47)</w:t>
            </w:r>
          </w:p>
        </w:tc>
        <w:tc>
          <w:tcPr>
            <w:tcW w:w="2277" w:type="dxa"/>
          </w:tcPr>
          <w:p w14:paraId="219737B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0.06 (−0.25–0.37)</w:t>
            </w:r>
          </w:p>
        </w:tc>
      </w:tr>
      <w:tr w:rsidR="002779F0" w14:paraId="32E00B17"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7339654B" w14:textId="77777777" w:rsidR="002779F0" w:rsidRDefault="002779F0" w:rsidP="003C34D1"/>
        </w:tc>
        <w:tc>
          <w:tcPr>
            <w:tcW w:w="1116" w:type="dxa"/>
          </w:tcPr>
          <w:p w14:paraId="7BEFED5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485" w:type="dxa"/>
          </w:tcPr>
          <w:p w14:paraId="3E706564"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12300</w:t>
            </w:r>
          </w:p>
        </w:tc>
        <w:tc>
          <w:tcPr>
            <w:tcW w:w="2324" w:type="dxa"/>
          </w:tcPr>
          <w:p w14:paraId="78EE77E1"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0.93 (0.67–1.19)</w:t>
            </w:r>
          </w:p>
        </w:tc>
        <w:tc>
          <w:tcPr>
            <w:tcW w:w="2277" w:type="dxa"/>
          </w:tcPr>
          <w:p w14:paraId="6F79E8AC"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-0.01 (−0.22–0.19)</w:t>
            </w:r>
          </w:p>
        </w:tc>
      </w:tr>
      <w:tr w:rsidR="002779F0" w14:paraId="4595B2ED"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val="restart"/>
          </w:tcPr>
          <w:p w14:paraId="58164DE4" w14:textId="77777777" w:rsidR="002779F0" w:rsidRDefault="002779F0" w:rsidP="003C34D1">
            <w:pPr>
              <w:pStyle w:val="Tablebody"/>
            </w:pPr>
            <w:r>
              <w:t>Base + Age gap</w:t>
            </w:r>
          </w:p>
        </w:tc>
        <w:tc>
          <w:tcPr>
            <w:tcW w:w="1116" w:type="dxa"/>
          </w:tcPr>
          <w:p w14:paraId="6AB70A2E"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485" w:type="dxa"/>
          </w:tcPr>
          <w:p w14:paraId="0B0E653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4580</w:t>
            </w:r>
          </w:p>
        </w:tc>
        <w:tc>
          <w:tcPr>
            <w:tcW w:w="2324" w:type="dxa"/>
          </w:tcPr>
          <w:p w14:paraId="424D0AE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0.86 (0.53–1.18)</w:t>
            </w:r>
          </w:p>
        </w:tc>
        <w:tc>
          <w:tcPr>
            <w:tcW w:w="2277" w:type="dxa"/>
          </w:tcPr>
          <w:p w14:paraId="20A719CE"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0.12 (−0.13–0.38)</w:t>
            </w:r>
          </w:p>
        </w:tc>
      </w:tr>
      <w:tr w:rsidR="002779F0" w14:paraId="4181B700"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1AFE05B1" w14:textId="77777777" w:rsidR="002779F0" w:rsidRDefault="002779F0" w:rsidP="003C34D1"/>
        </w:tc>
        <w:tc>
          <w:tcPr>
            <w:tcW w:w="1116" w:type="dxa"/>
          </w:tcPr>
          <w:p w14:paraId="1E2D17BE"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485" w:type="dxa"/>
          </w:tcPr>
          <w:p w14:paraId="42F48F9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4642</w:t>
            </w:r>
          </w:p>
        </w:tc>
        <w:tc>
          <w:tcPr>
            <w:tcW w:w="2324" w:type="dxa"/>
          </w:tcPr>
          <w:p w14:paraId="3B357D3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0.74 (0.40–1.08)</w:t>
            </w:r>
          </w:p>
        </w:tc>
        <w:tc>
          <w:tcPr>
            <w:tcW w:w="2277" w:type="dxa"/>
          </w:tcPr>
          <w:p w14:paraId="0E111C9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-0.25 (−0.51–0.00)</w:t>
            </w:r>
          </w:p>
        </w:tc>
      </w:tr>
      <w:tr w:rsidR="002779F0" w14:paraId="2332C186"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28564A0D" w14:textId="77777777" w:rsidR="002779F0" w:rsidRDefault="002779F0" w:rsidP="003C34D1"/>
        </w:tc>
        <w:tc>
          <w:tcPr>
            <w:tcW w:w="1116" w:type="dxa"/>
          </w:tcPr>
          <w:p w14:paraId="1163A06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485" w:type="dxa"/>
          </w:tcPr>
          <w:p w14:paraId="360D546E"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3078</w:t>
            </w:r>
          </w:p>
        </w:tc>
        <w:tc>
          <w:tcPr>
            <w:tcW w:w="2324" w:type="dxa"/>
          </w:tcPr>
          <w:p w14:paraId="386CBE9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1.44 (0.74–2.15)</w:t>
            </w:r>
          </w:p>
        </w:tc>
        <w:tc>
          <w:tcPr>
            <w:tcW w:w="2277" w:type="dxa"/>
          </w:tcPr>
          <w:p w14:paraId="3ED8EE1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0.04 (−0.28–0.35)</w:t>
            </w:r>
          </w:p>
        </w:tc>
      </w:tr>
      <w:tr w:rsidR="002779F0" w14:paraId="30192780"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6D36EAFF" w14:textId="77777777" w:rsidR="002779F0" w:rsidRDefault="002779F0" w:rsidP="003C34D1"/>
        </w:tc>
        <w:tc>
          <w:tcPr>
            <w:tcW w:w="1116" w:type="dxa"/>
          </w:tcPr>
          <w:p w14:paraId="6EE2371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485" w:type="dxa"/>
          </w:tcPr>
          <w:p w14:paraId="776944C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12300</w:t>
            </w:r>
          </w:p>
        </w:tc>
        <w:tc>
          <w:tcPr>
            <w:tcW w:w="2324" w:type="dxa"/>
          </w:tcPr>
          <w:p w14:paraId="1C7F6546"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0.86 (0.64–1.09)</w:t>
            </w:r>
          </w:p>
        </w:tc>
        <w:tc>
          <w:tcPr>
            <w:tcW w:w="2277" w:type="dxa"/>
          </w:tcPr>
          <w:p w14:paraId="5E5CFB14"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-0.03 (−0.27–0.20)</w:t>
            </w:r>
          </w:p>
        </w:tc>
      </w:tr>
      <w:tr w:rsidR="002779F0" w14:paraId="61D84399"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val="restart"/>
          </w:tcPr>
          <w:p w14:paraId="500D2F4B" w14:textId="77777777" w:rsidR="002779F0" w:rsidRDefault="002779F0" w:rsidP="003C34D1">
            <w:pPr>
              <w:pStyle w:val="Tablebody"/>
            </w:pPr>
            <w:r>
              <w:t>LYFS-CT alone</w:t>
            </w:r>
          </w:p>
        </w:tc>
        <w:tc>
          <w:tcPr>
            <w:tcW w:w="1116" w:type="dxa"/>
          </w:tcPr>
          <w:p w14:paraId="24DC294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485" w:type="dxa"/>
          </w:tcPr>
          <w:p w14:paraId="2D27C11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4574</w:t>
            </w:r>
          </w:p>
        </w:tc>
        <w:tc>
          <w:tcPr>
            <w:tcW w:w="2324" w:type="dxa"/>
          </w:tcPr>
          <w:p w14:paraId="69274959"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0.56 (0.17–0.95)</w:t>
            </w:r>
          </w:p>
        </w:tc>
        <w:tc>
          <w:tcPr>
            <w:tcW w:w="2277" w:type="dxa"/>
          </w:tcPr>
          <w:p w14:paraId="2335CBC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0.05 (−0.23–0.33)</w:t>
            </w:r>
          </w:p>
        </w:tc>
      </w:tr>
      <w:tr w:rsidR="002779F0" w14:paraId="7EBE9CCA"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40A63367" w14:textId="77777777" w:rsidR="002779F0" w:rsidRDefault="002779F0" w:rsidP="003C34D1"/>
        </w:tc>
        <w:tc>
          <w:tcPr>
            <w:tcW w:w="1116" w:type="dxa"/>
          </w:tcPr>
          <w:p w14:paraId="430EC2B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485" w:type="dxa"/>
          </w:tcPr>
          <w:p w14:paraId="284FFD0F"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4641</w:t>
            </w:r>
          </w:p>
        </w:tc>
        <w:tc>
          <w:tcPr>
            <w:tcW w:w="2324" w:type="dxa"/>
          </w:tcPr>
          <w:p w14:paraId="1FABEC7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0.63 (0.27–1.00)</w:t>
            </w:r>
          </w:p>
        </w:tc>
        <w:tc>
          <w:tcPr>
            <w:tcW w:w="2277" w:type="dxa"/>
          </w:tcPr>
          <w:p w14:paraId="219C2831"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-0.18 (−0.47–0.12)</w:t>
            </w:r>
          </w:p>
        </w:tc>
      </w:tr>
      <w:tr w:rsidR="002779F0" w14:paraId="1534955F"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7191EC0A" w14:textId="77777777" w:rsidR="002779F0" w:rsidRDefault="002779F0" w:rsidP="003C34D1"/>
        </w:tc>
        <w:tc>
          <w:tcPr>
            <w:tcW w:w="1116" w:type="dxa"/>
          </w:tcPr>
          <w:p w14:paraId="061922D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485" w:type="dxa"/>
          </w:tcPr>
          <w:p w14:paraId="0D593DB0"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2978</w:t>
            </w:r>
          </w:p>
        </w:tc>
        <w:tc>
          <w:tcPr>
            <w:tcW w:w="2324" w:type="dxa"/>
          </w:tcPr>
          <w:p w14:paraId="33A03E4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0.79 (0.11–1.46)</w:t>
            </w:r>
          </w:p>
        </w:tc>
        <w:tc>
          <w:tcPr>
            <w:tcW w:w="2277" w:type="dxa"/>
          </w:tcPr>
          <w:p w14:paraId="25825CF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-0.08 (−0.49–0.33)</w:t>
            </w:r>
          </w:p>
        </w:tc>
      </w:tr>
      <w:tr w:rsidR="002779F0" w14:paraId="50B6A409"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1D530EBE" w14:textId="77777777" w:rsidR="002779F0" w:rsidRDefault="002779F0" w:rsidP="003C34D1"/>
        </w:tc>
        <w:tc>
          <w:tcPr>
            <w:tcW w:w="1116" w:type="dxa"/>
          </w:tcPr>
          <w:p w14:paraId="16694F7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485" w:type="dxa"/>
          </w:tcPr>
          <w:p w14:paraId="611A43CC"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12193</w:t>
            </w:r>
          </w:p>
        </w:tc>
        <w:tc>
          <w:tcPr>
            <w:tcW w:w="2324" w:type="dxa"/>
          </w:tcPr>
          <w:p w14:paraId="47A7D275"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0.62 (0.38–0.87)</w:t>
            </w:r>
          </w:p>
        </w:tc>
        <w:tc>
          <w:tcPr>
            <w:tcW w:w="2277" w:type="dxa"/>
          </w:tcPr>
          <w:p w14:paraId="0C41BB2F"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-0.06 (−0.24–0.12)</w:t>
            </w:r>
          </w:p>
        </w:tc>
      </w:tr>
      <w:tr w:rsidR="002779F0" w14:paraId="71A23779"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val="restart"/>
          </w:tcPr>
          <w:p w14:paraId="09BFBC53" w14:textId="77777777" w:rsidR="002779F0" w:rsidRDefault="002779F0" w:rsidP="003C34D1">
            <w:pPr>
              <w:pStyle w:val="Tablebody"/>
            </w:pPr>
            <w:r>
              <w:t>PLCO-ci alone</w:t>
            </w:r>
          </w:p>
        </w:tc>
        <w:tc>
          <w:tcPr>
            <w:tcW w:w="1116" w:type="dxa"/>
          </w:tcPr>
          <w:p w14:paraId="1BA86178"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w:t>
            </w:r>
          </w:p>
        </w:tc>
        <w:tc>
          <w:tcPr>
            <w:tcW w:w="1485" w:type="dxa"/>
          </w:tcPr>
          <w:p w14:paraId="25AFFD9B"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4579</w:t>
            </w:r>
          </w:p>
        </w:tc>
        <w:tc>
          <w:tcPr>
            <w:tcW w:w="2324" w:type="dxa"/>
          </w:tcPr>
          <w:p w14:paraId="6BA0E1F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0.90 (0.55–1.25)</w:t>
            </w:r>
          </w:p>
        </w:tc>
        <w:tc>
          <w:tcPr>
            <w:tcW w:w="2277" w:type="dxa"/>
          </w:tcPr>
          <w:p w14:paraId="1608FB6D"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0.16 (−0.08–0.39)</w:t>
            </w:r>
          </w:p>
        </w:tc>
      </w:tr>
      <w:tr w:rsidR="002779F0" w14:paraId="1000EFCF"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7737039B" w14:textId="77777777" w:rsidR="002779F0" w:rsidRDefault="002779F0" w:rsidP="003C34D1"/>
        </w:tc>
        <w:tc>
          <w:tcPr>
            <w:tcW w:w="1116" w:type="dxa"/>
          </w:tcPr>
          <w:p w14:paraId="14924BD2"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2</w:t>
            </w:r>
          </w:p>
        </w:tc>
        <w:tc>
          <w:tcPr>
            <w:tcW w:w="1485" w:type="dxa"/>
          </w:tcPr>
          <w:p w14:paraId="4B736A2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4641</w:t>
            </w:r>
          </w:p>
        </w:tc>
        <w:tc>
          <w:tcPr>
            <w:tcW w:w="2324" w:type="dxa"/>
          </w:tcPr>
          <w:p w14:paraId="25BCB3E9"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0.97 (0.54–1.40)</w:t>
            </w:r>
          </w:p>
        </w:tc>
        <w:tc>
          <w:tcPr>
            <w:tcW w:w="2277" w:type="dxa"/>
          </w:tcPr>
          <w:p w14:paraId="534EC5A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-0.10 (−0.34–0.14)</w:t>
            </w:r>
          </w:p>
        </w:tc>
      </w:tr>
      <w:tr w:rsidR="002779F0" w14:paraId="3B6B7294"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0EFC99C4" w14:textId="77777777" w:rsidR="002779F0" w:rsidRDefault="002779F0" w:rsidP="003C34D1"/>
        </w:tc>
        <w:tc>
          <w:tcPr>
            <w:tcW w:w="1116" w:type="dxa"/>
          </w:tcPr>
          <w:p w14:paraId="0BA3A536"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w:t>
            </w:r>
          </w:p>
        </w:tc>
        <w:tc>
          <w:tcPr>
            <w:tcW w:w="1485" w:type="dxa"/>
          </w:tcPr>
          <w:p w14:paraId="2005B42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3077</w:t>
            </w:r>
          </w:p>
        </w:tc>
        <w:tc>
          <w:tcPr>
            <w:tcW w:w="2324" w:type="dxa"/>
          </w:tcPr>
          <w:p w14:paraId="15DD041A"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0.54 (0.19–0.89)</w:t>
            </w:r>
          </w:p>
        </w:tc>
        <w:tc>
          <w:tcPr>
            <w:tcW w:w="2277" w:type="dxa"/>
          </w:tcPr>
          <w:p w14:paraId="5AF31B4E"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-0.23 (−0.53–0.07)</w:t>
            </w:r>
          </w:p>
        </w:tc>
      </w:tr>
      <w:tr w:rsidR="002779F0" w14:paraId="5E9EC200" w14:textId="77777777" w:rsidTr="003C34D1">
        <w:trPr>
          <w:trHeight w:val="300"/>
        </w:trPr>
        <w:tc>
          <w:tcPr>
            <w:cnfStyle w:val="001000000000" w:firstRow="0" w:lastRow="0" w:firstColumn="1" w:lastColumn="0" w:oddVBand="0" w:evenVBand="0" w:oddHBand="0" w:evenHBand="0" w:firstRowFirstColumn="0" w:firstRowLastColumn="0" w:lastRowFirstColumn="0" w:lastRowLastColumn="0"/>
            <w:tcW w:w="2355" w:type="dxa"/>
            <w:vMerge/>
          </w:tcPr>
          <w:p w14:paraId="2417592E" w14:textId="77777777" w:rsidR="002779F0" w:rsidRDefault="002779F0" w:rsidP="003C34D1"/>
        </w:tc>
        <w:tc>
          <w:tcPr>
            <w:tcW w:w="1116" w:type="dxa"/>
          </w:tcPr>
          <w:p w14:paraId="2EC50324"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Pooled</w:t>
            </w:r>
          </w:p>
        </w:tc>
        <w:tc>
          <w:tcPr>
            <w:tcW w:w="1485" w:type="dxa"/>
          </w:tcPr>
          <w:p w14:paraId="5716563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12297</w:t>
            </w:r>
          </w:p>
        </w:tc>
        <w:tc>
          <w:tcPr>
            <w:tcW w:w="2324" w:type="dxa"/>
          </w:tcPr>
          <w:p w14:paraId="0EF66987"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0.79 (0.52–1.06)</w:t>
            </w:r>
          </w:p>
        </w:tc>
        <w:tc>
          <w:tcPr>
            <w:tcW w:w="2277" w:type="dxa"/>
          </w:tcPr>
          <w:p w14:paraId="1E3B28F3" w14:textId="77777777" w:rsidR="002779F0" w:rsidRDefault="002779F0" w:rsidP="003C34D1">
            <w:pPr>
              <w:pStyle w:val="Tablebody"/>
              <w:cnfStyle w:val="000000000000" w:firstRow="0" w:lastRow="0" w:firstColumn="0" w:lastColumn="0" w:oddVBand="0" w:evenVBand="0" w:oddHBand="0" w:evenHBand="0" w:firstRowFirstColumn="0" w:firstRowLastColumn="0" w:lastRowFirstColumn="0" w:lastRowLastColumn="0"/>
            </w:pPr>
            <w:r>
              <w:t>-0.04 (−0.26–0.18)</w:t>
            </w:r>
          </w:p>
        </w:tc>
      </w:tr>
    </w:tbl>
    <w:p w14:paraId="0B855E08" w14:textId="66C54659" w:rsidR="00B13C75" w:rsidRDefault="00B13C75" w:rsidP="003B4C19">
      <w:pPr>
        <w:pStyle w:val="Caption"/>
      </w:pPr>
      <w:bookmarkStart w:id="49" w:name="_Ref237006879"/>
      <w:bookmarkStart w:id="50" w:name="_Toc236995704"/>
      <w:bookmarkStart w:id="51" w:name="_Toc237015196"/>
      <w:r>
        <w:t xml:space="preserve">Supplementary Table </w:t>
      </w:r>
      <w:fldSimple w:instr=" SEQ Supplementary_Table \* ARABIC ">
        <w:r w:rsidR="00AC2EF6">
          <w:rPr>
            <w:noProof/>
          </w:rPr>
          <w:t>14</w:t>
        </w:r>
      </w:fldSimple>
      <w:bookmarkEnd w:id="49"/>
      <w:r w:rsidR="003067D6" w:rsidRPr="4B29E1AF">
        <w:rPr>
          <w:b/>
          <w:bCs/>
        </w:rPr>
        <w:t xml:space="preserve">. </w:t>
      </w:r>
      <w:r w:rsidR="003067D6" w:rsidRPr="00B13C75">
        <w:t>Calibration slope and intercept for non-LC-related death, comparing established risk tools (PLCO-ci, LYFS-CT) with the Base and Base + Age gap models, in IECV clusters and pooled estimate in random effects meta-analysis, 2-year time horizon.</w:t>
      </w:r>
      <w:bookmarkEnd w:id="50"/>
      <w:bookmarkEnd w:id="51"/>
    </w:p>
    <w:p w14:paraId="16751F31" w14:textId="77777777" w:rsidR="003067D6" w:rsidRDefault="003067D6" w:rsidP="003B4C19">
      <w:pPr>
        <w:pStyle w:val="Caption"/>
        <w:rPr>
          <w:b/>
          <w:bCs/>
        </w:rPr>
      </w:pPr>
      <w:r>
        <w:t>CI: Confidence Interval; IECV: Internal-external cross validation; PLCO-ci: PLCO comorbidity index; LYFS-CT: non-lung-cancer-death risk derived from the LYFS-CT model.</w:t>
      </w:r>
    </w:p>
    <w:p w14:paraId="263A5CD1" w14:textId="77777777" w:rsidR="006E7FE7" w:rsidRDefault="004F1A2D">
      <w:pPr>
        <w:jc w:val="center"/>
      </w:pPr>
      <w:r>
        <w:rPr>
          <w:noProof/>
        </w:rPr>
        <w:lastRenderedPageBreak/>
        <w:drawing>
          <wp:inline distT="0" distB="0" distL="0" distR="0" wp14:anchorId="385BD78B" wp14:editId="3668B63B">
            <wp:extent cx="5486411" cy="6270184"/>
            <wp:effectExtent l="0" t="0" r="0" b="0"/>
            <wp:docPr id="2074198520" name="Picture 2074198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cv_meta_c_index_established_tools_nlcd_5yr.png"/>
                    <pic:cNvPicPr/>
                  </pic:nvPicPr>
                  <pic:blipFill>
                    <a:blip r:embed="rId19"/>
                    <a:stretch>
                      <a:fillRect/>
                    </a:stretch>
                  </pic:blipFill>
                  <pic:spPr>
                    <a:xfrm>
                      <a:off x="0" y="0"/>
                      <a:ext cx="5486411" cy="6270184"/>
                    </a:xfrm>
                    <a:prstGeom prst="rect">
                      <a:avLst/>
                    </a:prstGeom>
                  </pic:spPr>
                </pic:pic>
              </a:graphicData>
            </a:graphic>
          </wp:inline>
        </w:drawing>
      </w:r>
    </w:p>
    <w:p w14:paraId="28077261" w14:textId="5CF609D2" w:rsidR="003B4C19" w:rsidRPr="003B4C19" w:rsidRDefault="003B4C19" w:rsidP="003B4C19">
      <w:pPr>
        <w:pStyle w:val="Caption"/>
      </w:pPr>
      <w:bookmarkStart w:id="52" w:name="_Toc236995705"/>
      <w:bookmarkStart w:id="53" w:name="_Toc237015210"/>
      <w:r>
        <w:t xml:space="preserve">Supplementary Figure </w:t>
      </w:r>
      <w:fldSimple w:instr=" SEQ Supplementary_Figure \* ARABIC ">
        <w:r w:rsidR="00AC2EF6">
          <w:rPr>
            <w:noProof/>
          </w:rPr>
          <w:t>11</w:t>
        </w:r>
      </w:fldSimple>
      <w:r w:rsidR="00A40DBE" w:rsidRPr="003B4C19">
        <w:t>. Forest plot of competing risks model concordance for non-lung cancer death at 5 years, comparing established risk tools (PLCO-ci, LYFS-CT) with the Base and Base + Age gap models, by IECV clusters and random effects meta-analyzed estimates.</w:t>
      </w:r>
      <w:bookmarkEnd w:id="52"/>
      <w:bookmarkEnd w:id="53"/>
    </w:p>
    <w:p w14:paraId="40BBAC69" w14:textId="77777777" w:rsidR="006E7FE7" w:rsidRDefault="004F1A2D">
      <w:pPr>
        <w:jc w:val="center"/>
      </w:pPr>
      <w:r>
        <w:rPr>
          <w:noProof/>
        </w:rPr>
        <w:lastRenderedPageBreak/>
        <w:drawing>
          <wp:inline distT="0" distB="0" distL="0" distR="0" wp14:anchorId="6A23BAE4" wp14:editId="77C5A546">
            <wp:extent cx="5486411" cy="6270184"/>
            <wp:effectExtent l="0" t="0" r="0" b="0"/>
            <wp:docPr id="1305198393" name="Picture 1305198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cv_meta_c_index_established_tools_nlcd_2yr.png"/>
                    <pic:cNvPicPr/>
                  </pic:nvPicPr>
                  <pic:blipFill>
                    <a:blip r:embed="rId20"/>
                    <a:stretch>
                      <a:fillRect/>
                    </a:stretch>
                  </pic:blipFill>
                  <pic:spPr>
                    <a:xfrm>
                      <a:off x="0" y="0"/>
                      <a:ext cx="5486411" cy="6270184"/>
                    </a:xfrm>
                    <a:prstGeom prst="rect">
                      <a:avLst/>
                    </a:prstGeom>
                  </pic:spPr>
                </pic:pic>
              </a:graphicData>
            </a:graphic>
          </wp:inline>
        </w:drawing>
      </w:r>
    </w:p>
    <w:p w14:paraId="7AD20252" w14:textId="01BAE307" w:rsidR="00BD7115" w:rsidRDefault="003B4C19" w:rsidP="003B4C19">
      <w:pPr>
        <w:pStyle w:val="Caption"/>
      </w:pPr>
      <w:bookmarkStart w:id="54" w:name="_Toc236995706"/>
      <w:bookmarkStart w:id="55" w:name="_Toc237015211"/>
      <w:r>
        <w:t xml:space="preserve">Supplementary Figure </w:t>
      </w:r>
      <w:fldSimple w:instr=" SEQ Supplementary_Figure \* ARABIC ">
        <w:r w:rsidR="00AC2EF6">
          <w:rPr>
            <w:noProof/>
          </w:rPr>
          <w:t>12</w:t>
        </w:r>
      </w:fldSimple>
      <w:r w:rsidR="00A40DBE" w:rsidRPr="003B4C19">
        <w:t>. Forest plot of competing risks model concordance for non-lung cancer death at 2 years, comparing established risk tools (PLCO-ci, LYFS-CT) with the Base and Base + Age gap models, by IECV clusters and random effects meta-analyzed estimates.</w:t>
      </w:r>
      <w:bookmarkEnd w:id="54"/>
      <w:bookmarkEnd w:id="55"/>
    </w:p>
    <w:p w14:paraId="65AFFD3F" w14:textId="77777777" w:rsidR="00BD7115" w:rsidRDefault="00BD7115">
      <w:pPr>
        <w:spacing w:after="160" w:line="279" w:lineRule="auto"/>
      </w:pPr>
      <w:r>
        <w:br w:type="page"/>
      </w:r>
    </w:p>
    <w:p w14:paraId="2B9344A9" w14:textId="77777777" w:rsidR="002779F0" w:rsidRPr="002779F0" w:rsidRDefault="002779F0" w:rsidP="002779F0">
      <w:pPr>
        <w:pStyle w:val="Heading2"/>
      </w:pPr>
      <w:bookmarkStart w:id="56" w:name="_Toc237015179"/>
      <w:r w:rsidRPr="002779F0">
        <w:lastRenderedPageBreak/>
        <w:t>Subgroup analysis by ethnicity and socioeconomic deprivation</w:t>
      </w:r>
      <w:bookmarkEnd w:id="56"/>
    </w:p>
    <w:p w14:paraId="4BBDDB04" w14:textId="77777777" w:rsidR="003067D6" w:rsidRDefault="003067D6" w:rsidP="003067D6">
      <w:r>
        <w:t xml:space="preserve">To assess whether the combined clinical and age gap model performs differently for participants from more deprived backgrounds or from minority ethnic groups, discrimination and calibration for non-lung cancer death at 5 years were re-assessed within subgroups defined by socioeconomic deprivation (IMD quintile) and by ethnicity. Out-of-fold predicted risks from the internal-external cross-validation (IECV) framework used throughout the main analysis were used directly, rather than re-fitting the model separately within each subgroup, so that every participant’s risk estimate still came from a model that had not been trained on them, while avoiding unstable model fits in smaller subgroups. Ethnicity was collapsed to a binary White/non-white grouping, since the individual ethnicity categories recorded (each 2.2-7.3% of the cohort) were considered too small to support a </w:t>
      </w:r>
      <w:proofErr w:type="gramStart"/>
      <w:r>
        <w:t>reliable stratified</w:t>
      </w:r>
      <w:proofErr w:type="gramEnd"/>
      <w:r>
        <w:t xml:space="preserve"> analysis on their own. Within each subgroup, discrimination was assessed by time-dependent C-index at 5 years, and calibration by the ratio of the observed 5-year cumulative incidence (Aalen-Johansen estimator) to the mean model-predicted risk (</w:t>
      </w:r>
      <w:proofErr w:type="spellStart"/>
      <w:r>
        <w:t>observed:expected</w:t>
      </w:r>
      <w:proofErr w:type="spellEnd"/>
      <w:r>
        <w:t xml:space="preserve"> ratio</w:t>
      </w:r>
      <w:r w:rsidR="003F22FA">
        <w:t xml:space="preserve">, </w:t>
      </w:r>
      <w:proofErr w:type="gramStart"/>
      <w:r w:rsidR="003F22FA">
        <w:t>O:E</w:t>
      </w:r>
      <w:proofErr w:type="gramEnd"/>
      <w:r>
        <w:t xml:space="preserve">); an </w:t>
      </w:r>
      <w:r w:rsidR="003F22FA">
        <w:t>O:E</w:t>
      </w:r>
      <w:r>
        <w:t xml:space="preserve"> ratio above 1 indicates the model under-predicted risk for that subgroup, and a ratio below 1 indicates over-prediction.</w:t>
      </w:r>
    </w:p>
    <w:p w14:paraId="4D87F734" w14:textId="77777777" w:rsidR="00546ECE" w:rsidRDefault="00546ECE" w:rsidP="003067D6"/>
    <w:tbl>
      <w:tblPr>
        <w:tblStyle w:val="PlainTable3"/>
        <w:tblW w:w="5000" w:type="pct"/>
        <w:tblLook w:val="04A0" w:firstRow="1" w:lastRow="0" w:firstColumn="1" w:lastColumn="0" w:noHBand="0" w:noVBand="1"/>
      </w:tblPr>
      <w:tblGrid>
        <w:gridCol w:w="1768"/>
        <w:gridCol w:w="634"/>
        <w:gridCol w:w="1269"/>
        <w:gridCol w:w="1709"/>
        <w:gridCol w:w="1820"/>
        <w:gridCol w:w="933"/>
        <w:gridCol w:w="893"/>
      </w:tblGrid>
      <w:tr w:rsidR="003067D6" w14:paraId="0647E66D" w14:textId="77777777" w:rsidTr="005A381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74235C0E" w14:textId="77777777" w:rsidR="003067D6" w:rsidRDefault="003067D6" w:rsidP="003067D6">
            <w:pPr>
              <w:pStyle w:val="Tablebody"/>
            </w:pPr>
            <w:r>
              <w:t>IMD quintile</w:t>
            </w:r>
          </w:p>
        </w:tc>
        <w:tc>
          <w:tcPr>
            <w:tcW w:w="0" w:type="auto"/>
          </w:tcPr>
          <w:p w14:paraId="0B8F80F2" w14:textId="77777777" w:rsidR="003067D6" w:rsidRDefault="003067D6" w:rsidP="003067D6">
            <w:pPr>
              <w:pStyle w:val="Tablebody"/>
              <w:cnfStyle w:val="100000000000" w:firstRow="1" w:lastRow="0" w:firstColumn="0" w:lastColumn="0" w:oddVBand="0" w:evenVBand="0" w:oddHBand="0" w:evenHBand="0" w:firstRowFirstColumn="0" w:firstRowLastColumn="0" w:lastRowFirstColumn="0" w:lastRowLastColumn="0"/>
            </w:pPr>
            <w:r>
              <w:t>N</w:t>
            </w:r>
          </w:p>
        </w:tc>
        <w:tc>
          <w:tcPr>
            <w:tcW w:w="0" w:type="auto"/>
          </w:tcPr>
          <w:p w14:paraId="1B528122" w14:textId="77777777" w:rsidR="003067D6" w:rsidRDefault="003067D6" w:rsidP="003067D6">
            <w:pPr>
              <w:pStyle w:val="Tablebody"/>
              <w:cnfStyle w:val="100000000000" w:firstRow="1" w:lastRow="0" w:firstColumn="0" w:lastColumn="0" w:oddVBand="0" w:evenVBand="0" w:oddHBand="0" w:evenHBand="0" w:firstRowFirstColumn="0" w:firstRowLastColumn="0" w:lastRowFirstColumn="0" w:lastRowLastColumn="0"/>
            </w:pPr>
            <w:r>
              <w:t>Events (5yr)</w:t>
            </w:r>
          </w:p>
        </w:tc>
        <w:tc>
          <w:tcPr>
            <w:tcW w:w="0" w:type="auto"/>
          </w:tcPr>
          <w:p w14:paraId="4730B830" w14:textId="77777777" w:rsidR="003067D6" w:rsidRDefault="003067D6" w:rsidP="003067D6">
            <w:pPr>
              <w:pStyle w:val="Tablebody"/>
              <w:cnfStyle w:val="100000000000" w:firstRow="1" w:lastRow="0" w:firstColumn="0" w:lastColumn="0" w:oddVBand="0" w:evenVBand="0" w:oddHBand="0" w:evenHBand="0" w:firstRowFirstColumn="0" w:firstRowLastColumn="0" w:lastRowFirstColumn="0" w:lastRowLastColumn="0"/>
            </w:pPr>
            <w:r>
              <w:t>Observed CIF, %</w:t>
            </w:r>
          </w:p>
        </w:tc>
        <w:tc>
          <w:tcPr>
            <w:tcW w:w="1008" w:type="pct"/>
          </w:tcPr>
          <w:p w14:paraId="3316E42D" w14:textId="77777777" w:rsidR="003067D6" w:rsidRDefault="003067D6" w:rsidP="003067D6">
            <w:pPr>
              <w:pStyle w:val="Tablebody"/>
              <w:cnfStyle w:val="100000000000" w:firstRow="1" w:lastRow="0" w:firstColumn="0" w:lastColumn="0" w:oddVBand="0" w:evenVBand="0" w:oddHBand="0" w:evenHBand="0" w:firstRowFirstColumn="0" w:firstRowLastColumn="0" w:lastRowFirstColumn="0" w:lastRowLastColumn="0"/>
            </w:pPr>
            <w:r>
              <w:t>Mean predicted risk, %</w:t>
            </w:r>
          </w:p>
        </w:tc>
        <w:tc>
          <w:tcPr>
            <w:tcW w:w="517" w:type="pct"/>
          </w:tcPr>
          <w:p w14:paraId="103C6AEB" w14:textId="77777777" w:rsidR="003067D6" w:rsidRDefault="005A3813" w:rsidP="003067D6">
            <w:pPr>
              <w:pStyle w:val="Tablebody"/>
              <w:cnfStyle w:val="100000000000" w:firstRow="1" w:lastRow="0" w:firstColumn="0" w:lastColumn="0" w:oddVBand="0" w:evenVBand="0" w:oddHBand="0" w:evenHBand="0" w:firstRowFirstColumn="0" w:firstRowLastColumn="0" w:lastRowFirstColumn="0" w:lastRowLastColumn="0"/>
            </w:pPr>
            <w:proofErr w:type="gramStart"/>
            <w:r>
              <w:t>O:E</w:t>
            </w:r>
            <w:proofErr w:type="gramEnd"/>
          </w:p>
        </w:tc>
        <w:tc>
          <w:tcPr>
            <w:tcW w:w="0" w:type="auto"/>
          </w:tcPr>
          <w:p w14:paraId="78DE614E" w14:textId="77777777" w:rsidR="003067D6" w:rsidRDefault="003067D6" w:rsidP="003067D6">
            <w:pPr>
              <w:pStyle w:val="Tablebody"/>
              <w:cnfStyle w:val="100000000000" w:firstRow="1" w:lastRow="0" w:firstColumn="0" w:lastColumn="0" w:oddVBand="0" w:evenVBand="0" w:oddHBand="0" w:evenHBand="0" w:firstRowFirstColumn="0" w:firstRowLastColumn="0" w:lastRowFirstColumn="0" w:lastRowLastColumn="0"/>
            </w:pPr>
            <w:r>
              <w:t>C-index</w:t>
            </w:r>
          </w:p>
        </w:tc>
      </w:tr>
      <w:tr w:rsidR="003067D6" w14:paraId="5234517E" w14:textId="77777777" w:rsidTr="005A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5F8518" w14:textId="77777777" w:rsidR="003067D6" w:rsidRDefault="003067D6" w:rsidP="003067D6">
            <w:pPr>
              <w:pStyle w:val="Tablebody"/>
            </w:pPr>
            <w:r>
              <w:t>1 (most deprived)</w:t>
            </w:r>
          </w:p>
        </w:tc>
        <w:tc>
          <w:tcPr>
            <w:tcW w:w="0" w:type="auto"/>
          </w:tcPr>
          <w:p w14:paraId="5E81A49C"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3913</w:t>
            </w:r>
          </w:p>
        </w:tc>
        <w:tc>
          <w:tcPr>
            <w:tcW w:w="0" w:type="auto"/>
          </w:tcPr>
          <w:p w14:paraId="2E94EC09"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277</w:t>
            </w:r>
          </w:p>
        </w:tc>
        <w:tc>
          <w:tcPr>
            <w:tcW w:w="0" w:type="auto"/>
          </w:tcPr>
          <w:p w14:paraId="222FD64F"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7.4</w:t>
            </w:r>
          </w:p>
        </w:tc>
        <w:tc>
          <w:tcPr>
            <w:tcW w:w="1008" w:type="pct"/>
          </w:tcPr>
          <w:p w14:paraId="203D61A7"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6.4</w:t>
            </w:r>
          </w:p>
        </w:tc>
        <w:tc>
          <w:tcPr>
            <w:tcW w:w="517" w:type="pct"/>
          </w:tcPr>
          <w:p w14:paraId="6DD80C0C"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1.16</w:t>
            </w:r>
          </w:p>
        </w:tc>
        <w:tc>
          <w:tcPr>
            <w:tcW w:w="0" w:type="auto"/>
          </w:tcPr>
          <w:p w14:paraId="14531409"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0.66</w:t>
            </w:r>
          </w:p>
        </w:tc>
      </w:tr>
      <w:tr w:rsidR="003067D6" w14:paraId="5DAD689E" w14:textId="77777777" w:rsidTr="005A3813">
        <w:tc>
          <w:tcPr>
            <w:cnfStyle w:val="001000000000" w:firstRow="0" w:lastRow="0" w:firstColumn="1" w:lastColumn="0" w:oddVBand="0" w:evenVBand="0" w:oddHBand="0" w:evenHBand="0" w:firstRowFirstColumn="0" w:firstRowLastColumn="0" w:lastRowFirstColumn="0" w:lastRowLastColumn="0"/>
            <w:tcW w:w="0" w:type="auto"/>
          </w:tcPr>
          <w:p w14:paraId="3C273FC4" w14:textId="77777777" w:rsidR="003067D6" w:rsidRDefault="003067D6" w:rsidP="003067D6">
            <w:pPr>
              <w:pStyle w:val="Tablebody"/>
            </w:pPr>
            <w:r>
              <w:t>2</w:t>
            </w:r>
          </w:p>
        </w:tc>
        <w:tc>
          <w:tcPr>
            <w:tcW w:w="0" w:type="auto"/>
          </w:tcPr>
          <w:p w14:paraId="48C618BF"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3648</w:t>
            </w:r>
          </w:p>
        </w:tc>
        <w:tc>
          <w:tcPr>
            <w:tcW w:w="0" w:type="auto"/>
          </w:tcPr>
          <w:p w14:paraId="72B0295B"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232</w:t>
            </w:r>
          </w:p>
        </w:tc>
        <w:tc>
          <w:tcPr>
            <w:tcW w:w="0" w:type="auto"/>
          </w:tcPr>
          <w:p w14:paraId="6B2F7D52"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6.7</w:t>
            </w:r>
          </w:p>
        </w:tc>
        <w:tc>
          <w:tcPr>
            <w:tcW w:w="1008" w:type="pct"/>
          </w:tcPr>
          <w:p w14:paraId="17E796F9"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6.5</w:t>
            </w:r>
          </w:p>
        </w:tc>
        <w:tc>
          <w:tcPr>
            <w:tcW w:w="517" w:type="pct"/>
          </w:tcPr>
          <w:p w14:paraId="2A977C64"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1.02</w:t>
            </w:r>
          </w:p>
        </w:tc>
        <w:tc>
          <w:tcPr>
            <w:tcW w:w="0" w:type="auto"/>
          </w:tcPr>
          <w:p w14:paraId="108BC912"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0.63</w:t>
            </w:r>
          </w:p>
        </w:tc>
      </w:tr>
      <w:tr w:rsidR="003067D6" w14:paraId="4F2DB869" w14:textId="77777777" w:rsidTr="005A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934E43" w14:textId="77777777" w:rsidR="003067D6" w:rsidRDefault="003067D6" w:rsidP="003067D6">
            <w:pPr>
              <w:pStyle w:val="Tablebody"/>
            </w:pPr>
            <w:r>
              <w:t>3</w:t>
            </w:r>
          </w:p>
        </w:tc>
        <w:tc>
          <w:tcPr>
            <w:tcW w:w="0" w:type="auto"/>
          </w:tcPr>
          <w:p w14:paraId="0E2E4A84"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2163</w:t>
            </w:r>
          </w:p>
        </w:tc>
        <w:tc>
          <w:tcPr>
            <w:tcW w:w="0" w:type="auto"/>
          </w:tcPr>
          <w:p w14:paraId="20ED6C31"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126</w:t>
            </w:r>
          </w:p>
        </w:tc>
        <w:tc>
          <w:tcPr>
            <w:tcW w:w="0" w:type="auto"/>
          </w:tcPr>
          <w:p w14:paraId="4F5C5D28"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6.2</w:t>
            </w:r>
          </w:p>
        </w:tc>
        <w:tc>
          <w:tcPr>
            <w:tcW w:w="1008" w:type="pct"/>
          </w:tcPr>
          <w:p w14:paraId="256E9AB4"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6.9</w:t>
            </w:r>
          </w:p>
        </w:tc>
        <w:tc>
          <w:tcPr>
            <w:tcW w:w="517" w:type="pct"/>
          </w:tcPr>
          <w:p w14:paraId="1F31B6B2"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0.90</w:t>
            </w:r>
          </w:p>
        </w:tc>
        <w:tc>
          <w:tcPr>
            <w:tcW w:w="0" w:type="auto"/>
          </w:tcPr>
          <w:p w14:paraId="513A9332"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0.61</w:t>
            </w:r>
          </w:p>
        </w:tc>
      </w:tr>
      <w:tr w:rsidR="003067D6" w14:paraId="7CB4CDC9" w14:textId="77777777" w:rsidTr="005A3813">
        <w:tc>
          <w:tcPr>
            <w:cnfStyle w:val="001000000000" w:firstRow="0" w:lastRow="0" w:firstColumn="1" w:lastColumn="0" w:oddVBand="0" w:evenVBand="0" w:oddHBand="0" w:evenHBand="0" w:firstRowFirstColumn="0" w:firstRowLastColumn="0" w:lastRowFirstColumn="0" w:lastRowLastColumn="0"/>
            <w:tcW w:w="0" w:type="auto"/>
          </w:tcPr>
          <w:p w14:paraId="2808666B" w14:textId="77777777" w:rsidR="003067D6" w:rsidRDefault="003067D6" w:rsidP="003067D6">
            <w:pPr>
              <w:pStyle w:val="Tablebody"/>
            </w:pPr>
            <w:r>
              <w:t>4</w:t>
            </w:r>
          </w:p>
        </w:tc>
        <w:tc>
          <w:tcPr>
            <w:tcW w:w="0" w:type="auto"/>
          </w:tcPr>
          <w:p w14:paraId="654DDB47"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1828</w:t>
            </w:r>
          </w:p>
        </w:tc>
        <w:tc>
          <w:tcPr>
            <w:tcW w:w="0" w:type="auto"/>
          </w:tcPr>
          <w:p w14:paraId="76E22CC6"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92</w:t>
            </w:r>
          </w:p>
        </w:tc>
        <w:tc>
          <w:tcPr>
            <w:tcW w:w="0" w:type="auto"/>
          </w:tcPr>
          <w:p w14:paraId="5DDC9D0B"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5.2</w:t>
            </w:r>
          </w:p>
        </w:tc>
        <w:tc>
          <w:tcPr>
            <w:tcW w:w="1008" w:type="pct"/>
          </w:tcPr>
          <w:p w14:paraId="7381853C"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6.5</w:t>
            </w:r>
          </w:p>
        </w:tc>
        <w:tc>
          <w:tcPr>
            <w:tcW w:w="517" w:type="pct"/>
          </w:tcPr>
          <w:p w14:paraId="4AE1519F"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0.80</w:t>
            </w:r>
          </w:p>
        </w:tc>
        <w:tc>
          <w:tcPr>
            <w:tcW w:w="0" w:type="auto"/>
          </w:tcPr>
          <w:p w14:paraId="4105204C"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0.65</w:t>
            </w:r>
          </w:p>
        </w:tc>
      </w:tr>
      <w:tr w:rsidR="003067D6" w14:paraId="77DB3627" w14:textId="77777777" w:rsidTr="005A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47917B" w14:textId="77777777" w:rsidR="003067D6" w:rsidRDefault="003067D6" w:rsidP="003067D6">
            <w:pPr>
              <w:pStyle w:val="Tablebody"/>
            </w:pPr>
            <w:r>
              <w:t>5 (least deprived)</w:t>
            </w:r>
          </w:p>
        </w:tc>
        <w:tc>
          <w:tcPr>
            <w:tcW w:w="0" w:type="auto"/>
          </w:tcPr>
          <w:p w14:paraId="37A4E018"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617</w:t>
            </w:r>
          </w:p>
        </w:tc>
        <w:tc>
          <w:tcPr>
            <w:tcW w:w="0" w:type="auto"/>
          </w:tcPr>
          <w:p w14:paraId="4B35CC57"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32</w:t>
            </w:r>
          </w:p>
        </w:tc>
        <w:tc>
          <w:tcPr>
            <w:tcW w:w="0" w:type="auto"/>
          </w:tcPr>
          <w:p w14:paraId="69ECF45A"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5.4</w:t>
            </w:r>
          </w:p>
        </w:tc>
        <w:tc>
          <w:tcPr>
            <w:tcW w:w="1008" w:type="pct"/>
          </w:tcPr>
          <w:p w14:paraId="42671D3A"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6.2</w:t>
            </w:r>
          </w:p>
        </w:tc>
        <w:tc>
          <w:tcPr>
            <w:tcW w:w="517" w:type="pct"/>
          </w:tcPr>
          <w:p w14:paraId="08D90F91"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0.88</w:t>
            </w:r>
          </w:p>
        </w:tc>
        <w:tc>
          <w:tcPr>
            <w:tcW w:w="0" w:type="auto"/>
          </w:tcPr>
          <w:p w14:paraId="0A36EAD2"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0.70</w:t>
            </w:r>
          </w:p>
        </w:tc>
      </w:tr>
    </w:tbl>
    <w:p w14:paraId="2FB97B64" w14:textId="77777777" w:rsidR="003067D6" w:rsidRDefault="003067D6" w:rsidP="003067D6"/>
    <w:p w14:paraId="79BF83AA" w14:textId="7994C4DF" w:rsidR="000A47F8" w:rsidRDefault="000A47F8" w:rsidP="000A47F8">
      <w:pPr>
        <w:pStyle w:val="Caption"/>
      </w:pPr>
      <w:bookmarkStart w:id="57" w:name="_Toc237015197"/>
      <w:r>
        <w:t xml:space="preserve">Supplementary Table </w:t>
      </w:r>
      <w:fldSimple w:instr=" SEQ Supplementary_Table \* ARABIC ">
        <w:r w:rsidR="00AC2EF6">
          <w:rPr>
            <w:noProof/>
          </w:rPr>
          <w:t>15</w:t>
        </w:r>
      </w:fldSimple>
      <w:r w:rsidR="003067D6">
        <w:t>. Discrimination and calibration of the combined clinical and age gap model for non-lung cancer death at 5 years, by IMD quintile.</w:t>
      </w:r>
      <w:bookmarkEnd w:id="57"/>
      <w:r w:rsidR="003067D6">
        <w:t xml:space="preserve"> </w:t>
      </w:r>
    </w:p>
    <w:p w14:paraId="432B16E1" w14:textId="77777777" w:rsidR="005A3813" w:rsidRDefault="003067D6" w:rsidP="000A47F8">
      <w:pPr>
        <w:pStyle w:val="Caption"/>
      </w:pPr>
      <w:r>
        <w:t xml:space="preserve">IMD: Index of Multiple Deprivation; CIF: cumulative incidence function. </w:t>
      </w:r>
      <w:proofErr w:type="spellStart"/>
      <w:proofErr w:type="gramStart"/>
      <w:r w:rsidR="005A3813">
        <w:t>Observed:Expected</w:t>
      </w:r>
      <w:proofErr w:type="spellEnd"/>
      <w:proofErr w:type="gramEnd"/>
      <w:r w:rsidR="005A3813">
        <w:t xml:space="preserve">, </w:t>
      </w:r>
      <w:r>
        <w:t>O</w:t>
      </w:r>
      <w:r w:rsidR="003F22FA">
        <w:t>:E</w:t>
      </w:r>
      <w:r>
        <w:t xml:space="preserve"> ratio &gt;1 indicates the model under-predicted risk for that subgroup; &lt;1 indicates over-prediction. Predictions are out-of-fold estimates from the internal-external cross-validation used throughout the main analysis.</w:t>
      </w:r>
    </w:p>
    <w:p w14:paraId="671994F8" w14:textId="77777777" w:rsidR="005A3813" w:rsidRDefault="005A3813">
      <w:pPr>
        <w:spacing w:after="160" w:line="279" w:lineRule="auto"/>
      </w:pPr>
      <w:r>
        <w:br w:type="page"/>
      </w:r>
    </w:p>
    <w:p w14:paraId="5B74E920" w14:textId="77777777" w:rsidR="002779F0" w:rsidRPr="002779F0" w:rsidRDefault="002779F0" w:rsidP="002779F0"/>
    <w:tbl>
      <w:tblPr>
        <w:tblStyle w:val="PlainTable3"/>
        <w:tblW w:w="5000" w:type="pct"/>
        <w:tblLook w:val="04A0" w:firstRow="1" w:lastRow="0" w:firstColumn="1" w:lastColumn="0" w:noHBand="0" w:noVBand="1"/>
      </w:tblPr>
      <w:tblGrid>
        <w:gridCol w:w="1194"/>
        <w:gridCol w:w="756"/>
        <w:gridCol w:w="1352"/>
        <w:gridCol w:w="1823"/>
        <w:gridCol w:w="1894"/>
        <w:gridCol w:w="1078"/>
        <w:gridCol w:w="929"/>
      </w:tblGrid>
      <w:tr w:rsidR="003067D6" w14:paraId="1706D22C" w14:textId="77777777" w:rsidTr="005A381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2F205435" w14:textId="77777777" w:rsidR="003067D6" w:rsidRDefault="003067D6" w:rsidP="003067D6">
            <w:pPr>
              <w:pStyle w:val="Tablebody"/>
            </w:pPr>
            <w:r>
              <w:t>Ethnicity</w:t>
            </w:r>
          </w:p>
        </w:tc>
        <w:tc>
          <w:tcPr>
            <w:tcW w:w="0" w:type="auto"/>
          </w:tcPr>
          <w:p w14:paraId="064B3818" w14:textId="77777777" w:rsidR="003067D6" w:rsidRDefault="003067D6" w:rsidP="003067D6">
            <w:pPr>
              <w:pStyle w:val="Tablebody"/>
              <w:cnfStyle w:val="100000000000" w:firstRow="1" w:lastRow="0" w:firstColumn="0" w:lastColumn="0" w:oddVBand="0" w:evenVBand="0" w:oddHBand="0" w:evenHBand="0" w:firstRowFirstColumn="0" w:firstRowLastColumn="0" w:lastRowFirstColumn="0" w:lastRowLastColumn="0"/>
            </w:pPr>
            <w:r>
              <w:t>N</w:t>
            </w:r>
          </w:p>
        </w:tc>
        <w:tc>
          <w:tcPr>
            <w:tcW w:w="0" w:type="auto"/>
          </w:tcPr>
          <w:p w14:paraId="0EB3A519" w14:textId="77777777" w:rsidR="003067D6" w:rsidRDefault="003067D6" w:rsidP="003067D6">
            <w:pPr>
              <w:pStyle w:val="Tablebody"/>
              <w:cnfStyle w:val="100000000000" w:firstRow="1" w:lastRow="0" w:firstColumn="0" w:lastColumn="0" w:oddVBand="0" w:evenVBand="0" w:oddHBand="0" w:evenHBand="0" w:firstRowFirstColumn="0" w:firstRowLastColumn="0" w:lastRowFirstColumn="0" w:lastRowLastColumn="0"/>
            </w:pPr>
            <w:r>
              <w:t>Events (5yr)</w:t>
            </w:r>
          </w:p>
        </w:tc>
        <w:tc>
          <w:tcPr>
            <w:tcW w:w="0" w:type="auto"/>
          </w:tcPr>
          <w:p w14:paraId="1CD16249" w14:textId="77777777" w:rsidR="003067D6" w:rsidRDefault="003067D6" w:rsidP="003067D6">
            <w:pPr>
              <w:pStyle w:val="Tablebody"/>
              <w:cnfStyle w:val="100000000000" w:firstRow="1" w:lastRow="0" w:firstColumn="0" w:lastColumn="0" w:oddVBand="0" w:evenVBand="0" w:oddHBand="0" w:evenHBand="0" w:firstRowFirstColumn="0" w:firstRowLastColumn="0" w:lastRowFirstColumn="0" w:lastRowLastColumn="0"/>
            </w:pPr>
            <w:r>
              <w:t>Observed CIF, %</w:t>
            </w:r>
          </w:p>
        </w:tc>
        <w:tc>
          <w:tcPr>
            <w:tcW w:w="1049" w:type="pct"/>
          </w:tcPr>
          <w:p w14:paraId="27B458D2" w14:textId="77777777" w:rsidR="003067D6" w:rsidRDefault="003067D6" w:rsidP="003067D6">
            <w:pPr>
              <w:pStyle w:val="Tablebody"/>
              <w:cnfStyle w:val="100000000000" w:firstRow="1" w:lastRow="0" w:firstColumn="0" w:lastColumn="0" w:oddVBand="0" w:evenVBand="0" w:oddHBand="0" w:evenHBand="0" w:firstRowFirstColumn="0" w:firstRowLastColumn="0" w:lastRowFirstColumn="0" w:lastRowLastColumn="0"/>
            </w:pPr>
            <w:r>
              <w:t>Mean predicted risk, %</w:t>
            </w:r>
          </w:p>
        </w:tc>
        <w:tc>
          <w:tcPr>
            <w:tcW w:w="597" w:type="pct"/>
          </w:tcPr>
          <w:p w14:paraId="4CC04302" w14:textId="77777777" w:rsidR="003067D6" w:rsidRDefault="005A3813" w:rsidP="003067D6">
            <w:pPr>
              <w:pStyle w:val="Tablebody"/>
              <w:cnfStyle w:val="100000000000" w:firstRow="1" w:lastRow="0" w:firstColumn="0" w:lastColumn="0" w:oddVBand="0" w:evenVBand="0" w:oddHBand="0" w:evenHBand="0" w:firstRowFirstColumn="0" w:firstRowLastColumn="0" w:lastRowFirstColumn="0" w:lastRowLastColumn="0"/>
            </w:pPr>
            <w:proofErr w:type="gramStart"/>
            <w:r>
              <w:t>O:E</w:t>
            </w:r>
            <w:proofErr w:type="gramEnd"/>
          </w:p>
        </w:tc>
        <w:tc>
          <w:tcPr>
            <w:tcW w:w="0" w:type="auto"/>
          </w:tcPr>
          <w:p w14:paraId="06D791F3" w14:textId="77777777" w:rsidR="003067D6" w:rsidRDefault="003067D6" w:rsidP="003067D6">
            <w:pPr>
              <w:pStyle w:val="Tablebody"/>
              <w:cnfStyle w:val="100000000000" w:firstRow="1" w:lastRow="0" w:firstColumn="0" w:lastColumn="0" w:oddVBand="0" w:evenVBand="0" w:oddHBand="0" w:evenHBand="0" w:firstRowFirstColumn="0" w:firstRowLastColumn="0" w:lastRowFirstColumn="0" w:lastRowLastColumn="0"/>
            </w:pPr>
            <w:r>
              <w:t>C-index</w:t>
            </w:r>
          </w:p>
        </w:tc>
      </w:tr>
      <w:tr w:rsidR="003067D6" w14:paraId="6C68FDC9" w14:textId="77777777" w:rsidTr="005A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B9B2FB" w14:textId="77777777" w:rsidR="003067D6" w:rsidRDefault="003067D6" w:rsidP="003067D6">
            <w:pPr>
              <w:pStyle w:val="Tablebody"/>
            </w:pPr>
            <w:r>
              <w:t>Non-white</w:t>
            </w:r>
          </w:p>
        </w:tc>
        <w:tc>
          <w:tcPr>
            <w:tcW w:w="0" w:type="auto"/>
          </w:tcPr>
          <w:p w14:paraId="1E142E96"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1895</w:t>
            </w:r>
          </w:p>
        </w:tc>
        <w:tc>
          <w:tcPr>
            <w:tcW w:w="0" w:type="auto"/>
          </w:tcPr>
          <w:p w14:paraId="074BFD73"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109</w:t>
            </w:r>
          </w:p>
        </w:tc>
        <w:tc>
          <w:tcPr>
            <w:tcW w:w="0" w:type="auto"/>
          </w:tcPr>
          <w:p w14:paraId="0946C6CC"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5.9</w:t>
            </w:r>
          </w:p>
        </w:tc>
        <w:tc>
          <w:tcPr>
            <w:tcW w:w="1049" w:type="pct"/>
          </w:tcPr>
          <w:p w14:paraId="7B45456A"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5.2</w:t>
            </w:r>
          </w:p>
        </w:tc>
        <w:tc>
          <w:tcPr>
            <w:tcW w:w="597" w:type="pct"/>
          </w:tcPr>
          <w:p w14:paraId="2B84F463"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1.13</w:t>
            </w:r>
          </w:p>
        </w:tc>
        <w:tc>
          <w:tcPr>
            <w:tcW w:w="0" w:type="auto"/>
          </w:tcPr>
          <w:p w14:paraId="26A03DA1" w14:textId="77777777" w:rsidR="003067D6" w:rsidRDefault="003067D6" w:rsidP="003067D6">
            <w:pPr>
              <w:pStyle w:val="Tablebody"/>
              <w:cnfStyle w:val="000000100000" w:firstRow="0" w:lastRow="0" w:firstColumn="0" w:lastColumn="0" w:oddVBand="0" w:evenVBand="0" w:oddHBand="1" w:evenHBand="0" w:firstRowFirstColumn="0" w:firstRowLastColumn="0" w:lastRowFirstColumn="0" w:lastRowLastColumn="0"/>
            </w:pPr>
            <w:r>
              <w:t>0.65</w:t>
            </w:r>
          </w:p>
        </w:tc>
      </w:tr>
      <w:tr w:rsidR="003067D6" w14:paraId="1373E3B3" w14:textId="77777777" w:rsidTr="005A3813">
        <w:tc>
          <w:tcPr>
            <w:cnfStyle w:val="001000000000" w:firstRow="0" w:lastRow="0" w:firstColumn="1" w:lastColumn="0" w:oddVBand="0" w:evenVBand="0" w:oddHBand="0" w:evenHBand="0" w:firstRowFirstColumn="0" w:firstRowLastColumn="0" w:lastRowFirstColumn="0" w:lastRowLastColumn="0"/>
            <w:tcW w:w="0" w:type="auto"/>
          </w:tcPr>
          <w:p w14:paraId="12DCFFFC" w14:textId="77777777" w:rsidR="003067D6" w:rsidRDefault="003067D6" w:rsidP="003067D6">
            <w:pPr>
              <w:pStyle w:val="Tablebody"/>
            </w:pPr>
            <w:r>
              <w:t>White</w:t>
            </w:r>
          </w:p>
        </w:tc>
        <w:tc>
          <w:tcPr>
            <w:tcW w:w="0" w:type="auto"/>
          </w:tcPr>
          <w:p w14:paraId="435512AE"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10405</w:t>
            </w:r>
          </w:p>
        </w:tc>
        <w:tc>
          <w:tcPr>
            <w:tcW w:w="0" w:type="auto"/>
          </w:tcPr>
          <w:p w14:paraId="31BA7687"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654</w:t>
            </w:r>
          </w:p>
        </w:tc>
        <w:tc>
          <w:tcPr>
            <w:tcW w:w="0" w:type="auto"/>
          </w:tcPr>
          <w:p w14:paraId="5961E04C"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6.6</w:t>
            </w:r>
          </w:p>
        </w:tc>
        <w:tc>
          <w:tcPr>
            <w:tcW w:w="1049" w:type="pct"/>
          </w:tcPr>
          <w:p w14:paraId="1AE6B9D9"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6.7</w:t>
            </w:r>
          </w:p>
        </w:tc>
        <w:tc>
          <w:tcPr>
            <w:tcW w:w="597" w:type="pct"/>
          </w:tcPr>
          <w:p w14:paraId="20748570"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0.98</w:t>
            </w:r>
          </w:p>
        </w:tc>
        <w:tc>
          <w:tcPr>
            <w:tcW w:w="0" w:type="auto"/>
          </w:tcPr>
          <w:p w14:paraId="312FD7BB" w14:textId="77777777" w:rsidR="003067D6" w:rsidRDefault="003067D6" w:rsidP="003067D6">
            <w:pPr>
              <w:pStyle w:val="Tablebody"/>
              <w:cnfStyle w:val="000000000000" w:firstRow="0" w:lastRow="0" w:firstColumn="0" w:lastColumn="0" w:oddVBand="0" w:evenVBand="0" w:oddHBand="0" w:evenHBand="0" w:firstRowFirstColumn="0" w:firstRowLastColumn="0" w:lastRowFirstColumn="0" w:lastRowLastColumn="0"/>
            </w:pPr>
            <w:r>
              <w:t>0.63</w:t>
            </w:r>
          </w:p>
        </w:tc>
      </w:tr>
    </w:tbl>
    <w:p w14:paraId="5FF2F76F" w14:textId="77777777" w:rsidR="002779F0" w:rsidRDefault="002779F0" w:rsidP="003B4C19">
      <w:pPr>
        <w:pStyle w:val="Caption"/>
      </w:pPr>
    </w:p>
    <w:p w14:paraId="070B3A04" w14:textId="129278C2" w:rsidR="000A47F8" w:rsidRDefault="000A47F8" w:rsidP="000A47F8">
      <w:pPr>
        <w:pStyle w:val="Caption"/>
      </w:pPr>
      <w:bookmarkStart w:id="58" w:name="_Toc237015198"/>
      <w:r>
        <w:t xml:space="preserve">Supplementary Table </w:t>
      </w:r>
      <w:fldSimple w:instr=" SEQ Supplementary_Table \* ARABIC ">
        <w:r w:rsidR="00AC2EF6">
          <w:rPr>
            <w:noProof/>
          </w:rPr>
          <w:t>16</w:t>
        </w:r>
      </w:fldSimple>
      <w:r w:rsidR="003067D6">
        <w:t>. Discrimination and calibration of the combined clinical and age gap model for non-lung cancer death at 5 years, by ethnicity (White vs. non-white).</w:t>
      </w:r>
      <w:bookmarkEnd w:id="58"/>
      <w:r w:rsidR="003067D6">
        <w:t xml:space="preserve"> </w:t>
      </w:r>
    </w:p>
    <w:p w14:paraId="54BD5304" w14:textId="77777777" w:rsidR="003067D6" w:rsidRDefault="003067D6" w:rsidP="003B4C19">
      <w:pPr>
        <w:pStyle w:val="Caption"/>
      </w:pPr>
      <w:r>
        <w:t>CIF: cumulative incidence function. O</w:t>
      </w:r>
      <w:r w:rsidR="003F22FA">
        <w:t>:E</w:t>
      </w:r>
      <w:r>
        <w:t xml:space="preserve"> ratio &gt;1 indicates the model under-predicted risk for that subgroup; &lt;1 indicates over-prediction. Predictions are out-of-fold estimates from the internal-external cross-validation used throughout the main analysis.</w:t>
      </w:r>
    </w:p>
    <w:p w14:paraId="7E2696B1" w14:textId="77777777" w:rsidR="002779F0" w:rsidRPr="002779F0" w:rsidRDefault="002779F0" w:rsidP="002779F0"/>
    <w:p w14:paraId="29700721" w14:textId="7AB91B39" w:rsidR="003067D6" w:rsidRDefault="003067D6" w:rsidP="003067D6">
      <w:r>
        <w:t>Discrimination did not differ materially by deprivation (C-index 0.61-0.70 across IMD quintiles) or by ethnicity (C-index 0.65 for non-white participants vs. 0.63 for White participants); subgroup sample sizes are smaller than the full-cohort analysis, particularly for IMD quintile 5 (N=617, 32 events) and for the non-white group (N=1,895, 109 events), so these estimates should be interpreted with appropriately wide confidence intervals in mind. Calibration showed a gradient across IMD quintiles, with the model under-predicting risk for the most deprived quintile (</w:t>
      </w:r>
      <w:r w:rsidR="003F22FA">
        <w:t>O:E</w:t>
      </w:r>
      <w:r>
        <w:t xml:space="preserve"> 1.16) and over-predicting for less deprived quintiles (</w:t>
      </w:r>
      <w:r w:rsidR="003F22FA">
        <w:t xml:space="preserve">O:E </w:t>
      </w:r>
      <w:r>
        <w:t>0.80-0.90); a similar pattern of under-prediction was seen for non-white participants (</w:t>
      </w:r>
      <w:r w:rsidR="003F22FA">
        <w:t>O:E</w:t>
      </w:r>
      <w:r>
        <w:t xml:space="preserve"> 1.13) relative to White participants (</w:t>
      </w:r>
      <w:r w:rsidR="003F22FA">
        <w:t>O:E</w:t>
      </w:r>
      <w:r>
        <w:t xml:space="preserve"> 0.98). In both cases the direction of miscalibration is that the model somewhat </w:t>
      </w:r>
      <w:r w:rsidRPr="003F22FA">
        <w:t>underestimates</w:t>
      </w:r>
      <w:r>
        <w:t xml:space="preserve"> rather than overestimates competing-mortality risk for more deprived and non-white participants, which does not support a mechanism by which the fitted, calibrated model would inflate risk estimates and disproportionately recommend reduced screening intensity for these groups specifically. This finding does not, however, remove the separate observation that age gap itself, as a raw predictor independent of the fitted model, remains associated with greater deprivation and lower educational attainment in this cohort (</w:t>
      </w:r>
      <w:r w:rsidR="005F6A5D">
        <w:fldChar w:fldCharType="begin"/>
      </w:r>
      <w:r w:rsidR="005F6A5D">
        <w:instrText xml:space="preserve"> REF _Ref237003009 \h </w:instrText>
      </w:r>
      <w:r w:rsidR="005F6A5D">
        <w:fldChar w:fldCharType="separate"/>
      </w:r>
      <w:r w:rsidR="00AC2EF6">
        <w:t xml:space="preserve">Supplementary Table </w:t>
      </w:r>
      <w:r w:rsidR="00AC2EF6">
        <w:rPr>
          <w:noProof/>
        </w:rPr>
        <w:t>6</w:t>
      </w:r>
      <w:r w:rsidR="005F6A5D">
        <w:fldChar w:fldCharType="end"/>
      </w:r>
      <w:r>
        <w:t>); any future clinical application of age gap for screening triage should be accompanied by ongoing monitoring for differential impact by deprivation and ethnicity.</w:t>
      </w:r>
    </w:p>
    <w:p w14:paraId="49CE3629" w14:textId="77777777" w:rsidR="003067D6" w:rsidRDefault="003067D6" w:rsidP="002779F0">
      <w:pPr>
        <w:pStyle w:val="Heading1"/>
      </w:pPr>
      <w:bookmarkStart w:id="59" w:name="_Toc237015180"/>
      <w:r>
        <w:lastRenderedPageBreak/>
        <w:t>Decision curve analysis</w:t>
      </w:r>
      <w:bookmarkEnd w:id="59"/>
    </w:p>
    <w:p w14:paraId="07008D14" w14:textId="77777777" w:rsidR="003067D6" w:rsidRDefault="003067D6" w:rsidP="003067D6">
      <w:r>
        <w:t xml:space="preserve">To assess the clinical utility of adding age gap to clinical risk factors, decision curve analysis (DCA) was performed for both competing risk endpoints (non-lung cancer death and lung cancer diagnosis) at 5 and 2 years, comparing the clinical-only (“Base”) model against the combined clinical and age gap (“Base + Age gap”) model. As for the discrimination and calibration analyses above, out-of-fold predicted risks from the internal-external cross-validation were used, so that net benefit is assessed on risk estimates from a model that had not been trained on the individual being scored, consistent with the rest of the analysis. Threshold probabilities from 0-20% were evaluated, spanning a range of plausible thresholds for a screening-continuation decision. Net benefit was </w:t>
      </w:r>
      <w:r w:rsidRPr="004935D7">
        <w:t xml:space="preserve">calculated using the </w:t>
      </w:r>
      <w:proofErr w:type="spellStart"/>
      <w:r w:rsidRPr="004935D7">
        <w:t>dcurves</w:t>
      </w:r>
      <w:proofErr w:type="spellEnd"/>
      <w:r w:rsidRPr="004935D7">
        <w:t xml:space="preserve"> R package; for the time-to-event setting used here, this treats the competing event (e.g. lung cancer</w:t>
      </w:r>
      <w:r>
        <w:t xml:space="preserve"> diagnosis, when non-lung cancer death is the outcome of interest) in the same way as administrative censoring when estimating the observed side of net benefit, since no competing-risks-native net benefit implementation is available in the package used. The predicted risks themselves are unaffected by this and are correctly based on the cause-specific cumulative incidence function; only the observed-outcome weighting used internally to translate this into net benefit carries this simplification, with a </w:t>
      </w:r>
      <w:proofErr w:type="gramStart"/>
      <w:r>
        <w:t>modest expected</w:t>
      </w:r>
      <w:proofErr w:type="gramEnd"/>
      <w:r>
        <w:t xml:space="preserve"> tendency to overestimate net benefit when the competing event’s incidence is non-trivial relative to the event of interest.</w:t>
      </w:r>
    </w:p>
    <w:p w14:paraId="3B30E500" w14:textId="77777777" w:rsidR="003067D6" w:rsidRDefault="003067D6" w:rsidP="003067D6">
      <w:pPr>
        <w:pStyle w:val="CaptionedFigure"/>
      </w:pPr>
      <w:r>
        <w:rPr>
          <w:noProof/>
        </w:rPr>
        <w:lastRenderedPageBreak/>
        <w:drawing>
          <wp:inline distT="0" distB="0" distL="0" distR="0" wp14:anchorId="201EFB40" wp14:editId="5F997B13">
            <wp:extent cx="5334000" cy="4191000"/>
            <wp:effectExtent l="0" t="0" r="0" b="0"/>
            <wp:docPr id="23" name="Picture" descr="Supplementary Figure [X]. Decision curve analysis for non-lung cancer death at 5 years, comparing the clinical-only (Base) and combined clinical and age gap (Base + Age gap) models, alongside the ‘treat all’ and ‘treat none’ reference strategies."/>
            <wp:cNvGraphicFramePr/>
            <a:graphic xmlns:a="http://schemas.openxmlformats.org/drawingml/2006/main">
              <a:graphicData uri="http://schemas.openxmlformats.org/drawingml/2006/picture">
                <pic:pic xmlns:pic="http://schemas.openxmlformats.org/drawingml/2006/picture">
                  <pic:nvPicPr>
                    <pic:cNvPr id="24" name="Picture" descr="supplementary_equity_and_vital_status_files/b6514f4445051f894d03bac75f1eadb2bc15de7e.png"/>
                    <pic:cNvPicPr>
                      <a:picLocks noChangeAspect="1" noChangeArrowheads="1"/>
                    </pic:cNvPicPr>
                  </pic:nvPicPr>
                  <pic:blipFill>
                    <a:blip r:embed="rId21"/>
                    <a:stretch>
                      <a:fillRect/>
                    </a:stretch>
                  </pic:blipFill>
                  <pic:spPr bwMode="auto">
                    <a:xfrm>
                      <a:off x="0" y="0"/>
                      <a:ext cx="5334000" cy="4191000"/>
                    </a:xfrm>
                    <a:prstGeom prst="rect">
                      <a:avLst/>
                    </a:prstGeom>
                    <a:noFill/>
                    <a:ln w="9525">
                      <a:noFill/>
                      <a:headEnd/>
                      <a:tailEnd/>
                    </a:ln>
                  </pic:spPr>
                </pic:pic>
              </a:graphicData>
            </a:graphic>
          </wp:inline>
        </w:drawing>
      </w:r>
    </w:p>
    <w:p w14:paraId="5DCDF555" w14:textId="43BF9FD3" w:rsidR="004935D7" w:rsidRDefault="000A47F8" w:rsidP="000A47F8">
      <w:pPr>
        <w:pStyle w:val="Caption"/>
      </w:pPr>
      <w:bookmarkStart w:id="60" w:name="_Toc237015212"/>
      <w:r>
        <w:t xml:space="preserve">Supplementary Figure </w:t>
      </w:r>
      <w:fldSimple w:instr=" SEQ Supplementary_Figure \* ARABIC ">
        <w:r w:rsidR="00AC2EF6">
          <w:rPr>
            <w:noProof/>
          </w:rPr>
          <w:t>13</w:t>
        </w:r>
      </w:fldSimple>
      <w:r>
        <w:t xml:space="preserve">. </w:t>
      </w:r>
      <w:r w:rsidR="003067D6">
        <w:t>Decision curve analysis for non-lung cancer death at 5 years</w:t>
      </w:r>
      <w:r w:rsidR="004935D7">
        <w:t>.</w:t>
      </w:r>
      <w:bookmarkEnd w:id="60"/>
      <w:r w:rsidR="004935D7">
        <w:t xml:space="preserve"> </w:t>
      </w:r>
    </w:p>
    <w:p w14:paraId="4149B0E5" w14:textId="77777777" w:rsidR="003067D6" w:rsidRDefault="004935D7" w:rsidP="000A47F8">
      <w:pPr>
        <w:pStyle w:val="Caption"/>
      </w:pPr>
      <w:r>
        <w:t>C</w:t>
      </w:r>
      <w:r w:rsidR="003067D6">
        <w:t>omparing the clinical-only (Base) and combined clinical and age gap (Base + Age gap) models, alongside the ‘treat all’ and ‘treat none’ reference strategies.</w:t>
      </w:r>
    </w:p>
    <w:p w14:paraId="43141410" w14:textId="77777777" w:rsidR="003067D6" w:rsidRDefault="003067D6" w:rsidP="003067D6">
      <w:pPr>
        <w:pStyle w:val="CaptionedFigure"/>
      </w:pPr>
      <w:r>
        <w:rPr>
          <w:noProof/>
        </w:rPr>
        <w:lastRenderedPageBreak/>
        <w:drawing>
          <wp:inline distT="0" distB="0" distL="0" distR="0" wp14:anchorId="1E1363EB" wp14:editId="68ECE3F1">
            <wp:extent cx="5334000" cy="4191000"/>
            <wp:effectExtent l="0" t="0" r="0" b="0"/>
            <wp:docPr id="26" name="Picture" descr="Supplementary Figure [X+1]. Decision curve analysis for non-lung cancer death at 2 years."/>
            <wp:cNvGraphicFramePr/>
            <a:graphic xmlns:a="http://schemas.openxmlformats.org/drawingml/2006/main">
              <a:graphicData uri="http://schemas.openxmlformats.org/drawingml/2006/picture">
                <pic:pic xmlns:pic="http://schemas.openxmlformats.org/drawingml/2006/picture">
                  <pic:nvPicPr>
                    <pic:cNvPr id="27" name="Picture" descr="supplementary_equity_and_vital_status_files/04189a643221bc962628dd2ac6e3d894ead100c6.png"/>
                    <pic:cNvPicPr>
                      <a:picLocks noChangeAspect="1" noChangeArrowheads="1"/>
                    </pic:cNvPicPr>
                  </pic:nvPicPr>
                  <pic:blipFill>
                    <a:blip r:embed="rId22"/>
                    <a:stretch>
                      <a:fillRect/>
                    </a:stretch>
                  </pic:blipFill>
                  <pic:spPr bwMode="auto">
                    <a:xfrm>
                      <a:off x="0" y="0"/>
                      <a:ext cx="5334000" cy="4191000"/>
                    </a:xfrm>
                    <a:prstGeom prst="rect">
                      <a:avLst/>
                    </a:prstGeom>
                    <a:noFill/>
                    <a:ln w="9525">
                      <a:noFill/>
                      <a:headEnd/>
                      <a:tailEnd/>
                    </a:ln>
                  </pic:spPr>
                </pic:pic>
              </a:graphicData>
            </a:graphic>
          </wp:inline>
        </w:drawing>
      </w:r>
    </w:p>
    <w:p w14:paraId="74527F9A" w14:textId="2129CDBF" w:rsidR="003067D6" w:rsidRDefault="000A47F8" w:rsidP="000A47F8">
      <w:pPr>
        <w:pStyle w:val="Caption"/>
      </w:pPr>
      <w:bookmarkStart w:id="61" w:name="_Toc237015213"/>
      <w:r>
        <w:t xml:space="preserve">Supplementary Figure </w:t>
      </w:r>
      <w:fldSimple w:instr=" SEQ Supplementary_Figure \* ARABIC ">
        <w:r w:rsidR="00AC2EF6">
          <w:rPr>
            <w:noProof/>
          </w:rPr>
          <w:t>14</w:t>
        </w:r>
      </w:fldSimple>
      <w:r>
        <w:t xml:space="preserve">. </w:t>
      </w:r>
      <w:r w:rsidR="003067D6">
        <w:t>Decision curve analysis for non-lung cancer death at 2 years.</w:t>
      </w:r>
      <w:bookmarkEnd w:id="61"/>
    </w:p>
    <w:p w14:paraId="1BF63653" w14:textId="77777777" w:rsidR="003067D6" w:rsidRDefault="003067D6" w:rsidP="002779F0">
      <w:r>
        <w:t>For non-lung cancer death at 5 years, the combined model showed higher net benefit than the clinical-only model across the full range of threshold probabilities evaluated (1-20%; difference in net benefit +0.0002 to +0.004, equivalent to approximately 2-4 additional net true positives identified per 1,000 people screened at each threshold, at no additional false-positive cost). Both models exceeded the “treat all” strategy from a threshold of approximately 2%, and the “treat none” strategy up to approximately 19%</w:t>
      </w:r>
      <w:r w:rsidR="00474F93">
        <w:t>,</w:t>
      </w:r>
      <w:r>
        <w:t xml:space="preserve"> a wide range encompassing plausible thresholds for a screening-continuation decision. At 2 years, the advantage of the combined model was smaller and crossed zero at several thresholds, consistent with the smaller and non-significant discrimination gain observed at this shorter horizon (Supplementary Table [X-1]).</w:t>
      </w:r>
    </w:p>
    <w:p w14:paraId="4F8EDFE6" w14:textId="77777777" w:rsidR="003067D6" w:rsidRDefault="003067D6" w:rsidP="003067D6">
      <w:pPr>
        <w:pStyle w:val="CaptionedFigure"/>
      </w:pPr>
      <w:r>
        <w:rPr>
          <w:noProof/>
        </w:rPr>
        <w:lastRenderedPageBreak/>
        <w:drawing>
          <wp:inline distT="0" distB="0" distL="0" distR="0" wp14:anchorId="62F18FE2" wp14:editId="6829AA30">
            <wp:extent cx="5334000" cy="4191000"/>
            <wp:effectExtent l="0" t="0" r="0" b="0"/>
            <wp:docPr id="29" name="Picture" descr="Supplementary Figure [X+2]. Decision curve analysis for lung cancer diagnosis at 5 years."/>
            <wp:cNvGraphicFramePr/>
            <a:graphic xmlns:a="http://schemas.openxmlformats.org/drawingml/2006/main">
              <a:graphicData uri="http://schemas.openxmlformats.org/drawingml/2006/picture">
                <pic:pic xmlns:pic="http://schemas.openxmlformats.org/drawingml/2006/picture">
                  <pic:nvPicPr>
                    <pic:cNvPr id="30" name="Picture" descr="supplementary_equity_and_vital_status_files/9a849ea6cc86861b2b711231a036e06dacc38ad4.png"/>
                    <pic:cNvPicPr>
                      <a:picLocks noChangeAspect="1" noChangeArrowheads="1"/>
                    </pic:cNvPicPr>
                  </pic:nvPicPr>
                  <pic:blipFill>
                    <a:blip r:embed="rId23"/>
                    <a:stretch>
                      <a:fillRect/>
                    </a:stretch>
                  </pic:blipFill>
                  <pic:spPr bwMode="auto">
                    <a:xfrm>
                      <a:off x="0" y="0"/>
                      <a:ext cx="5334000" cy="4191000"/>
                    </a:xfrm>
                    <a:prstGeom prst="rect">
                      <a:avLst/>
                    </a:prstGeom>
                    <a:noFill/>
                    <a:ln w="9525">
                      <a:noFill/>
                      <a:headEnd/>
                      <a:tailEnd/>
                    </a:ln>
                  </pic:spPr>
                </pic:pic>
              </a:graphicData>
            </a:graphic>
          </wp:inline>
        </w:drawing>
      </w:r>
    </w:p>
    <w:p w14:paraId="37305AEA" w14:textId="136542BD" w:rsidR="003067D6" w:rsidRDefault="000A47F8" w:rsidP="000A47F8">
      <w:pPr>
        <w:pStyle w:val="Caption"/>
      </w:pPr>
      <w:bookmarkStart w:id="62" w:name="_Toc237015214"/>
      <w:r>
        <w:t xml:space="preserve">Supplementary Figure </w:t>
      </w:r>
      <w:fldSimple w:instr=" SEQ Supplementary_Figure \* ARABIC ">
        <w:r w:rsidR="00AC2EF6">
          <w:rPr>
            <w:noProof/>
          </w:rPr>
          <w:t>15</w:t>
        </w:r>
      </w:fldSimple>
      <w:r>
        <w:t xml:space="preserve">. </w:t>
      </w:r>
      <w:r w:rsidR="003067D6">
        <w:t>Decision curve analysis for lung cancer diagnosis at 5 years.</w:t>
      </w:r>
      <w:bookmarkEnd w:id="62"/>
    </w:p>
    <w:p w14:paraId="551C8D1C" w14:textId="77777777" w:rsidR="003067D6" w:rsidRDefault="003067D6" w:rsidP="003067D6">
      <w:pPr>
        <w:pStyle w:val="CaptionedFigure"/>
      </w:pPr>
      <w:r>
        <w:rPr>
          <w:noProof/>
        </w:rPr>
        <w:lastRenderedPageBreak/>
        <w:drawing>
          <wp:inline distT="0" distB="0" distL="0" distR="0" wp14:anchorId="2172F285" wp14:editId="51CE8E30">
            <wp:extent cx="5334000" cy="4191000"/>
            <wp:effectExtent l="0" t="0" r="0" b="0"/>
            <wp:docPr id="32" name="Picture" descr="Supplementary Figure [X+3]. Decision curve analysis for lung cancer diagnosis at 2 years."/>
            <wp:cNvGraphicFramePr/>
            <a:graphic xmlns:a="http://schemas.openxmlformats.org/drawingml/2006/main">
              <a:graphicData uri="http://schemas.openxmlformats.org/drawingml/2006/picture">
                <pic:pic xmlns:pic="http://schemas.openxmlformats.org/drawingml/2006/picture">
                  <pic:nvPicPr>
                    <pic:cNvPr id="33" name="Picture" descr="supplementary_equity_and_vital_status_files/6ab7c711f56b4bb109c7ba13ee68b0cb7a3b8d78.png"/>
                    <pic:cNvPicPr>
                      <a:picLocks noChangeAspect="1" noChangeArrowheads="1"/>
                    </pic:cNvPicPr>
                  </pic:nvPicPr>
                  <pic:blipFill>
                    <a:blip r:embed="rId24"/>
                    <a:stretch>
                      <a:fillRect/>
                    </a:stretch>
                  </pic:blipFill>
                  <pic:spPr bwMode="auto">
                    <a:xfrm>
                      <a:off x="0" y="0"/>
                      <a:ext cx="5334000" cy="4191000"/>
                    </a:xfrm>
                    <a:prstGeom prst="rect">
                      <a:avLst/>
                    </a:prstGeom>
                    <a:noFill/>
                    <a:ln w="9525">
                      <a:noFill/>
                      <a:headEnd/>
                      <a:tailEnd/>
                    </a:ln>
                  </pic:spPr>
                </pic:pic>
              </a:graphicData>
            </a:graphic>
          </wp:inline>
        </w:drawing>
      </w:r>
    </w:p>
    <w:p w14:paraId="435E5DAA" w14:textId="0BDA4DD1" w:rsidR="003067D6" w:rsidRDefault="000A47F8" w:rsidP="000A47F8">
      <w:pPr>
        <w:pStyle w:val="Caption"/>
      </w:pPr>
      <w:bookmarkStart w:id="63" w:name="_Toc237015215"/>
      <w:r>
        <w:t xml:space="preserve">Supplementary Figure </w:t>
      </w:r>
      <w:fldSimple w:instr=" SEQ Supplementary_Figure \* ARABIC ">
        <w:r w:rsidR="00AC2EF6">
          <w:rPr>
            <w:noProof/>
          </w:rPr>
          <w:t>16</w:t>
        </w:r>
      </w:fldSimple>
      <w:r>
        <w:t xml:space="preserve">. </w:t>
      </w:r>
      <w:r w:rsidR="003067D6">
        <w:t>Decision curve analysis for lung cancer diagnosis at 2 years.</w:t>
      </w:r>
      <w:bookmarkEnd w:id="63"/>
    </w:p>
    <w:p w14:paraId="163C0B37" w14:textId="77777777" w:rsidR="003067D6" w:rsidRDefault="003067D6" w:rsidP="00A40DBE">
      <w:r>
        <w:t>For lung cancer diagnosis, a similar, smaller pattern was seen at 5 years (the combined model ahead of the clinical-only model by up to +0.0007 across thresholds of 1-10%, converging toward no difference above approximately 10%). At 2 years, differences between the two models were small and inconsistent in direction, consistent with the limited number of lung cancer diagnosis events available within this shorter follow-up window.</w:t>
      </w:r>
    </w:p>
    <w:p w14:paraId="18870943" w14:textId="77777777" w:rsidR="003067D6" w:rsidRDefault="003067D6" w:rsidP="003067D6"/>
    <w:p w14:paraId="0F7AFF5F" w14:textId="77777777" w:rsidR="003067D6" w:rsidRDefault="003067D6" w:rsidP="007D3732">
      <w:pPr>
        <w:spacing w:before="240"/>
      </w:pPr>
    </w:p>
    <w:p w14:paraId="7CA3A38B" w14:textId="77777777" w:rsidR="00B146B7" w:rsidRDefault="00B146B7" w:rsidP="007D3732">
      <w:pPr>
        <w:spacing w:before="240"/>
      </w:pPr>
    </w:p>
    <w:p w14:paraId="2CC60901" w14:textId="77777777" w:rsidR="00B146B7" w:rsidRPr="005B2F85" w:rsidRDefault="00B146B7" w:rsidP="007D3732">
      <w:pPr>
        <w:spacing w:before="240"/>
      </w:pPr>
    </w:p>
    <w:p w14:paraId="4454286E" w14:textId="77777777" w:rsidR="005B2F85" w:rsidRDefault="005B2F85" w:rsidP="4B29E1AF">
      <w:pPr>
        <w:rPr>
          <w:highlight w:val="yellow"/>
        </w:rPr>
      </w:pPr>
    </w:p>
    <w:p w14:paraId="6B9FDF39" w14:textId="77777777" w:rsidR="12EFEEA3" w:rsidRDefault="12EFEEA3"/>
    <w:p w14:paraId="6F4370AF" w14:textId="3ADB04CE" w:rsidR="00144BA8" w:rsidRDefault="00873F46">
      <w:pPr>
        <w:pStyle w:val="Heading1"/>
      </w:pPr>
      <w:bookmarkStart w:id="64" w:name="_Toc237015181"/>
      <w:r>
        <w:lastRenderedPageBreak/>
        <w:t>Comparison with a</w:t>
      </w:r>
      <w:r w:rsidR="00AC2EF6">
        <w:t>ortic calcification</w:t>
      </w:r>
      <w:bookmarkEnd w:id="64"/>
    </w:p>
    <w:p w14:paraId="0946E7D5" w14:textId="3A0EC931" w:rsidR="00144BA8" w:rsidRDefault="00873F46">
      <w:r>
        <w:t>To test whether disease course mapping provides added value over the single most directly comparable, already-established imaging biomarker, rather than only over the four raw biomarkers combined</w:t>
      </w:r>
      <w:r>
        <w:t>, we additionally compared discrimination for non-lung cancer death when the base clinical model was combined with aortic calcification alone</w:t>
      </w:r>
      <w:r>
        <w:t>. Discrimination for the Base, Base + Aortic calcification, and Base + Age gap models was assessed for non-lung cancer death at 5- and 2-year horizons using the same out-of-fold internal-external cross-validation predictions</w:t>
      </w:r>
      <w:r>
        <w:t>.</w:t>
      </w:r>
    </w:p>
    <w:p w14:paraId="00388C68" w14:textId="7F707D32" w:rsidR="00144BA8" w:rsidRDefault="00873F46">
      <w:r>
        <w:t>Aortic calcification alone significantly improved discrimination for non-lung cancer death over the clinical-only model (5-year C-index difference +0.020, 95% CI 0.015–0.027, p&lt;0.001;</w:t>
      </w:r>
      <w:r w:rsidR="00AC2EF6">
        <w:t xml:space="preserve"> </w:t>
      </w:r>
      <w:r w:rsidR="00AC2EF6">
        <w:fldChar w:fldCharType="begin"/>
      </w:r>
      <w:r w:rsidR="00AC2EF6">
        <w:instrText xml:space="preserve"> REF _Ref237015094 \h </w:instrText>
      </w:r>
      <w:r w:rsidR="00AC2EF6">
        <w:fldChar w:fldCharType="separate"/>
      </w:r>
      <w:r w:rsidR="00AC2EF6">
        <w:t xml:space="preserve">Supplementary Table </w:t>
      </w:r>
      <w:r w:rsidR="00AC2EF6">
        <w:rPr>
          <w:noProof/>
        </w:rPr>
        <w:t>17</w:t>
      </w:r>
      <w:r w:rsidR="00AC2EF6">
        <w:fldChar w:fldCharType="end"/>
      </w:r>
      <w:r w:rsidR="00AC2EF6">
        <w:t>)</w:t>
      </w:r>
      <w:r>
        <w:t>. However, the combined clinical and age gap model significantly outperformed the model using aortic calcification alone at 5 years (C-index 0.730, 95% CI 0.703–0.757, vs. 0.711, 95% CI 0.684–0.739; difference 0.019, 95% CI 0.012–0.025, p&lt;0.001;</w:t>
      </w:r>
      <w:r w:rsidR="00AC2EF6">
        <w:t xml:space="preserve"> </w:t>
      </w:r>
      <w:r w:rsidR="00AC2EF6">
        <w:fldChar w:fldCharType="begin"/>
      </w:r>
      <w:r w:rsidR="00AC2EF6">
        <w:instrText xml:space="preserve"> REF _Ref237015125 \h </w:instrText>
      </w:r>
      <w:r w:rsidR="00AC2EF6">
        <w:fldChar w:fldCharType="separate"/>
      </w:r>
      <w:r w:rsidR="00AC2EF6">
        <w:t xml:space="preserve">Supplementary Figure </w:t>
      </w:r>
      <w:r w:rsidR="00AC2EF6">
        <w:rPr>
          <w:noProof/>
        </w:rPr>
        <w:t>17</w:t>
      </w:r>
      <w:r w:rsidR="00AC2EF6">
        <w:fldChar w:fldCharType="end"/>
      </w:r>
      <w:r>
        <w:t>). The direction of this difference was consistent</w:t>
      </w:r>
      <w:r>
        <w:t xml:space="preserve"> at 2 years (difference 0.010, 95% CI −0.001–0.021, p=0.054;</w:t>
      </w:r>
      <w:r w:rsidR="00AC2EF6">
        <w:t xml:space="preserve"> </w:t>
      </w:r>
      <w:r w:rsidR="00AC2EF6">
        <w:fldChar w:fldCharType="begin"/>
      </w:r>
      <w:r w:rsidR="00AC2EF6">
        <w:instrText xml:space="preserve"> REF _Ref237015143 \h </w:instrText>
      </w:r>
      <w:r w:rsidR="00AC2EF6">
        <w:fldChar w:fldCharType="separate"/>
      </w:r>
      <w:r w:rsidR="00AC2EF6">
        <w:t xml:space="preserve">Supplementary Figure </w:t>
      </w:r>
      <w:r w:rsidR="00AC2EF6">
        <w:rPr>
          <w:noProof/>
        </w:rPr>
        <w:t>18</w:t>
      </w:r>
      <w:r w:rsidR="00AC2EF6">
        <w:fldChar w:fldCharType="end"/>
      </w:r>
      <w:r>
        <w:t>).</w:t>
      </w:r>
    </w:p>
    <w:p w14:paraId="146F23D6" w14:textId="77777777" w:rsidR="00144BA8" w:rsidRDefault="00144BA8"/>
    <w:tbl>
      <w:tblPr>
        <w:tblStyle w:val="PlainTable3"/>
        <w:tblW w:w="0" w:type="auto"/>
        <w:tblLook w:val="04A0" w:firstRow="1" w:lastRow="0" w:firstColumn="1" w:lastColumn="0" w:noHBand="0" w:noVBand="1"/>
      </w:tblPr>
      <w:tblGrid>
        <w:gridCol w:w="3008"/>
        <w:gridCol w:w="3009"/>
        <w:gridCol w:w="3009"/>
      </w:tblGrid>
      <w:tr w:rsidR="00144BA8" w14:paraId="1B9D1C20" w14:textId="77777777" w:rsidTr="00144BA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09" w:type="dxa"/>
          </w:tcPr>
          <w:p w14:paraId="06BE891C" w14:textId="77777777" w:rsidR="00144BA8" w:rsidRDefault="00144BA8"/>
        </w:tc>
        <w:tc>
          <w:tcPr>
            <w:tcW w:w="3009" w:type="dxa"/>
          </w:tcPr>
          <w:p w14:paraId="569EBA23" w14:textId="77777777" w:rsidR="00144BA8" w:rsidRDefault="00873F46">
            <w:pPr>
              <w:cnfStyle w:val="100000000000" w:firstRow="1" w:lastRow="0" w:firstColumn="0" w:lastColumn="0" w:oddVBand="0" w:evenVBand="0" w:oddHBand="0" w:evenHBand="0" w:firstRowFirstColumn="0" w:firstRowLastColumn="0" w:lastRowFirstColumn="0" w:lastRowLastColumn="0"/>
            </w:pPr>
            <w:r>
              <w:t>5-year C-index (95% CI)</w:t>
            </w:r>
          </w:p>
        </w:tc>
        <w:tc>
          <w:tcPr>
            <w:tcW w:w="3009" w:type="dxa"/>
          </w:tcPr>
          <w:p w14:paraId="2257C13E" w14:textId="77777777" w:rsidR="00144BA8" w:rsidRDefault="00873F46">
            <w:pPr>
              <w:cnfStyle w:val="100000000000" w:firstRow="1" w:lastRow="0" w:firstColumn="0" w:lastColumn="0" w:oddVBand="0" w:evenVBand="0" w:oddHBand="0" w:evenHBand="0" w:firstRowFirstColumn="0" w:firstRowLastColumn="0" w:lastRowFirstColumn="0" w:lastRowLastColumn="0"/>
            </w:pPr>
            <w:r>
              <w:t>2-year C-index (95% CI)</w:t>
            </w:r>
          </w:p>
        </w:tc>
      </w:tr>
      <w:tr w:rsidR="00144BA8" w14:paraId="24E0F83C" w14:textId="77777777" w:rsidTr="00144B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754CBEBB" w14:textId="77777777" w:rsidR="00144BA8" w:rsidRDefault="00873F46">
            <w:r>
              <w:t>Base</w:t>
            </w:r>
          </w:p>
        </w:tc>
        <w:tc>
          <w:tcPr>
            <w:tcW w:w="3009" w:type="dxa"/>
          </w:tcPr>
          <w:p w14:paraId="1C3DF43C" w14:textId="77777777" w:rsidR="00144BA8" w:rsidRDefault="00873F46">
            <w:pPr>
              <w:cnfStyle w:val="000000100000" w:firstRow="0" w:lastRow="0" w:firstColumn="0" w:lastColumn="0" w:oddVBand="0" w:evenVBand="0" w:oddHBand="1" w:evenHBand="0" w:firstRowFirstColumn="0" w:firstRowLastColumn="0" w:lastRowFirstColumn="0" w:lastRowLastColumn="0"/>
            </w:pPr>
            <w:r>
              <w:t>0.69 (0.66–0.72)</w:t>
            </w:r>
          </w:p>
        </w:tc>
        <w:tc>
          <w:tcPr>
            <w:tcW w:w="3009" w:type="dxa"/>
          </w:tcPr>
          <w:p w14:paraId="0FCF75A5" w14:textId="77777777" w:rsidR="00144BA8" w:rsidRDefault="00873F46">
            <w:pPr>
              <w:cnfStyle w:val="000000100000" w:firstRow="0" w:lastRow="0" w:firstColumn="0" w:lastColumn="0" w:oddVBand="0" w:evenVBand="0" w:oddHBand="1" w:evenHBand="0" w:firstRowFirstColumn="0" w:firstRowLastColumn="0" w:lastRowFirstColumn="0" w:lastRowLastColumn="0"/>
            </w:pPr>
            <w:r>
              <w:t>0.69 (0.66–0.73)</w:t>
            </w:r>
          </w:p>
        </w:tc>
      </w:tr>
      <w:tr w:rsidR="00144BA8" w14:paraId="2B123665" w14:textId="77777777" w:rsidTr="00144BA8">
        <w:tc>
          <w:tcPr>
            <w:cnfStyle w:val="001000000000" w:firstRow="0" w:lastRow="0" w:firstColumn="1" w:lastColumn="0" w:oddVBand="0" w:evenVBand="0" w:oddHBand="0" w:evenHBand="0" w:firstRowFirstColumn="0" w:firstRowLastColumn="0" w:lastRowFirstColumn="0" w:lastRowLastColumn="0"/>
            <w:tcW w:w="3009" w:type="dxa"/>
          </w:tcPr>
          <w:p w14:paraId="659FDF99" w14:textId="77777777" w:rsidR="00144BA8" w:rsidRDefault="00873F46">
            <w:r>
              <w:t>Base + Aortic calcification</w:t>
            </w:r>
          </w:p>
        </w:tc>
        <w:tc>
          <w:tcPr>
            <w:tcW w:w="3009" w:type="dxa"/>
          </w:tcPr>
          <w:p w14:paraId="4151ED90" w14:textId="77777777" w:rsidR="00144BA8" w:rsidRDefault="00873F46">
            <w:pPr>
              <w:cnfStyle w:val="000000000000" w:firstRow="0" w:lastRow="0" w:firstColumn="0" w:lastColumn="0" w:oddVBand="0" w:evenVBand="0" w:oddHBand="0" w:evenHBand="0" w:firstRowFirstColumn="0" w:firstRowLastColumn="0" w:lastRowFirstColumn="0" w:lastRowLastColumn="0"/>
            </w:pPr>
            <w:r>
              <w:t>0.71 (0.68–0.74)</w:t>
            </w:r>
          </w:p>
        </w:tc>
        <w:tc>
          <w:tcPr>
            <w:tcW w:w="3009" w:type="dxa"/>
          </w:tcPr>
          <w:p w14:paraId="7F138640" w14:textId="77777777" w:rsidR="00144BA8" w:rsidRDefault="00873F46">
            <w:pPr>
              <w:cnfStyle w:val="000000000000" w:firstRow="0" w:lastRow="0" w:firstColumn="0" w:lastColumn="0" w:oddVBand="0" w:evenVBand="0" w:oddHBand="0" w:evenHBand="0" w:firstRowFirstColumn="0" w:firstRowLastColumn="0" w:lastRowFirstColumn="0" w:lastRowLastColumn="0"/>
            </w:pPr>
            <w:r>
              <w:t>0.71 (0.67–0.75)</w:t>
            </w:r>
          </w:p>
        </w:tc>
      </w:tr>
      <w:tr w:rsidR="00144BA8" w14:paraId="3F05F561" w14:textId="77777777" w:rsidTr="00144B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9" w:type="dxa"/>
          </w:tcPr>
          <w:p w14:paraId="74BD7EF4" w14:textId="77777777" w:rsidR="00144BA8" w:rsidRDefault="00873F46">
            <w:r>
              <w:t>Base + Age gap</w:t>
            </w:r>
          </w:p>
        </w:tc>
        <w:tc>
          <w:tcPr>
            <w:tcW w:w="3009" w:type="dxa"/>
          </w:tcPr>
          <w:p w14:paraId="24BC54AC" w14:textId="77777777" w:rsidR="00144BA8" w:rsidRDefault="00873F46">
            <w:pPr>
              <w:cnfStyle w:val="000000100000" w:firstRow="0" w:lastRow="0" w:firstColumn="0" w:lastColumn="0" w:oddVBand="0" w:evenVBand="0" w:oddHBand="1" w:evenHBand="0" w:firstRowFirstColumn="0" w:firstRowLastColumn="0" w:lastRowFirstColumn="0" w:lastRowLastColumn="0"/>
            </w:pPr>
            <w:r>
              <w:t>0.73 (0.70–0.76)</w:t>
            </w:r>
          </w:p>
        </w:tc>
        <w:tc>
          <w:tcPr>
            <w:tcW w:w="3009" w:type="dxa"/>
          </w:tcPr>
          <w:p w14:paraId="6809120A" w14:textId="77777777" w:rsidR="00144BA8" w:rsidRDefault="00873F46">
            <w:pPr>
              <w:cnfStyle w:val="000000100000" w:firstRow="0" w:lastRow="0" w:firstColumn="0" w:lastColumn="0" w:oddVBand="0" w:evenVBand="0" w:oddHBand="1" w:evenHBand="0" w:firstRowFirstColumn="0" w:firstRowLastColumn="0" w:lastRowFirstColumn="0" w:lastRowLastColumn="0"/>
            </w:pPr>
            <w:r>
              <w:t>0.72 (0.68–0.76)</w:t>
            </w:r>
          </w:p>
        </w:tc>
      </w:tr>
    </w:tbl>
    <w:p w14:paraId="62A36BB8" w14:textId="45F1BCAA" w:rsidR="00144BA8" w:rsidRDefault="00873F46">
      <w:pPr>
        <w:pStyle w:val="Caption"/>
      </w:pPr>
      <w:bookmarkStart w:id="65" w:name="_Ref90000101"/>
      <w:bookmarkStart w:id="66" w:name="_Ref237015094"/>
      <w:bookmarkStart w:id="67" w:name="_Toc237015199"/>
      <w:r>
        <w:t xml:space="preserve">Supplementary Table </w:t>
      </w:r>
      <w:r>
        <w:fldChar w:fldCharType="begin"/>
      </w:r>
      <w:r>
        <w:instrText xml:space="preserve"> SEQ Supplementary_Table \* ARABIC </w:instrText>
      </w:r>
      <w:r>
        <w:fldChar w:fldCharType="separate"/>
      </w:r>
      <w:r w:rsidR="00AC2EF6">
        <w:rPr>
          <w:noProof/>
        </w:rPr>
        <w:t>17</w:t>
      </w:r>
      <w:r>
        <w:rPr>
          <w:noProof/>
        </w:rPr>
        <w:fldChar w:fldCharType="end"/>
      </w:r>
      <w:bookmarkEnd w:id="66"/>
      <w:r>
        <w:t>. Discrimination (C-index) for non-lung cancer death for the Base, Base + Aortic calcification, and Base + Age gap models, pooled estimate in random effects meta-analysis, 5- and 2-year time horizons.</w:t>
      </w:r>
      <w:bookmarkEnd w:id="65"/>
      <w:bookmarkEnd w:id="67"/>
    </w:p>
    <w:p w14:paraId="326857BF" w14:textId="77777777" w:rsidR="00144BA8" w:rsidRDefault="00873F46">
      <w:pPr>
        <w:pStyle w:val="Caption"/>
      </w:pPr>
      <w:r>
        <w:t>CI: Confidence Interval.</w:t>
      </w:r>
    </w:p>
    <w:p w14:paraId="67FB156C" w14:textId="77777777" w:rsidR="00144BA8" w:rsidRDefault="00144BA8"/>
    <w:p w14:paraId="2671C4AD" w14:textId="77777777" w:rsidR="00144BA8" w:rsidRDefault="00873F46">
      <w:pPr>
        <w:jc w:val="center"/>
      </w:pPr>
      <w:r>
        <w:rPr>
          <w:noProof/>
        </w:rPr>
        <w:lastRenderedPageBreak/>
        <w:drawing>
          <wp:inline distT="0" distB="0" distL="0" distR="0" wp14:anchorId="66C4D9A0" wp14:editId="28DDBE05">
            <wp:extent cx="5486400" cy="4572000"/>
            <wp:effectExtent l="0" t="0" r="0" b="0"/>
            <wp:docPr id="2074198521" name="Picture 2074198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_index_forest_5yr.png"/>
                    <pic:cNvPicPr/>
                  </pic:nvPicPr>
                  <pic:blipFill>
                    <a:blip r:embed="rId25"/>
                    <a:stretch>
                      <a:fillRect/>
                    </a:stretch>
                  </pic:blipFill>
                  <pic:spPr>
                    <a:xfrm>
                      <a:off x="0" y="0"/>
                      <a:ext cx="5486400" cy="4572000"/>
                    </a:xfrm>
                    <a:prstGeom prst="rect">
                      <a:avLst/>
                    </a:prstGeom>
                  </pic:spPr>
                </pic:pic>
              </a:graphicData>
            </a:graphic>
          </wp:inline>
        </w:drawing>
      </w:r>
    </w:p>
    <w:p w14:paraId="7592DEA9" w14:textId="17DDD822" w:rsidR="00144BA8" w:rsidRDefault="00873F46">
      <w:pPr>
        <w:pStyle w:val="Caption"/>
      </w:pPr>
      <w:bookmarkStart w:id="68" w:name="_Ref90000102"/>
      <w:bookmarkStart w:id="69" w:name="_Ref237015125"/>
      <w:bookmarkStart w:id="70" w:name="_Toc237015216"/>
      <w:r>
        <w:t xml:space="preserve">Supplementary Figure </w:t>
      </w:r>
      <w:r>
        <w:fldChar w:fldCharType="begin"/>
      </w:r>
      <w:r>
        <w:instrText xml:space="preserve"> SEQ Supplementary_Figure \* ARABIC </w:instrText>
      </w:r>
      <w:r>
        <w:fldChar w:fldCharType="separate"/>
      </w:r>
      <w:r w:rsidR="00AC2EF6">
        <w:rPr>
          <w:noProof/>
        </w:rPr>
        <w:t>17</w:t>
      </w:r>
      <w:r>
        <w:rPr>
          <w:noProof/>
        </w:rPr>
        <w:fldChar w:fldCharType="end"/>
      </w:r>
      <w:bookmarkEnd w:id="69"/>
      <w:r>
        <w:t>. Forest plot of competing risks model concordance for non-lung cancer death at 5 years, comparing aortic calcification alone with the Base and Base + Age gap models, by IECV clusters and random effects meta-analyzed estimates.</w:t>
      </w:r>
      <w:bookmarkEnd w:id="68"/>
      <w:bookmarkEnd w:id="70"/>
    </w:p>
    <w:p w14:paraId="1E74F3FB" w14:textId="77777777" w:rsidR="00144BA8" w:rsidRDefault="00144BA8"/>
    <w:p w14:paraId="07C09DF5" w14:textId="77777777" w:rsidR="00144BA8" w:rsidRDefault="00873F46">
      <w:pPr>
        <w:jc w:val="center"/>
      </w:pPr>
      <w:r>
        <w:rPr>
          <w:noProof/>
        </w:rPr>
        <w:lastRenderedPageBreak/>
        <w:drawing>
          <wp:inline distT="0" distB="0" distL="0" distR="0" wp14:anchorId="5DCF990F" wp14:editId="002FCD17">
            <wp:extent cx="5486400" cy="4572000"/>
            <wp:effectExtent l="0" t="0" r="0" b="0"/>
            <wp:docPr id="2074198522" name="Picture 2074198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_index_forest_2yr.png"/>
                    <pic:cNvPicPr/>
                  </pic:nvPicPr>
                  <pic:blipFill>
                    <a:blip r:embed="rId26"/>
                    <a:stretch>
                      <a:fillRect/>
                    </a:stretch>
                  </pic:blipFill>
                  <pic:spPr>
                    <a:xfrm>
                      <a:off x="0" y="0"/>
                      <a:ext cx="5486400" cy="4572000"/>
                    </a:xfrm>
                    <a:prstGeom prst="rect">
                      <a:avLst/>
                    </a:prstGeom>
                  </pic:spPr>
                </pic:pic>
              </a:graphicData>
            </a:graphic>
          </wp:inline>
        </w:drawing>
      </w:r>
    </w:p>
    <w:p w14:paraId="03787535" w14:textId="3BED66D2" w:rsidR="00144BA8" w:rsidRDefault="00873F46">
      <w:pPr>
        <w:pStyle w:val="Caption"/>
      </w:pPr>
      <w:bookmarkStart w:id="71" w:name="_Ref90000103"/>
      <w:bookmarkStart w:id="72" w:name="_Ref237015143"/>
      <w:bookmarkStart w:id="73" w:name="_Toc237015217"/>
      <w:r>
        <w:t xml:space="preserve">Supplementary Figure </w:t>
      </w:r>
      <w:r>
        <w:fldChar w:fldCharType="begin"/>
      </w:r>
      <w:r>
        <w:instrText xml:space="preserve"> SEQ Supplementary_Figure \* ARABIC </w:instrText>
      </w:r>
      <w:r>
        <w:fldChar w:fldCharType="separate"/>
      </w:r>
      <w:r w:rsidR="00AC2EF6">
        <w:rPr>
          <w:noProof/>
        </w:rPr>
        <w:t>18</w:t>
      </w:r>
      <w:r>
        <w:rPr>
          <w:noProof/>
        </w:rPr>
        <w:fldChar w:fldCharType="end"/>
      </w:r>
      <w:bookmarkEnd w:id="72"/>
      <w:r>
        <w:t>. Forest plot of competing risks model concordance for non-lung cancer death at 2 years, comparing aortic calcification alone with the Base and Base + Age gap models, by IECV clusters and random effects meta-analyzed estimates.</w:t>
      </w:r>
      <w:bookmarkEnd w:id="71"/>
      <w:bookmarkEnd w:id="73"/>
    </w:p>
    <w:p w14:paraId="3F352462" w14:textId="3928447A" w:rsidR="00AC2EF6" w:rsidRDefault="00AC2EF6">
      <w:pPr>
        <w:spacing w:after="160" w:line="279" w:lineRule="auto"/>
      </w:pPr>
      <w:r>
        <w:br w:type="page"/>
      </w:r>
    </w:p>
    <w:p w14:paraId="74C18AEE" w14:textId="77777777" w:rsidR="4B29E1AF" w:rsidRDefault="00D95511" w:rsidP="002779F0">
      <w:pPr>
        <w:pStyle w:val="Heading1"/>
      </w:pPr>
      <w:bookmarkStart w:id="74" w:name="_Toc237015182"/>
      <w:r>
        <w:lastRenderedPageBreak/>
        <w:t>References</w:t>
      </w:r>
      <w:bookmarkEnd w:id="74"/>
    </w:p>
    <w:p w14:paraId="3FFBC9AB" w14:textId="6EA7ED17" w:rsidR="00822AD1" w:rsidRPr="00822AD1" w:rsidRDefault="00822AD1">
      <w:pPr>
        <w:autoSpaceDE w:val="0"/>
        <w:autoSpaceDN w:val="0"/>
        <w:ind w:hanging="640"/>
        <w:divId w:val="236786707"/>
        <w:rPr>
          <w:rFonts w:eastAsia="Times New Roman"/>
          <w:color w:val="000000"/>
        </w:rPr>
      </w:pPr>
      <w:r w:rsidRPr="00822AD1">
        <w:rPr>
          <w:rFonts w:eastAsia="Times New Roman"/>
          <w:color w:val="000000"/>
        </w:rPr>
        <w:t>1.</w:t>
      </w:r>
      <w:r w:rsidRPr="00822AD1">
        <w:rPr>
          <w:rFonts w:eastAsia="Times New Roman"/>
          <w:color w:val="000000"/>
        </w:rPr>
        <w:tab/>
      </w:r>
      <w:proofErr w:type="spellStart"/>
      <w:r w:rsidRPr="00822AD1">
        <w:rPr>
          <w:rFonts w:eastAsia="Times New Roman"/>
          <w:color w:val="000000"/>
        </w:rPr>
        <w:t>Wasserthal</w:t>
      </w:r>
      <w:proofErr w:type="spellEnd"/>
      <w:r w:rsidRPr="00822AD1">
        <w:rPr>
          <w:rFonts w:eastAsia="Times New Roman"/>
          <w:color w:val="000000"/>
        </w:rPr>
        <w:t xml:space="preserve">, J. </w:t>
      </w:r>
      <w:r w:rsidRPr="00822AD1">
        <w:rPr>
          <w:rFonts w:eastAsia="Times New Roman"/>
          <w:i/>
          <w:iCs/>
          <w:color w:val="000000"/>
        </w:rPr>
        <w:t>et al.</w:t>
      </w:r>
      <w:r w:rsidRPr="00822AD1">
        <w:rPr>
          <w:rFonts w:eastAsia="Times New Roman"/>
          <w:color w:val="000000"/>
        </w:rPr>
        <w:t xml:space="preserve"> </w:t>
      </w:r>
      <w:proofErr w:type="spellStart"/>
      <w:r w:rsidRPr="00822AD1">
        <w:rPr>
          <w:rFonts w:eastAsia="Times New Roman"/>
          <w:color w:val="000000"/>
        </w:rPr>
        <w:t>TotalSegmentator</w:t>
      </w:r>
      <w:proofErr w:type="spellEnd"/>
      <w:r w:rsidRPr="00822AD1">
        <w:rPr>
          <w:rFonts w:eastAsia="Times New Roman"/>
          <w:color w:val="000000"/>
        </w:rPr>
        <w:t xml:space="preserve">: Robust Segmentation of 104 Anatomic Structures in CT Images. </w:t>
      </w:r>
      <w:r w:rsidRPr="00822AD1">
        <w:rPr>
          <w:rFonts w:eastAsia="Times New Roman"/>
          <w:i/>
          <w:iCs/>
          <w:color w:val="000000"/>
        </w:rPr>
        <w:t>https://doi.org/10.1148/ryai.230024</w:t>
      </w:r>
      <w:r w:rsidRPr="00822AD1">
        <w:rPr>
          <w:rFonts w:eastAsia="Times New Roman"/>
          <w:color w:val="000000"/>
        </w:rPr>
        <w:t xml:space="preserve"> </w:t>
      </w:r>
      <w:r w:rsidRPr="00822AD1">
        <w:rPr>
          <w:rFonts w:eastAsia="Times New Roman"/>
          <w:b/>
          <w:bCs/>
          <w:color w:val="000000"/>
        </w:rPr>
        <w:t>5</w:t>
      </w:r>
      <w:r w:rsidRPr="00822AD1">
        <w:rPr>
          <w:rFonts w:eastAsia="Times New Roman"/>
          <w:color w:val="000000"/>
        </w:rPr>
        <w:t>, (2023).</w:t>
      </w:r>
    </w:p>
    <w:p w14:paraId="39746CAE" w14:textId="77777777" w:rsidR="00822AD1" w:rsidRPr="00822AD1" w:rsidRDefault="00822AD1">
      <w:pPr>
        <w:autoSpaceDE w:val="0"/>
        <w:autoSpaceDN w:val="0"/>
        <w:ind w:hanging="640"/>
        <w:divId w:val="934631406"/>
        <w:rPr>
          <w:rFonts w:eastAsia="Times New Roman"/>
          <w:color w:val="000000"/>
        </w:rPr>
      </w:pPr>
      <w:r w:rsidRPr="00822AD1">
        <w:rPr>
          <w:rFonts w:eastAsia="Times New Roman"/>
          <w:color w:val="000000"/>
        </w:rPr>
        <w:t>2.</w:t>
      </w:r>
      <w:r w:rsidRPr="00822AD1">
        <w:rPr>
          <w:rFonts w:eastAsia="Times New Roman"/>
          <w:color w:val="000000"/>
        </w:rPr>
        <w:tab/>
        <w:t xml:space="preserve">Jang, S. </w:t>
      </w:r>
      <w:r w:rsidRPr="00822AD1">
        <w:rPr>
          <w:rFonts w:eastAsia="Times New Roman"/>
          <w:i/>
          <w:iCs/>
          <w:color w:val="000000"/>
        </w:rPr>
        <w:t>et al.</w:t>
      </w:r>
      <w:r w:rsidRPr="00822AD1">
        <w:rPr>
          <w:rFonts w:eastAsia="Times New Roman"/>
          <w:color w:val="000000"/>
        </w:rPr>
        <w:t xml:space="preserve"> Opportunistic Osteoporosis Screening at Routine Abdominal and Thoracic CT: Normative L1 Trabecular Attenuation Values in More than 20 000 Adults. </w:t>
      </w:r>
      <w:r w:rsidRPr="00822AD1">
        <w:rPr>
          <w:rFonts w:eastAsia="Times New Roman"/>
          <w:i/>
          <w:iCs/>
          <w:color w:val="000000"/>
        </w:rPr>
        <w:t>https://doi.org/10.1148/radiol.2019181648</w:t>
      </w:r>
      <w:r w:rsidRPr="00822AD1">
        <w:rPr>
          <w:rFonts w:eastAsia="Times New Roman"/>
          <w:color w:val="000000"/>
        </w:rPr>
        <w:t xml:space="preserve"> </w:t>
      </w:r>
      <w:r w:rsidRPr="00822AD1">
        <w:rPr>
          <w:rFonts w:eastAsia="Times New Roman"/>
          <w:b/>
          <w:bCs/>
          <w:color w:val="000000"/>
        </w:rPr>
        <w:t>291</w:t>
      </w:r>
      <w:r w:rsidRPr="00822AD1">
        <w:rPr>
          <w:rFonts w:eastAsia="Times New Roman"/>
          <w:color w:val="000000"/>
        </w:rPr>
        <w:t>, 360–367 (2019).</w:t>
      </w:r>
    </w:p>
    <w:p w14:paraId="427A1498" w14:textId="77777777" w:rsidR="00822AD1" w:rsidRPr="00822AD1" w:rsidRDefault="00822AD1">
      <w:pPr>
        <w:autoSpaceDE w:val="0"/>
        <w:autoSpaceDN w:val="0"/>
        <w:ind w:hanging="640"/>
        <w:divId w:val="1791126393"/>
        <w:rPr>
          <w:rFonts w:eastAsia="Times New Roman"/>
          <w:color w:val="000000"/>
        </w:rPr>
      </w:pPr>
      <w:r w:rsidRPr="00822AD1">
        <w:rPr>
          <w:rFonts w:eastAsia="Times New Roman"/>
          <w:color w:val="000000"/>
        </w:rPr>
        <w:t>3.</w:t>
      </w:r>
      <w:r w:rsidRPr="00822AD1">
        <w:rPr>
          <w:rFonts w:eastAsia="Times New Roman"/>
          <w:color w:val="000000"/>
        </w:rPr>
        <w:tab/>
        <w:t xml:space="preserve">Dickson, J. L. </w:t>
      </w:r>
      <w:r w:rsidRPr="00822AD1">
        <w:rPr>
          <w:rFonts w:eastAsia="Times New Roman"/>
          <w:i/>
          <w:iCs/>
          <w:color w:val="000000"/>
        </w:rPr>
        <w:t>et al.</w:t>
      </w:r>
      <w:r w:rsidRPr="00822AD1">
        <w:rPr>
          <w:rFonts w:eastAsia="Times New Roman"/>
          <w:color w:val="000000"/>
        </w:rPr>
        <w:t xml:space="preserve"> Uptake of invitations to a lung health check offering low-dose CT lung cancer screening among an ethnically and socioeconomically diverse population at risk of lung cancer in the UK (SUMMIT): a prospective, longitudinal cohort study. </w:t>
      </w:r>
      <w:r w:rsidRPr="00822AD1">
        <w:rPr>
          <w:rFonts w:eastAsia="Times New Roman"/>
          <w:i/>
          <w:iCs/>
          <w:color w:val="000000"/>
        </w:rPr>
        <w:t>Lancet Public Health</w:t>
      </w:r>
      <w:r w:rsidRPr="00822AD1">
        <w:rPr>
          <w:rFonts w:eastAsia="Times New Roman"/>
          <w:color w:val="000000"/>
        </w:rPr>
        <w:t xml:space="preserve"> </w:t>
      </w:r>
      <w:r w:rsidRPr="00822AD1">
        <w:rPr>
          <w:rFonts w:eastAsia="Times New Roman"/>
          <w:b/>
          <w:bCs/>
          <w:color w:val="000000"/>
        </w:rPr>
        <w:t>8</w:t>
      </w:r>
      <w:r w:rsidRPr="00822AD1">
        <w:rPr>
          <w:rFonts w:eastAsia="Times New Roman"/>
          <w:color w:val="000000"/>
        </w:rPr>
        <w:t>, e130–e140 (2023).</w:t>
      </w:r>
    </w:p>
    <w:p w14:paraId="6074ECB3" w14:textId="77777777" w:rsidR="00822AD1" w:rsidRPr="00822AD1" w:rsidRDefault="00822AD1">
      <w:pPr>
        <w:autoSpaceDE w:val="0"/>
        <w:autoSpaceDN w:val="0"/>
        <w:ind w:hanging="640"/>
        <w:divId w:val="1941644695"/>
        <w:rPr>
          <w:rFonts w:eastAsia="Times New Roman"/>
          <w:color w:val="000000"/>
        </w:rPr>
      </w:pPr>
      <w:r w:rsidRPr="00822AD1">
        <w:rPr>
          <w:rFonts w:eastAsia="Times New Roman"/>
          <w:color w:val="000000"/>
        </w:rPr>
        <w:t>4.</w:t>
      </w:r>
      <w:r w:rsidRPr="00822AD1">
        <w:rPr>
          <w:rFonts w:eastAsia="Times New Roman"/>
          <w:color w:val="000000"/>
        </w:rPr>
        <w:tab/>
        <w:t xml:space="preserve">Riley, R. D., Van Calster, B. &amp; Collins, G. S. A note on estimating the Cox-Snell R2 from a reported C statistic (AUROC) to inform sample size calculations for developing a prediction model with a binary outcome. </w:t>
      </w:r>
      <w:r w:rsidRPr="00822AD1">
        <w:rPr>
          <w:rFonts w:eastAsia="Times New Roman"/>
          <w:i/>
          <w:iCs/>
          <w:color w:val="000000"/>
        </w:rPr>
        <w:t>Stat. Med.</w:t>
      </w:r>
      <w:r w:rsidRPr="00822AD1">
        <w:rPr>
          <w:rFonts w:eastAsia="Times New Roman"/>
          <w:color w:val="000000"/>
        </w:rPr>
        <w:t xml:space="preserve"> </w:t>
      </w:r>
      <w:r w:rsidRPr="00822AD1">
        <w:rPr>
          <w:rFonts w:eastAsia="Times New Roman"/>
          <w:b/>
          <w:bCs/>
          <w:color w:val="000000"/>
        </w:rPr>
        <w:t>40</w:t>
      </w:r>
      <w:r w:rsidRPr="00822AD1">
        <w:rPr>
          <w:rFonts w:eastAsia="Times New Roman"/>
          <w:color w:val="000000"/>
        </w:rPr>
        <w:t>, 859–864 (2021).</w:t>
      </w:r>
    </w:p>
    <w:p w14:paraId="00A974EF" w14:textId="77777777" w:rsidR="00822AD1" w:rsidRPr="00822AD1" w:rsidRDefault="00822AD1">
      <w:pPr>
        <w:autoSpaceDE w:val="0"/>
        <w:autoSpaceDN w:val="0"/>
        <w:ind w:hanging="640"/>
        <w:divId w:val="1426611403"/>
        <w:rPr>
          <w:rFonts w:eastAsia="Times New Roman"/>
          <w:color w:val="000000"/>
        </w:rPr>
      </w:pPr>
      <w:r w:rsidRPr="00822AD1">
        <w:rPr>
          <w:rFonts w:eastAsia="Times New Roman"/>
          <w:color w:val="000000"/>
        </w:rPr>
        <w:t>5.</w:t>
      </w:r>
      <w:r w:rsidRPr="00822AD1">
        <w:rPr>
          <w:rFonts w:eastAsia="Times New Roman"/>
          <w:color w:val="000000"/>
        </w:rPr>
        <w:tab/>
        <w:t xml:space="preserve">Riley, R. D. </w:t>
      </w:r>
      <w:r w:rsidRPr="00822AD1">
        <w:rPr>
          <w:rFonts w:eastAsia="Times New Roman"/>
          <w:i/>
          <w:iCs/>
          <w:color w:val="000000"/>
        </w:rPr>
        <w:t>et al.</w:t>
      </w:r>
      <w:r w:rsidRPr="00822AD1">
        <w:rPr>
          <w:rFonts w:eastAsia="Times New Roman"/>
          <w:color w:val="000000"/>
        </w:rPr>
        <w:t xml:space="preserve"> Calculating the sample size required for developing a clinical prediction model. </w:t>
      </w:r>
      <w:r w:rsidRPr="00822AD1">
        <w:rPr>
          <w:rFonts w:eastAsia="Times New Roman"/>
          <w:i/>
          <w:iCs/>
          <w:color w:val="000000"/>
        </w:rPr>
        <w:t>BMJ</w:t>
      </w:r>
      <w:r w:rsidRPr="00822AD1">
        <w:rPr>
          <w:rFonts w:eastAsia="Times New Roman"/>
          <w:color w:val="000000"/>
        </w:rPr>
        <w:t xml:space="preserve"> </w:t>
      </w:r>
      <w:r w:rsidRPr="00822AD1">
        <w:rPr>
          <w:rFonts w:eastAsia="Times New Roman"/>
          <w:b/>
          <w:bCs/>
          <w:color w:val="000000"/>
        </w:rPr>
        <w:t>368</w:t>
      </w:r>
      <w:r w:rsidRPr="00822AD1">
        <w:rPr>
          <w:rFonts w:eastAsia="Times New Roman"/>
          <w:color w:val="000000"/>
        </w:rPr>
        <w:t>, (2020).</w:t>
      </w:r>
    </w:p>
    <w:p w14:paraId="7FF7A97F" w14:textId="77777777" w:rsidR="00822AD1" w:rsidRPr="00822AD1" w:rsidRDefault="00822AD1">
      <w:pPr>
        <w:autoSpaceDE w:val="0"/>
        <w:autoSpaceDN w:val="0"/>
        <w:ind w:hanging="640"/>
        <w:divId w:val="1494643550"/>
        <w:rPr>
          <w:rFonts w:eastAsia="Times New Roman"/>
          <w:color w:val="000000"/>
        </w:rPr>
      </w:pPr>
      <w:r w:rsidRPr="00822AD1">
        <w:rPr>
          <w:rFonts w:eastAsia="Times New Roman"/>
          <w:color w:val="000000"/>
        </w:rPr>
        <w:t>6.</w:t>
      </w:r>
      <w:r w:rsidRPr="00822AD1">
        <w:rPr>
          <w:rFonts w:eastAsia="Times New Roman"/>
          <w:color w:val="000000"/>
        </w:rPr>
        <w:tab/>
        <w:t xml:space="preserve">Blanche, P., </w:t>
      </w:r>
      <w:proofErr w:type="spellStart"/>
      <w:r w:rsidRPr="00822AD1">
        <w:rPr>
          <w:rFonts w:eastAsia="Times New Roman"/>
          <w:color w:val="000000"/>
        </w:rPr>
        <w:t>Dartigues</w:t>
      </w:r>
      <w:proofErr w:type="spellEnd"/>
      <w:r w:rsidRPr="00822AD1">
        <w:rPr>
          <w:rFonts w:eastAsia="Times New Roman"/>
          <w:color w:val="000000"/>
        </w:rPr>
        <w:t xml:space="preserve">, J. F. &amp; </w:t>
      </w:r>
      <w:proofErr w:type="spellStart"/>
      <w:r w:rsidRPr="00822AD1">
        <w:rPr>
          <w:rFonts w:eastAsia="Times New Roman"/>
          <w:color w:val="000000"/>
        </w:rPr>
        <w:t>Jacqmin</w:t>
      </w:r>
      <w:proofErr w:type="spellEnd"/>
      <w:r w:rsidRPr="00822AD1">
        <w:rPr>
          <w:rFonts w:eastAsia="Times New Roman"/>
          <w:color w:val="000000"/>
        </w:rPr>
        <w:t xml:space="preserve">-Gadda, H. Estimating and comparing time-dependent areas under receiver operating characteristic curves for censored event times with competing risks. </w:t>
      </w:r>
      <w:r w:rsidRPr="00822AD1">
        <w:rPr>
          <w:rFonts w:eastAsia="Times New Roman"/>
          <w:i/>
          <w:iCs/>
          <w:color w:val="000000"/>
        </w:rPr>
        <w:t>Stat. Med.</w:t>
      </w:r>
      <w:r w:rsidRPr="00822AD1">
        <w:rPr>
          <w:rFonts w:eastAsia="Times New Roman"/>
          <w:color w:val="000000"/>
        </w:rPr>
        <w:t xml:space="preserve"> </w:t>
      </w:r>
      <w:r w:rsidRPr="00822AD1">
        <w:rPr>
          <w:rFonts w:eastAsia="Times New Roman"/>
          <w:b/>
          <w:bCs/>
          <w:color w:val="000000"/>
        </w:rPr>
        <w:t>32</w:t>
      </w:r>
      <w:r w:rsidRPr="00822AD1">
        <w:rPr>
          <w:rFonts w:eastAsia="Times New Roman"/>
          <w:color w:val="000000"/>
        </w:rPr>
        <w:t>, 5381–5397 (2013).</w:t>
      </w:r>
    </w:p>
    <w:p w14:paraId="5B2E6193" w14:textId="77777777" w:rsidR="00822AD1" w:rsidRPr="00822AD1" w:rsidRDefault="00822AD1">
      <w:pPr>
        <w:autoSpaceDE w:val="0"/>
        <w:autoSpaceDN w:val="0"/>
        <w:ind w:hanging="640"/>
        <w:divId w:val="1939362516"/>
        <w:rPr>
          <w:rFonts w:eastAsia="Times New Roman"/>
          <w:color w:val="000000"/>
        </w:rPr>
      </w:pPr>
      <w:r w:rsidRPr="00822AD1">
        <w:rPr>
          <w:rFonts w:eastAsia="Times New Roman"/>
          <w:color w:val="000000"/>
        </w:rPr>
        <w:t>7.</w:t>
      </w:r>
      <w:r w:rsidRPr="00822AD1">
        <w:rPr>
          <w:rFonts w:eastAsia="Times New Roman"/>
          <w:color w:val="000000"/>
        </w:rPr>
        <w:tab/>
        <w:t xml:space="preserve">Gendarme, S. </w:t>
      </w:r>
      <w:r w:rsidRPr="00822AD1">
        <w:rPr>
          <w:rFonts w:eastAsia="Times New Roman"/>
          <w:i/>
          <w:iCs/>
          <w:color w:val="000000"/>
        </w:rPr>
        <w:t>et al.</w:t>
      </w:r>
      <w:r w:rsidRPr="00822AD1">
        <w:rPr>
          <w:rFonts w:eastAsia="Times New Roman"/>
          <w:color w:val="000000"/>
        </w:rPr>
        <w:t xml:space="preserve"> Impact of Comorbidities on the Mortality Benefits of Lung Cancer Screening: A Post-Hoc Analysis of the PLCO and NLST Trials. </w:t>
      </w:r>
      <w:r w:rsidRPr="00822AD1">
        <w:rPr>
          <w:rFonts w:eastAsia="Times New Roman"/>
          <w:i/>
          <w:iCs/>
          <w:color w:val="000000"/>
        </w:rPr>
        <w:t>Journal of Thoracic Oncology</w:t>
      </w:r>
      <w:r w:rsidRPr="00822AD1">
        <w:rPr>
          <w:rFonts w:eastAsia="Times New Roman"/>
          <w:color w:val="000000"/>
        </w:rPr>
        <w:t xml:space="preserve"> </w:t>
      </w:r>
      <w:r w:rsidRPr="00822AD1">
        <w:rPr>
          <w:rFonts w:eastAsia="Times New Roman"/>
          <w:b/>
          <w:bCs/>
          <w:color w:val="000000"/>
        </w:rPr>
        <w:t>20</w:t>
      </w:r>
      <w:r w:rsidRPr="00822AD1">
        <w:rPr>
          <w:rFonts w:eastAsia="Times New Roman"/>
          <w:color w:val="000000"/>
        </w:rPr>
        <w:t>, 565–576 (2025).</w:t>
      </w:r>
    </w:p>
    <w:p w14:paraId="1D62341F" w14:textId="77777777" w:rsidR="00822AD1" w:rsidRPr="00822AD1" w:rsidRDefault="00822AD1">
      <w:pPr>
        <w:autoSpaceDE w:val="0"/>
        <w:autoSpaceDN w:val="0"/>
        <w:ind w:hanging="640"/>
        <w:divId w:val="1280993524"/>
        <w:rPr>
          <w:rFonts w:eastAsia="Times New Roman"/>
          <w:color w:val="000000"/>
        </w:rPr>
      </w:pPr>
      <w:r w:rsidRPr="00822AD1">
        <w:rPr>
          <w:rFonts w:eastAsia="Times New Roman"/>
          <w:color w:val="000000"/>
        </w:rPr>
        <w:t>8.</w:t>
      </w:r>
      <w:r w:rsidRPr="00822AD1">
        <w:rPr>
          <w:rFonts w:eastAsia="Times New Roman"/>
          <w:color w:val="000000"/>
        </w:rPr>
        <w:tab/>
        <w:t xml:space="preserve">Cheung, L. C., Berg, C. D., Castle, P. E., </w:t>
      </w:r>
      <w:proofErr w:type="spellStart"/>
      <w:r w:rsidRPr="00822AD1">
        <w:rPr>
          <w:rFonts w:eastAsia="Times New Roman"/>
          <w:color w:val="000000"/>
        </w:rPr>
        <w:t>Katki</w:t>
      </w:r>
      <w:proofErr w:type="spellEnd"/>
      <w:r w:rsidRPr="00822AD1">
        <w:rPr>
          <w:rFonts w:eastAsia="Times New Roman"/>
          <w:color w:val="000000"/>
        </w:rPr>
        <w:t xml:space="preserve">, H. A. &amp; Chaturvedi, A. K. Life-Gained–Based Versus Risk-Based Selection of Smokers for Lung Cancer Screening. </w:t>
      </w:r>
      <w:r w:rsidRPr="00822AD1">
        <w:rPr>
          <w:rFonts w:eastAsia="Times New Roman"/>
          <w:i/>
          <w:iCs/>
          <w:color w:val="000000"/>
        </w:rPr>
        <w:t>https://doi.org/10.7326/M19-1263</w:t>
      </w:r>
      <w:r w:rsidRPr="00822AD1">
        <w:rPr>
          <w:rFonts w:eastAsia="Times New Roman"/>
          <w:color w:val="000000"/>
        </w:rPr>
        <w:t xml:space="preserve"> </w:t>
      </w:r>
      <w:r w:rsidRPr="00822AD1">
        <w:rPr>
          <w:rFonts w:eastAsia="Times New Roman"/>
          <w:b/>
          <w:bCs/>
          <w:color w:val="000000"/>
        </w:rPr>
        <w:t>171</w:t>
      </w:r>
      <w:r w:rsidRPr="00822AD1">
        <w:rPr>
          <w:rFonts w:eastAsia="Times New Roman"/>
          <w:color w:val="000000"/>
        </w:rPr>
        <w:t>, 623–632 (2019).</w:t>
      </w:r>
    </w:p>
    <w:p w14:paraId="5B765C6E" w14:textId="1ED1B8B6" w:rsidR="00D95511" w:rsidRPr="00D95511" w:rsidRDefault="00822AD1" w:rsidP="00D95511">
      <w:r w:rsidRPr="00822AD1">
        <w:rPr>
          <w:rFonts w:eastAsia="Times New Roman"/>
          <w:color w:val="000000"/>
        </w:rPr>
        <w:t> </w:t>
      </w:r>
    </w:p>
    <w:sectPr w:rsidR="00D95511" w:rsidRPr="00D95511" w:rsidSect="0002435A">
      <w:headerReference w:type="default" r:id="rId27"/>
      <w:footerReference w:type="default" r:id="rId28"/>
      <w:headerReference w:type="first" r:id="rId29"/>
      <w:footerReference w:type="first" r:id="rId30"/>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E56B0" w14:textId="77777777" w:rsidR="00873F46" w:rsidRDefault="00873F46" w:rsidP="00F11BA2">
      <w:r>
        <w:separator/>
      </w:r>
    </w:p>
  </w:endnote>
  <w:endnote w:type="continuationSeparator" w:id="0">
    <w:p w14:paraId="0D82364F" w14:textId="77777777" w:rsidR="00873F46" w:rsidRDefault="00873F46" w:rsidP="00F11BA2">
      <w:r>
        <w:continuationSeparator/>
      </w:r>
    </w:p>
  </w:endnote>
  <w:endnote w:type="continuationNotice" w:id="1">
    <w:p w14:paraId="1DD9406E" w14:textId="77777777" w:rsidR="00873F46" w:rsidRDefault="00873F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FA5F7" w14:textId="77777777" w:rsidR="776022EE" w:rsidRPr="004833D2" w:rsidRDefault="000A0313" w:rsidP="004833D2">
    <w:pPr>
      <w:pStyle w:val="Footer"/>
      <w:jc w:val="right"/>
      <w:rPr>
        <w:color w:val="7F7F7F" w:themeColor="text1" w:themeTint="80"/>
      </w:rPr>
    </w:pPr>
    <w:r w:rsidRPr="004833D2">
      <w:rPr>
        <w:color w:val="7F7F7F" w:themeColor="text1" w:themeTint="80"/>
      </w:rPr>
      <w:fldChar w:fldCharType="begin"/>
    </w:r>
    <w:r w:rsidRPr="004833D2">
      <w:rPr>
        <w:color w:val="7F7F7F" w:themeColor="text1" w:themeTint="80"/>
      </w:rPr>
      <w:instrText>PAGE</w:instrText>
    </w:r>
    <w:r w:rsidRPr="004833D2">
      <w:rPr>
        <w:color w:val="7F7F7F" w:themeColor="text1" w:themeTint="80"/>
      </w:rPr>
      <w:fldChar w:fldCharType="separate"/>
    </w:r>
    <w:r w:rsidRPr="004833D2">
      <w:rPr>
        <w:color w:val="7F7F7F" w:themeColor="text1" w:themeTint="80"/>
      </w:rPr>
      <w:t>5</w:t>
    </w:r>
    <w:r w:rsidRPr="004833D2">
      <w:rPr>
        <w:color w:val="7F7F7F" w:themeColor="text1" w:themeTint="80"/>
      </w:rPr>
      <w:fldChar w:fldCharType="end"/>
    </w:r>
    <w:r w:rsidRPr="004833D2">
      <w:rPr>
        <w:color w:val="7F7F7F" w:themeColor="text1" w:themeTint="80"/>
      </w:rPr>
      <w:t xml:space="preserve"> of </w:t>
    </w:r>
    <w:r w:rsidRPr="004833D2">
      <w:rPr>
        <w:color w:val="7F7F7F" w:themeColor="text1" w:themeTint="80"/>
      </w:rPr>
      <w:fldChar w:fldCharType="begin"/>
    </w:r>
    <w:r w:rsidRPr="004833D2">
      <w:rPr>
        <w:color w:val="7F7F7F" w:themeColor="text1" w:themeTint="80"/>
      </w:rPr>
      <w:instrText>NUMPAGES</w:instrText>
    </w:r>
    <w:r w:rsidRPr="004833D2">
      <w:rPr>
        <w:color w:val="7F7F7F" w:themeColor="text1" w:themeTint="80"/>
      </w:rPr>
      <w:fldChar w:fldCharType="separate"/>
    </w:r>
    <w:r w:rsidRPr="004833D2">
      <w:rPr>
        <w:color w:val="7F7F7F" w:themeColor="text1" w:themeTint="80"/>
      </w:rPr>
      <w:t>13</w:t>
    </w:r>
    <w:r w:rsidRPr="004833D2">
      <w:rPr>
        <w:color w:val="7F7F7F" w:themeColor="text1" w:themeTint="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76022EE" w14:paraId="0F1ACFD5" w14:textId="77777777" w:rsidTr="776022EE">
      <w:trPr>
        <w:trHeight w:val="300"/>
      </w:trPr>
      <w:tc>
        <w:tcPr>
          <w:tcW w:w="3120" w:type="dxa"/>
        </w:tcPr>
        <w:p w14:paraId="1801BD92" w14:textId="77777777" w:rsidR="776022EE" w:rsidRDefault="776022EE" w:rsidP="00F11BA2">
          <w:pPr>
            <w:pStyle w:val="Header"/>
          </w:pPr>
        </w:p>
      </w:tc>
      <w:tc>
        <w:tcPr>
          <w:tcW w:w="3120" w:type="dxa"/>
        </w:tcPr>
        <w:p w14:paraId="15D2416A" w14:textId="77777777" w:rsidR="776022EE" w:rsidRDefault="776022EE" w:rsidP="00F11BA2">
          <w:pPr>
            <w:pStyle w:val="Header"/>
          </w:pPr>
        </w:p>
      </w:tc>
      <w:tc>
        <w:tcPr>
          <w:tcW w:w="3120" w:type="dxa"/>
        </w:tcPr>
        <w:p w14:paraId="3E243BE7" w14:textId="77777777" w:rsidR="776022EE" w:rsidRDefault="776022EE" w:rsidP="00F11BA2">
          <w:pPr>
            <w:pStyle w:val="Header"/>
          </w:pPr>
        </w:p>
      </w:tc>
    </w:tr>
  </w:tbl>
  <w:p w14:paraId="12A3D9BA" w14:textId="77777777" w:rsidR="776022EE" w:rsidRDefault="776022EE" w:rsidP="00F11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8DDA8" w14:textId="77777777" w:rsidR="00873F46" w:rsidRDefault="00873F46" w:rsidP="00F11BA2">
      <w:r>
        <w:separator/>
      </w:r>
    </w:p>
  </w:footnote>
  <w:footnote w:type="continuationSeparator" w:id="0">
    <w:p w14:paraId="3BA46D0B" w14:textId="77777777" w:rsidR="00873F46" w:rsidRDefault="00873F46" w:rsidP="00F11BA2">
      <w:r>
        <w:continuationSeparator/>
      </w:r>
    </w:p>
  </w:footnote>
  <w:footnote w:type="continuationNotice" w:id="1">
    <w:p w14:paraId="1E42E4EE" w14:textId="77777777" w:rsidR="00873F46" w:rsidRDefault="00873F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2229B" w14:textId="77777777" w:rsidR="776022EE" w:rsidRPr="00280C3A" w:rsidRDefault="00280C3A" w:rsidP="00F11BA2">
    <w:pPr>
      <w:pStyle w:val="Header"/>
      <w:rPr>
        <w:color w:val="000000" w:themeColor="text1"/>
      </w:rPr>
    </w:pPr>
    <w:r>
      <w:rPr>
        <w:color w:val="000000" w:themeColor="text1"/>
      </w:rPr>
      <w:t>Biological a</w:t>
    </w:r>
    <w:r w:rsidR="4B29E1AF" w:rsidRPr="4B29E1AF">
      <w:rPr>
        <w:color w:val="000000" w:themeColor="text1"/>
      </w:rPr>
      <w:t>ge</w:t>
    </w:r>
    <w:r w:rsidR="005F7517">
      <w:rPr>
        <w:color w:val="000000" w:themeColor="text1"/>
      </w:rPr>
      <w:t xml:space="preserve"> and competing risk of death</w:t>
    </w:r>
    <w:r w:rsidR="4B29E1AF" w:rsidRPr="4B29E1AF">
      <w:rPr>
        <w:color w:val="000000" w:themeColor="text1"/>
      </w:rPr>
      <w:t xml:space="preserve"> in lung cancer screening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76022EE" w14:paraId="275154B3" w14:textId="77777777" w:rsidTr="776022EE">
      <w:trPr>
        <w:trHeight w:val="300"/>
      </w:trPr>
      <w:tc>
        <w:tcPr>
          <w:tcW w:w="3120" w:type="dxa"/>
        </w:tcPr>
        <w:p w14:paraId="6CA14C97" w14:textId="77777777" w:rsidR="776022EE" w:rsidRDefault="776022EE" w:rsidP="00F11BA2">
          <w:pPr>
            <w:pStyle w:val="Header"/>
          </w:pPr>
        </w:p>
      </w:tc>
      <w:tc>
        <w:tcPr>
          <w:tcW w:w="3120" w:type="dxa"/>
        </w:tcPr>
        <w:p w14:paraId="03041ECA" w14:textId="77777777" w:rsidR="776022EE" w:rsidRDefault="776022EE" w:rsidP="00F11BA2">
          <w:pPr>
            <w:pStyle w:val="Header"/>
          </w:pPr>
        </w:p>
      </w:tc>
      <w:tc>
        <w:tcPr>
          <w:tcW w:w="3120" w:type="dxa"/>
        </w:tcPr>
        <w:p w14:paraId="501DEE71" w14:textId="77777777" w:rsidR="776022EE" w:rsidRDefault="776022EE" w:rsidP="00F11BA2">
          <w:pPr>
            <w:pStyle w:val="Header"/>
          </w:pPr>
        </w:p>
      </w:tc>
    </w:tr>
  </w:tbl>
  <w:p w14:paraId="762B13DE" w14:textId="77777777" w:rsidR="776022EE" w:rsidRDefault="776022EE" w:rsidP="00F11B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133"/>
    <w:multiLevelType w:val="hybridMultilevel"/>
    <w:tmpl w:val="17D6BC7C"/>
    <w:lvl w:ilvl="0" w:tplc="5658DBA6">
      <w:start w:val="1"/>
      <w:numFmt w:val="decimal"/>
      <w:lvlText w:val="%1."/>
      <w:lvlJc w:val="left"/>
      <w:pPr>
        <w:ind w:left="1020" w:hanging="360"/>
      </w:pPr>
    </w:lvl>
    <w:lvl w:ilvl="1" w:tplc="24DC8FE4">
      <w:start w:val="1"/>
      <w:numFmt w:val="decimal"/>
      <w:lvlText w:val="%2."/>
      <w:lvlJc w:val="left"/>
      <w:pPr>
        <w:ind w:left="1020" w:hanging="360"/>
      </w:pPr>
    </w:lvl>
    <w:lvl w:ilvl="2" w:tplc="81E4910E">
      <w:start w:val="1"/>
      <w:numFmt w:val="decimal"/>
      <w:lvlText w:val="%3."/>
      <w:lvlJc w:val="left"/>
      <w:pPr>
        <w:ind w:left="1020" w:hanging="360"/>
      </w:pPr>
    </w:lvl>
    <w:lvl w:ilvl="3" w:tplc="3C6EBD8A">
      <w:start w:val="1"/>
      <w:numFmt w:val="decimal"/>
      <w:lvlText w:val="%4."/>
      <w:lvlJc w:val="left"/>
      <w:pPr>
        <w:ind w:left="1020" w:hanging="360"/>
      </w:pPr>
    </w:lvl>
    <w:lvl w:ilvl="4" w:tplc="E9506484">
      <w:start w:val="1"/>
      <w:numFmt w:val="decimal"/>
      <w:lvlText w:val="%5."/>
      <w:lvlJc w:val="left"/>
      <w:pPr>
        <w:ind w:left="1020" w:hanging="360"/>
      </w:pPr>
    </w:lvl>
    <w:lvl w:ilvl="5" w:tplc="786416C0">
      <w:start w:val="1"/>
      <w:numFmt w:val="decimal"/>
      <w:lvlText w:val="%6."/>
      <w:lvlJc w:val="left"/>
      <w:pPr>
        <w:ind w:left="1020" w:hanging="360"/>
      </w:pPr>
    </w:lvl>
    <w:lvl w:ilvl="6" w:tplc="2E8C37D4">
      <w:start w:val="1"/>
      <w:numFmt w:val="decimal"/>
      <w:lvlText w:val="%7."/>
      <w:lvlJc w:val="left"/>
      <w:pPr>
        <w:ind w:left="1020" w:hanging="360"/>
      </w:pPr>
    </w:lvl>
    <w:lvl w:ilvl="7" w:tplc="3F66A06E">
      <w:start w:val="1"/>
      <w:numFmt w:val="decimal"/>
      <w:lvlText w:val="%8."/>
      <w:lvlJc w:val="left"/>
      <w:pPr>
        <w:ind w:left="1020" w:hanging="360"/>
      </w:pPr>
    </w:lvl>
    <w:lvl w:ilvl="8" w:tplc="286E913A">
      <w:start w:val="1"/>
      <w:numFmt w:val="decimal"/>
      <w:lvlText w:val="%9."/>
      <w:lvlJc w:val="left"/>
      <w:pPr>
        <w:ind w:left="1020" w:hanging="360"/>
      </w:pPr>
    </w:lvl>
  </w:abstractNum>
  <w:abstractNum w:abstractNumId="1" w15:restartNumberingAfterBreak="0">
    <w:nsid w:val="08E01A99"/>
    <w:multiLevelType w:val="hybridMultilevel"/>
    <w:tmpl w:val="1CC4E9B4"/>
    <w:lvl w:ilvl="0" w:tplc="26B65EAA">
      <w:start w:val="1"/>
      <w:numFmt w:val="decimal"/>
      <w:lvlText w:val="%1."/>
      <w:lvlJc w:val="left"/>
      <w:pPr>
        <w:ind w:left="1020" w:hanging="360"/>
      </w:pPr>
    </w:lvl>
    <w:lvl w:ilvl="1" w:tplc="FE66137E">
      <w:start w:val="1"/>
      <w:numFmt w:val="decimal"/>
      <w:lvlText w:val="%2."/>
      <w:lvlJc w:val="left"/>
      <w:pPr>
        <w:ind w:left="1020" w:hanging="360"/>
      </w:pPr>
    </w:lvl>
    <w:lvl w:ilvl="2" w:tplc="27FC7B96">
      <w:start w:val="1"/>
      <w:numFmt w:val="decimal"/>
      <w:lvlText w:val="%3."/>
      <w:lvlJc w:val="left"/>
      <w:pPr>
        <w:ind w:left="1020" w:hanging="360"/>
      </w:pPr>
    </w:lvl>
    <w:lvl w:ilvl="3" w:tplc="A9FCB9D2">
      <w:start w:val="1"/>
      <w:numFmt w:val="decimal"/>
      <w:lvlText w:val="%4."/>
      <w:lvlJc w:val="left"/>
      <w:pPr>
        <w:ind w:left="1020" w:hanging="360"/>
      </w:pPr>
    </w:lvl>
    <w:lvl w:ilvl="4" w:tplc="273ED95A">
      <w:start w:val="1"/>
      <w:numFmt w:val="decimal"/>
      <w:lvlText w:val="%5."/>
      <w:lvlJc w:val="left"/>
      <w:pPr>
        <w:ind w:left="1020" w:hanging="360"/>
      </w:pPr>
    </w:lvl>
    <w:lvl w:ilvl="5" w:tplc="ECA8A2F4">
      <w:start w:val="1"/>
      <w:numFmt w:val="decimal"/>
      <w:lvlText w:val="%6."/>
      <w:lvlJc w:val="left"/>
      <w:pPr>
        <w:ind w:left="1020" w:hanging="360"/>
      </w:pPr>
    </w:lvl>
    <w:lvl w:ilvl="6" w:tplc="DDF830BC">
      <w:start w:val="1"/>
      <w:numFmt w:val="decimal"/>
      <w:lvlText w:val="%7."/>
      <w:lvlJc w:val="left"/>
      <w:pPr>
        <w:ind w:left="1020" w:hanging="360"/>
      </w:pPr>
    </w:lvl>
    <w:lvl w:ilvl="7" w:tplc="07384C54">
      <w:start w:val="1"/>
      <w:numFmt w:val="decimal"/>
      <w:lvlText w:val="%8."/>
      <w:lvlJc w:val="left"/>
      <w:pPr>
        <w:ind w:left="1020" w:hanging="360"/>
      </w:pPr>
    </w:lvl>
    <w:lvl w:ilvl="8" w:tplc="A4BE9804">
      <w:start w:val="1"/>
      <w:numFmt w:val="decimal"/>
      <w:lvlText w:val="%9."/>
      <w:lvlJc w:val="left"/>
      <w:pPr>
        <w:ind w:left="1020" w:hanging="360"/>
      </w:pPr>
    </w:lvl>
  </w:abstractNum>
  <w:abstractNum w:abstractNumId="2" w15:restartNumberingAfterBreak="0">
    <w:nsid w:val="0E372215"/>
    <w:multiLevelType w:val="hybridMultilevel"/>
    <w:tmpl w:val="FFFFFFFF"/>
    <w:lvl w:ilvl="0" w:tplc="3D264E78">
      <w:start w:val="1"/>
      <w:numFmt w:val="decimal"/>
      <w:lvlText w:val="%1."/>
      <w:lvlJc w:val="left"/>
      <w:pPr>
        <w:ind w:left="720" w:hanging="360"/>
      </w:pPr>
    </w:lvl>
    <w:lvl w:ilvl="1" w:tplc="D31EB7E8">
      <w:start w:val="1"/>
      <w:numFmt w:val="lowerLetter"/>
      <w:lvlText w:val="%2."/>
      <w:lvlJc w:val="left"/>
      <w:pPr>
        <w:ind w:left="1440" w:hanging="360"/>
      </w:pPr>
    </w:lvl>
    <w:lvl w:ilvl="2" w:tplc="C4E6354A">
      <w:start w:val="1"/>
      <w:numFmt w:val="lowerRoman"/>
      <w:lvlText w:val="%3."/>
      <w:lvlJc w:val="right"/>
      <w:pPr>
        <w:ind w:left="2160" w:hanging="180"/>
      </w:pPr>
    </w:lvl>
    <w:lvl w:ilvl="3" w:tplc="B84265B0">
      <w:start w:val="1"/>
      <w:numFmt w:val="decimal"/>
      <w:lvlText w:val="%4."/>
      <w:lvlJc w:val="left"/>
      <w:pPr>
        <w:ind w:left="2880" w:hanging="360"/>
      </w:pPr>
    </w:lvl>
    <w:lvl w:ilvl="4" w:tplc="65D646D0">
      <w:start w:val="1"/>
      <w:numFmt w:val="lowerLetter"/>
      <w:lvlText w:val="%5."/>
      <w:lvlJc w:val="left"/>
      <w:pPr>
        <w:ind w:left="3600" w:hanging="360"/>
      </w:pPr>
    </w:lvl>
    <w:lvl w:ilvl="5" w:tplc="F4E4757A">
      <w:start w:val="1"/>
      <w:numFmt w:val="lowerRoman"/>
      <w:lvlText w:val="%6."/>
      <w:lvlJc w:val="right"/>
      <w:pPr>
        <w:ind w:left="4320" w:hanging="180"/>
      </w:pPr>
    </w:lvl>
    <w:lvl w:ilvl="6" w:tplc="49525C1C">
      <w:start w:val="1"/>
      <w:numFmt w:val="decimal"/>
      <w:lvlText w:val="%7."/>
      <w:lvlJc w:val="left"/>
      <w:pPr>
        <w:ind w:left="5040" w:hanging="360"/>
      </w:pPr>
    </w:lvl>
    <w:lvl w:ilvl="7" w:tplc="F7A4F26A">
      <w:start w:val="1"/>
      <w:numFmt w:val="lowerLetter"/>
      <w:lvlText w:val="%8."/>
      <w:lvlJc w:val="left"/>
      <w:pPr>
        <w:ind w:left="5760" w:hanging="360"/>
      </w:pPr>
    </w:lvl>
    <w:lvl w:ilvl="8" w:tplc="675E21F6">
      <w:start w:val="1"/>
      <w:numFmt w:val="lowerRoman"/>
      <w:lvlText w:val="%9."/>
      <w:lvlJc w:val="right"/>
      <w:pPr>
        <w:ind w:left="6480" w:hanging="180"/>
      </w:pPr>
    </w:lvl>
  </w:abstractNum>
  <w:abstractNum w:abstractNumId="3" w15:restartNumberingAfterBreak="0">
    <w:nsid w:val="0F710CD4"/>
    <w:multiLevelType w:val="hybridMultilevel"/>
    <w:tmpl w:val="ADCA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ABF925"/>
    <w:multiLevelType w:val="hybridMultilevel"/>
    <w:tmpl w:val="471A394A"/>
    <w:lvl w:ilvl="0" w:tplc="2BD4AF9A">
      <w:start w:val="1"/>
      <w:numFmt w:val="bullet"/>
      <w:lvlText w:val="-"/>
      <w:lvlJc w:val="left"/>
      <w:pPr>
        <w:ind w:left="720" w:hanging="360"/>
      </w:pPr>
      <w:rPr>
        <w:rFonts w:ascii="Aptos" w:hAnsi="Aptos" w:hint="default"/>
      </w:rPr>
    </w:lvl>
    <w:lvl w:ilvl="1" w:tplc="4C2CB6DE">
      <w:start w:val="1"/>
      <w:numFmt w:val="bullet"/>
      <w:lvlText w:val="o"/>
      <w:lvlJc w:val="left"/>
      <w:pPr>
        <w:ind w:left="1440" w:hanging="360"/>
      </w:pPr>
      <w:rPr>
        <w:rFonts w:ascii="Courier New" w:hAnsi="Courier New" w:hint="default"/>
      </w:rPr>
    </w:lvl>
    <w:lvl w:ilvl="2" w:tplc="D848D65C">
      <w:start w:val="1"/>
      <w:numFmt w:val="bullet"/>
      <w:lvlText w:val=""/>
      <w:lvlJc w:val="left"/>
      <w:pPr>
        <w:ind w:left="2160" w:hanging="360"/>
      </w:pPr>
      <w:rPr>
        <w:rFonts w:ascii="Wingdings" w:hAnsi="Wingdings" w:hint="default"/>
      </w:rPr>
    </w:lvl>
    <w:lvl w:ilvl="3" w:tplc="06900A26">
      <w:start w:val="1"/>
      <w:numFmt w:val="bullet"/>
      <w:lvlText w:val=""/>
      <w:lvlJc w:val="left"/>
      <w:pPr>
        <w:ind w:left="2880" w:hanging="360"/>
      </w:pPr>
      <w:rPr>
        <w:rFonts w:ascii="Symbol" w:hAnsi="Symbol" w:hint="default"/>
      </w:rPr>
    </w:lvl>
    <w:lvl w:ilvl="4" w:tplc="CDB66E48">
      <w:start w:val="1"/>
      <w:numFmt w:val="bullet"/>
      <w:lvlText w:val="o"/>
      <w:lvlJc w:val="left"/>
      <w:pPr>
        <w:ind w:left="3600" w:hanging="360"/>
      </w:pPr>
      <w:rPr>
        <w:rFonts w:ascii="Courier New" w:hAnsi="Courier New" w:hint="default"/>
      </w:rPr>
    </w:lvl>
    <w:lvl w:ilvl="5" w:tplc="519EA106">
      <w:start w:val="1"/>
      <w:numFmt w:val="bullet"/>
      <w:lvlText w:val=""/>
      <w:lvlJc w:val="left"/>
      <w:pPr>
        <w:ind w:left="4320" w:hanging="360"/>
      </w:pPr>
      <w:rPr>
        <w:rFonts w:ascii="Wingdings" w:hAnsi="Wingdings" w:hint="default"/>
      </w:rPr>
    </w:lvl>
    <w:lvl w:ilvl="6" w:tplc="0D4A1C92">
      <w:start w:val="1"/>
      <w:numFmt w:val="bullet"/>
      <w:lvlText w:val=""/>
      <w:lvlJc w:val="left"/>
      <w:pPr>
        <w:ind w:left="5040" w:hanging="360"/>
      </w:pPr>
      <w:rPr>
        <w:rFonts w:ascii="Symbol" w:hAnsi="Symbol" w:hint="default"/>
      </w:rPr>
    </w:lvl>
    <w:lvl w:ilvl="7" w:tplc="93B62258">
      <w:start w:val="1"/>
      <w:numFmt w:val="bullet"/>
      <w:lvlText w:val="o"/>
      <w:lvlJc w:val="left"/>
      <w:pPr>
        <w:ind w:left="5760" w:hanging="360"/>
      </w:pPr>
      <w:rPr>
        <w:rFonts w:ascii="Courier New" w:hAnsi="Courier New" w:hint="default"/>
      </w:rPr>
    </w:lvl>
    <w:lvl w:ilvl="8" w:tplc="0D06F8EA">
      <w:start w:val="1"/>
      <w:numFmt w:val="bullet"/>
      <w:lvlText w:val=""/>
      <w:lvlJc w:val="left"/>
      <w:pPr>
        <w:ind w:left="6480" w:hanging="360"/>
      </w:pPr>
      <w:rPr>
        <w:rFonts w:ascii="Wingdings" w:hAnsi="Wingdings" w:hint="default"/>
      </w:rPr>
    </w:lvl>
  </w:abstractNum>
  <w:abstractNum w:abstractNumId="5" w15:restartNumberingAfterBreak="0">
    <w:nsid w:val="301CC89F"/>
    <w:multiLevelType w:val="hybridMultilevel"/>
    <w:tmpl w:val="FFFFFFFF"/>
    <w:lvl w:ilvl="0" w:tplc="35B4BE6A">
      <w:start w:val="1"/>
      <w:numFmt w:val="decimal"/>
      <w:lvlText w:val="%1."/>
      <w:lvlJc w:val="left"/>
      <w:pPr>
        <w:ind w:left="720" w:hanging="360"/>
      </w:pPr>
    </w:lvl>
    <w:lvl w:ilvl="1" w:tplc="6C186DF8">
      <w:start w:val="1"/>
      <w:numFmt w:val="lowerLetter"/>
      <w:lvlText w:val="%2."/>
      <w:lvlJc w:val="left"/>
      <w:pPr>
        <w:ind w:left="1440" w:hanging="360"/>
      </w:pPr>
    </w:lvl>
    <w:lvl w:ilvl="2" w:tplc="4C801DEE">
      <w:start w:val="1"/>
      <w:numFmt w:val="lowerRoman"/>
      <w:lvlText w:val="%3."/>
      <w:lvlJc w:val="right"/>
      <w:pPr>
        <w:ind w:left="2160" w:hanging="180"/>
      </w:pPr>
    </w:lvl>
    <w:lvl w:ilvl="3" w:tplc="92FC66F6">
      <w:start w:val="1"/>
      <w:numFmt w:val="decimal"/>
      <w:lvlText w:val="%4."/>
      <w:lvlJc w:val="left"/>
      <w:pPr>
        <w:ind w:left="2880" w:hanging="360"/>
      </w:pPr>
    </w:lvl>
    <w:lvl w:ilvl="4" w:tplc="5D0AD882">
      <w:start w:val="1"/>
      <w:numFmt w:val="lowerLetter"/>
      <w:lvlText w:val="%5."/>
      <w:lvlJc w:val="left"/>
      <w:pPr>
        <w:ind w:left="3600" w:hanging="360"/>
      </w:pPr>
    </w:lvl>
    <w:lvl w:ilvl="5" w:tplc="898685AA">
      <w:start w:val="1"/>
      <w:numFmt w:val="lowerRoman"/>
      <w:lvlText w:val="%6."/>
      <w:lvlJc w:val="right"/>
      <w:pPr>
        <w:ind w:left="4320" w:hanging="180"/>
      </w:pPr>
    </w:lvl>
    <w:lvl w:ilvl="6" w:tplc="46627A7C">
      <w:start w:val="1"/>
      <w:numFmt w:val="decimal"/>
      <w:lvlText w:val="%7."/>
      <w:lvlJc w:val="left"/>
      <w:pPr>
        <w:ind w:left="5040" w:hanging="360"/>
      </w:pPr>
    </w:lvl>
    <w:lvl w:ilvl="7" w:tplc="55622722">
      <w:start w:val="1"/>
      <w:numFmt w:val="lowerLetter"/>
      <w:lvlText w:val="%8."/>
      <w:lvlJc w:val="left"/>
      <w:pPr>
        <w:ind w:left="5760" w:hanging="360"/>
      </w:pPr>
    </w:lvl>
    <w:lvl w:ilvl="8" w:tplc="CE2AB704">
      <w:start w:val="1"/>
      <w:numFmt w:val="lowerRoman"/>
      <w:lvlText w:val="%9."/>
      <w:lvlJc w:val="right"/>
      <w:pPr>
        <w:ind w:left="6480" w:hanging="180"/>
      </w:pPr>
    </w:lvl>
  </w:abstractNum>
  <w:abstractNum w:abstractNumId="6" w15:restartNumberingAfterBreak="0">
    <w:nsid w:val="3C0962B6"/>
    <w:multiLevelType w:val="hybridMultilevel"/>
    <w:tmpl w:val="64BCE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4403845">
    <w:abstractNumId w:val="4"/>
  </w:num>
  <w:num w:numId="2" w16cid:durableId="1760522479">
    <w:abstractNumId w:val="2"/>
  </w:num>
  <w:num w:numId="3" w16cid:durableId="1335494882">
    <w:abstractNumId w:val="5"/>
  </w:num>
  <w:num w:numId="4" w16cid:durableId="509488954">
    <w:abstractNumId w:val="1"/>
  </w:num>
  <w:num w:numId="5" w16cid:durableId="2062633051">
    <w:abstractNumId w:val="0"/>
  </w:num>
  <w:num w:numId="6" w16cid:durableId="1665232409">
    <w:abstractNumId w:val="3"/>
  </w:num>
  <w:num w:numId="7" w16cid:durableId="3970963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1B8124"/>
    <w:rsid w:val="000013C4"/>
    <w:rsid w:val="000019DE"/>
    <w:rsid w:val="000020AE"/>
    <w:rsid w:val="0000256E"/>
    <w:rsid w:val="0000301F"/>
    <w:rsid w:val="00003DB2"/>
    <w:rsid w:val="00003EA1"/>
    <w:rsid w:val="000051D9"/>
    <w:rsid w:val="000060ED"/>
    <w:rsid w:val="00010FD3"/>
    <w:rsid w:val="00012849"/>
    <w:rsid w:val="00012C59"/>
    <w:rsid w:val="00014A5C"/>
    <w:rsid w:val="00014C50"/>
    <w:rsid w:val="000166C7"/>
    <w:rsid w:val="00016C08"/>
    <w:rsid w:val="000174CE"/>
    <w:rsid w:val="00017F0B"/>
    <w:rsid w:val="00017F9B"/>
    <w:rsid w:val="000208D5"/>
    <w:rsid w:val="00021326"/>
    <w:rsid w:val="000217E2"/>
    <w:rsid w:val="00021BA6"/>
    <w:rsid w:val="00021D36"/>
    <w:rsid w:val="00021F5D"/>
    <w:rsid w:val="000222D7"/>
    <w:rsid w:val="0002435A"/>
    <w:rsid w:val="000248D0"/>
    <w:rsid w:val="00024DD9"/>
    <w:rsid w:val="00024E33"/>
    <w:rsid w:val="000256CE"/>
    <w:rsid w:val="0002717A"/>
    <w:rsid w:val="0003021C"/>
    <w:rsid w:val="00030524"/>
    <w:rsid w:val="00031BDA"/>
    <w:rsid w:val="00032121"/>
    <w:rsid w:val="00032ADA"/>
    <w:rsid w:val="00033018"/>
    <w:rsid w:val="00033211"/>
    <w:rsid w:val="00033FE5"/>
    <w:rsid w:val="00034769"/>
    <w:rsid w:val="000349C2"/>
    <w:rsid w:val="00034C33"/>
    <w:rsid w:val="00034E4D"/>
    <w:rsid w:val="000350C3"/>
    <w:rsid w:val="000375AC"/>
    <w:rsid w:val="00038250"/>
    <w:rsid w:val="00040CCC"/>
    <w:rsid w:val="000419B6"/>
    <w:rsid w:val="00041D65"/>
    <w:rsid w:val="00042306"/>
    <w:rsid w:val="00043F8F"/>
    <w:rsid w:val="0004493E"/>
    <w:rsid w:val="00045627"/>
    <w:rsid w:val="000459BC"/>
    <w:rsid w:val="00045F4B"/>
    <w:rsid w:val="00046775"/>
    <w:rsid w:val="00047113"/>
    <w:rsid w:val="00047233"/>
    <w:rsid w:val="0004792B"/>
    <w:rsid w:val="0005142D"/>
    <w:rsid w:val="00052008"/>
    <w:rsid w:val="000526AD"/>
    <w:rsid w:val="00052822"/>
    <w:rsid w:val="00052CB6"/>
    <w:rsid w:val="00053B4F"/>
    <w:rsid w:val="00054B4A"/>
    <w:rsid w:val="000550F9"/>
    <w:rsid w:val="00055421"/>
    <w:rsid w:val="00061703"/>
    <w:rsid w:val="00061C13"/>
    <w:rsid w:val="00062F74"/>
    <w:rsid w:val="00064247"/>
    <w:rsid w:val="000642D4"/>
    <w:rsid w:val="00064402"/>
    <w:rsid w:val="00064FF5"/>
    <w:rsid w:val="00065A1F"/>
    <w:rsid w:val="00067A0E"/>
    <w:rsid w:val="00067C95"/>
    <w:rsid w:val="00067DFD"/>
    <w:rsid w:val="000701AD"/>
    <w:rsid w:val="000702B0"/>
    <w:rsid w:val="00070A0E"/>
    <w:rsid w:val="00071796"/>
    <w:rsid w:val="00072C26"/>
    <w:rsid w:val="00072CB3"/>
    <w:rsid w:val="0007369E"/>
    <w:rsid w:val="00073CED"/>
    <w:rsid w:val="00075C8B"/>
    <w:rsid w:val="00075E50"/>
    <w:rsid w:val="00076C96"/>
    <w:rsid w:val="00081694"/>
    <w:rsid w:val="000827D4"/>
    <w:rsid w:val="00083755"/>
    <w:rsid w:val="00084059"/>
    <w:rsid w:val="000844E1"/>
    <w:rsid w:val="000852F7"/>
    <w:rsid w:val="000865B5"/>
    <w:rsid w:val="0008682A"/>
    <w:rsid w:val="00087490"/>
    <w:rsid w:val="000908BC"/>
    <w:rsid w:val="00090DF5"/>
    <w:rsid w:val="00091004"/>
    <w:rsid w:val="00091595"/>
    <w:rsid w:val="000918F3"/>
    <w:rsid w:val="00092E75"/>
    <w:rsid w:val="00094C40"/>
    <w:rsid w:val="00095772"/>
    <w:rsid w:val="000975F0"/>
    <w:rsid w:val="000976C6"/>
    <w:rsid w:val="000977DC"/>
    <w:rsid w:val="00097945"/>
    <w:rsid w:val="00097BD4"/>
    <w:rsid w:val="000A01D0"/>
    <w:rsid w:val="000A0313"/>
    <w:rsid w:val="000A05AE"/>
    <w:rsid w:val="000A0F64"/>
    <w:rsid w:val="000A2D38"/>
    <w:rsid w:val="000A33E8"/>
    <w:rsid w:val="000A3857"/>
    <w:rsid w:val="000A47F8"/>
    <w:rsid w:val="000A5FB5"/>
    <w:rsid w:val="000A604D"/>
    <w:rsid w:val="000A66FE"/>
    <w:rsid w:val="000B0B13"/>
    <w:rsid w:val="000B0EF4"/>
    <w:rsid w:val="000B21C2"/>
    <w:rsid w:val="000B2712"/>
    <w:rsid w:val="000B4733"/>
    <w:rsid w:val="000B71E9"/>
    <w:rsid w:val="000B7741"/>
    <w:rsid w:val="000C091B"/>
    <w:rsid w:val="000C22B8"/>
    <w:rsid w:val="000C27C4"/>
    <w:rsid w:val="000C35C8"/>
    <w:rsid w:val="000C3924"/>
    <w:rsid w:val="000C3ED6"/>
    <w:rsid w:val="000C40AA"/>
    <w:rsid w:val="000C4360"/>
    <w:rsid w:val="000C4A1F"/>
    <w:rsid w:val="000C5C39"/>
    <w:rsid w:val="000C5C8E"/>
    <w:rsid w:val="000C5D50"/>
    <w:rsid w:val="000C74BB"/>
    <w:rsid w:val="000C74D2"/>
    <w:rsid w:val="000CEF7C"/>
    <w:rsid w:val="000D0AD5"/>
    <w:rsid w:val="000D2584"/>
    <w:rsid w:val="000D2FEA"/>
    <w:rsid w:val="000D3137"/>
    <w:rsid w:val="000D3549"/>
    <w:rsid w:val="000D6815"/>
    <w:rsid w:val="000D6ABA"/>
    <w:rsid w:val="000D6FA0"/>
    <w:rsid w:val="000E0958"/>
    <w:rsid w:val="000E0A99"/>
    <w:rsid w:val="000E146B"/>
    <w:rsid w:val="000E1897"/>
    <w:rsid w:val="000E1AE2"/>
    <w:rsid w:val="000E1C8A"/>
    <w:rsid w:val="000E1E61"/>
    <w:rsid w:val="000E238D"/>
    <w:rsid w:val="000E3584"/>
    <w:rsid w:val="000E4584"/>
    <w:rsid w:val="000E4A7D"/>
    <w:rsid w:val="000E587B"/>
    <w:rsid w:val="000E59C0"/>
    <w:rsid w:val="000E5C23"/>
    <w:rsid w:val="000E6C00"/>
    <w:rsid w:val="000E6C34"/>
    <w:rsid w:val="000F07BA"/>
    <w:rsid w:val="000F0870"/>
    <w:rsid w:val="000F14C1"/>
    <w:rsid w:val="000F18F5"/>
    <w:rsid w:val="000F1DA0"/>
    <w:rsid w:val="000F3486"/>
    <w:rsid w:val="000F36BF"/>
    <w:rsid w:val="000F36F9"/>
    <w:rsid w:val="000F3B32"/>
    <w:rsid w:val="000F4D6C"/>
    <w:rsid w:val="000F4FD9"/>
    <w:rsid w:val="000F5B29"/>
    <w:rsid w:val="000F5C69"/>
    <w:rsid w:val="000F79F3"/>
    <w:rsid w:val="00102383"/>
    <w:rsid w:val="00102ACB"/>
    <w:rsid w:val="00102E62"/>
    <w:rsid w:val="001034E8"/>
    <w:rsid w:val="00104A50"/>
    <w:rsid w:val="00104FB6"/>
    <w:rsid w:val="00105051"/>
    <w:rsid w:val="00105384"/>
    <w:rsid w:val="00105570"/>
    <w:rsid w:val="00105AB9"/>
    <w:rsid w:val="00105E2A"/>
    <w:rsid w:val="0010603D"/>
    <w:rsid w:val="0010740A"/>
    <w:rsid w:val="00110169"/>
    <w:rsid w:val="0011287A"/>
    <w:rsid w:val="00112BD7"/>
    <w:rsid w:val="00117ADC"/>
    <w:rsid w:val="00117C54"/>
    <w:rsid w:val="0012004C"/>
    <w:rsid w:val="00121AAB"/>
    <w:rsid w:val="00121D2D"/>
    <w:rsid w:val="00121FA5"/>
    <w:rsid w:val="001258F4"/>
    <w:rsid w:val="0012734A"/>
    <w:rsid w:val="00127C7A"/>
    <w:rsid w:val="001314B2"/>
    <w:rsid w:val="00131643"/>
    <w:rsid w:val="001340E1"/>
    <w:rsid w:val="00135110"/>
    <w:rsid w:val="00135E4A"/>
    <w:rsid w:val="00137E13"/>
    <w:rsid w:val="00140260"/>
    <w:rsid w:val="00141979"/>
    <w:rsid w:val="00142118"/>
    <w:rsid w:val="00142812"/>
    <w:rsid w:val="00142E4C"/>
    <w:rsid w:val="00143E1F"/>
    <w:rsid w:val="00144BA8"/>
    <w:rsid w:val="001466F5"/>
    <w:rsid w:val="00147ED8"/>
    <w:rsid w:val="001513CA"/>
    <w:rsid w:val="00151B36"/>
    <w:rsid w:val="0015272B"/>
    <w:rsid w:val="0015296B"/>
    <w:rsid w:val="00152E16"/>
    <w:rsid w:val="00153379"/>
    <w:rsid w:val="0015420C"/>
    <w:rsid w:val="001542EF"/>
    <w:rsid w:val="00154609"/>
    <w:rsid w:val="00155892"/>
    <w:rsid w:val="00155997"/>
    <w:rsid w:val="001565E7"/>
    <w:rsid w:val="00157DCC"/>
    <w:rsid w:val="0015CD24"/>
    <w:rsid w:val="001603C8"/>
    <w:rsid w:val="0016091B"/>
    <w:rsid w:val="00161BA3"/>
    <w:rsid w:val="001620FC"/>
    <w:rsid w:val="001629A6"/>
    <w:rsid w:val="001635CC"/>
    <w:rsid w:val="00164C8E"/>
    <w:rsid w:val="00164FAD"/>
    <w:rsid w:val="0016519C"/>
    <w:rsid w:val="0016578F"/>
    <w:rsid w:val="00166079"/>
    <w:rsid w:val="001665F9"/>
    <w:rsid w:val="00166EBD"/>
    <w:rsid w:val="00167267"/>
    <w:rsid w:val="001705D0"/>
    <w:rsid w:val="00171BFA"/>
    <w:rsid w:val="00171F76"/>
    <w:rsid w:val="0017219C"/>
    <w:rsid w:val="00172309"/>
    <w:rsid w:val="00172365"/>
    <w:rsid w:val="00172959"/>
    <w:rsid w:val="001729B9"/>
    <w:rsid w:val="00174C92"/>
    <w:rsid w:val="00175B3F"/>
    <w:rsid w:val="00175F10"/>
    <w:rsid w:val="001761D4"/>
    <w:rsid w:val="00176EFB"/>
    <w:rsid w:val="00176FBD"/>
    <w:rsid w:val="0018045B"/>
    <w:rsid w:val="0018065A"/>
    <w:rsid w:val="00180E6C"/>
    <w:rsid w:val="00181F0A"/>
    <w:rsid w:val="001820DA"/>
    <w:rsid w:val="00182B7C"/>
    <w:rsid w:val="001836C9"/>
    <w:rsid w:val="00183FCB"/>
    <w:rsid w:val="0018525B"/>
    <w:rsid w:val="00186123"/>
    <w:rsid w:val="00186CCC"/>
    <w:rsid w:val="001874E2"/>
    <w:rsid w:val="001901A2"/>
    <w:rsid w:val="00190328"/>
    <w:rsid w:val="00191E51"/>
    <w:rsid w:val="00192AB9"/>
    <w:rsid w:val="00193BDE"/>
    <w:rsid w:val="00194273"/>
    <w:rsid w:val="00194483"/>
    <w:rsid w:val="001950D5"/>
    <w:rsid w:val="0019712B"/>
    <w:rsid w:val="00197871"/>
    <w:rsid w:val="001A2B2E"/>
    <w:rsid w:val="001A3207"/>
    <w:rsid w:val="001A347A"/>
    <w:rsid w:val="001A38BD"/>
    <w:rsid w:val="001A5A61"/>
    <w:rsid w:val="001B0991"/>
    <w:rsid w:val="001B10DA"/>
    <w:rsid w:val="001B15C1"/>
    <w:rsid w:val="001B2E5D"/>
    <w:rsid w:val="001B45BB"/>
    <w:rsid w:val="001B5009"/>
    <w:rsid w:val="001B5866"/>
    <w:rsid w:val="001B59E2"/>
    <w:rsid w:val="001B6172"/>
    <w:rsid w:val="001B700A"/>
    <w:rsid w:val="001B76DD"/>
    <w:rsid w:val="001C1BE0"/>
    <w:rsid w:val="001C20D7"/>
    <w:rsid w:val="001C26CB"/>
    <w:rsid w:val="001C3140"/>
    <w:rsid w:val="001C654F"/>
    <w:rsid w:val="001C7087"/>
    <w:rsid w:val="001C7E50"/>
    <w:rsid w:val="001D094A"/>
    <w:rsid w:val="001D095D"/>
    <w:rsid w:val="001D0BCE"/>
    <w:rsid w:val="001D1101"/>
    <w:rsid w:val="001D1355"/>
    <w:rsid w:val="001D30F4"/>
    <w:rsid w:val="001D39CF"/>
    <w:rsid w:val="001D43BC"/>
    <w:rsid w:val="001D5020"/>
    <w:rsid w:val="001D5494"/>
    <w:rsid w:val="001D7551"/>
    <w:rsid w:val="001E2400"/>
    <w:rsid w:val="001E2857"/>
    <w:rsid w:val="001E2F58"/>
    <w:rsid w:val="001E3C36"/>
    <w:rsid w:val="001E3EE0"/>
    <w:rsid w:val="001E406C"/>
    <w:rsid w:val="001E5B7A"/>
    <w:rsid w:val="001E5C54"/>
    <w:rsid w:val="001E6B86"/>
    <w:rsid w:val="001F001B"/>
    <w:rsid w:val="001F275F"/>
    <w:rsid w:val="001F3401"/>
    <w:rsid w:val="001F534F"/>
    <w:rsid w:val="001F5589"/>
    <w:rsid w:val="001F5655"/>
    <w:rsid w:val="001F5BE7"/>
    <w:rsid w:val="0020010B"/>
    <w:rsid w:val="002001D1"/>
    <w:rsid w:val="0020032D"/>
    <w:rsid w:val="002004E8"/>
    <w:rsid w:val="00200BA9"/>
    <w:rsid w:val="00201178"/>
    <w:rsid w:val="00201AFC"/>
    <w:rsid w:val="00202C36"/>
    <w:rsid w:val="002054C9"/>
    <w:rsid w:val="002076BB"/>
    <w:rsid w:val="00207CA0"/>
    <w:rsid w:val="002127F5"/>
    <w:rsid w:val="002148A8"/>
    <w:rsid w:val="00214C0C"/>
    <w:rsid w:val="00214FA1"/>
    <w:rsid w:val="00217620"/>
    <w:rsid w:val="00217E08"/>
    <w:rsid w:val="00217E74"/>
    <w:rsid w:val="00220272"/>
    <w:rsid w:val="00222131"/>
    <w:rsid w:val="00222217"/>
    <w:rsid w:val="00223606"/>
    <w:rsid w:val="002237B0"/>
    <w:rsid w:val="00224754"/>
    <w:rsid w:val="00224A19"/>
    <w:rsid w:val="002255EF"/>
    <w:rsid w:val="00226BB7"/>
    <w:rsid w:val="002311BF"/>
    <w:rsid w:val="00232EB3"/>
    <w:rsid w:val="002338CC"/>
    <w:rsid w:val="0023470F"/>
    <w:rsid w:val="002355AC"/>
    <w:rsid w:val="002364A4"/>
    <w:rsid w:val="0023660D"/>
    <w:rsid w:val="00237CFC"/>
    <w:rsid w:val="002406E0"/>
    <w:rsid w:val="0024291C"/>
    <w:rsid w:val="00245686"/>
    <w:rsid w:val="00246BF8"/>
    <w:rsid w:val="00246D49"/>
    <w:rsid w:val="00247AE7"/>
    <w:rsid w:val="002516C9"/>
    <w:rsid w:val="0025190E"/>
    <w:rsid w:val="00254832"/>
    <w:rsid w:val="002571A2"/>
    <w:rsid w:val="0025784C"/>
    <w:rsid w:val="00257C36"/>
    <w:rsid w:val="00261355"/>
    <w:rsid w:val="00261568"/>
    <w:rsid w:val="0026381A"/>
    <w:rsid w:val="002638F1"/>
    <w:rsid w:val="002647BD"/>
    <w:rsid w:val="00264A7F"/>
    <w:rsid w:val="00264F16"/>
    <w:rsid w:val="00265B32"/>
    <w:rsid w:val="00265D8F"/>
    <w:rsid w:val="00267110"/>
    <w:rsid w:val="0026721D"/>
    <w:rsid w:val="00270146"/>
    <w:rsid w:val="0027065A"/>
    <w:rsid w:val="0027105E"/>
    <w:rsid w:val="00271202"/>
    <w:rsid w:val="002713C7"/>
    <w:rsid w:val="002716CC"/>
    <w:rsid w:val="00272593"/>
    <w:rsid w:val="00272C1D"/>
    <w:rsid w:val="002732AF"/>
    <w:rsid w:val="002748F1"/>
    <w:rsid w:val="00277246"/>
    <w:rsid w:val="002779F0"/>
    <w:rsid w:val="00280A0C"/>
    <w:rsid w:val="00280C3A"/>
    <w:rsid w:val="0028112A"/>
    <w:rsid w:val="00281305"/>
    <w:rsid w:val="0028165A"/>
    <w:rsid w:val="00281DCA"/>
    <w:rsid w:val="002828C9"/>
    <w:rsid w:val="002830EF"/>
    <w:rsid w:val="002837FA"/>
    <w:rsid w:val="0028516E"/>
    <w:rsid w:val="002860EF"/>
    <w:rsid w:val="00288B02"/>
    <w:rsid w:val="0028E029"/>
    <w:rsid w:val="002909B0"/>
    <w:rsid w:val="00290F90"/>
    <w:rsid w:val="00290FD3"/>
    <w:rsid w:val="0029178A"/>
    <w:rsid w:val="00291903"/>
    <w:rsid w:val="002919B5"/>
    <w:rsid w:val="00292415"/>
    <w:rsid w:val="002928A6"/>
    <w:rsid w:val="0029350B"/>
    <w:rsid w:val="00295C59"/>
    <w:rsid w:val="00295D4E"/>
    <w:rsid w:val="00296508"/>
    <w:rsid w:val="00297334"/>
    <w:rsid w:val="00297524"/>
    <w:rsid w:val="002A031B"/>
    <w:rsid w:val="002A050A"/>
    <w:rsid w:val="002A0555"/>
    <w:rsid w:val="002A089F"/>
    <w:rsid w:val="002A0B48"/>
    <w:rsid w:val="002A2350"/>
    <w:rsid w:val="002A3096"/>
    <w:rsid w:val="002A3281"/>
    <w:rsid w:val="002A52CF"/>
    <w:rsid w:val="002A5A99"/>
    <w:rsid w:val="002A66AB"/>
    <w:rsid w:val="002A6829"/>
    <w:rsid w:val="002A692F"/>
    <w:rsid w:val="002A7D1C"/>
    <w:rsid w:val="002B14D4"/>
    <w:rsid w:val="002B1D63"/>
    <w:rsid w:val="002B30AC"/>
    <w:rsid w:val="002B5BC5"/>
    <w:rsid w:val="002B6A0C"/>
    <w:rsid w:val="002B7819"/>
    <w:rsid w:val="002B785B"/>
    <w:rsid w:val="002B7A49"/>
    <w:rsid w:val="002C25C4"/>
    <w:rsid w:val="002C2ECF"/>
    <w:rsid w:val="002C2F9F"/>
    <w:rsid w:val="002C3783"/>
    <w:rsid w:val="002C455C"/>
    <w:rsid w:val="002C4E3F"/>
    <w:rsid w:val="002C508F"/>
    <w:rsid w:val="002C5F29"/>
    <w:rsid w:val="002C6AA9"/>
    <w:rsid w:val="002C6C82"/>
    <w:rsid w:val="002D1ADC"/>
    <w:rsid w:val="002D1E36"/>
    <w:rsid w:val="002D321B"/>
    <w:rsid w:val="002D3757"/>
    <w:rsid w:val="002D3DAF"/>
    <w:rsid w:val="002D539A"/>
    <w:rsid w:val="002D69D2"/>
    <w:rsid w:val="002D6DC0"/>
    <w:rsid w:val="002D7EC6"/>
    <w:rsid w:val="002E0ED1"/>
    <w:rsid w:val="002E1032"/>
    <w:rsid w:val="002E214C"/>
    <w:rsid w:val="002E387B"/>
    <w:rsid w:val="002E3C0A"/>
    <w:rsid w:val="002E41F0"/>
    <w:rsid w:val="002E4681"/>
    <w:rsid w:val="002E6886"/>
    <w:rsid w:val="002E6DE4"/>
    <w:rsid w:val="002E7217"/>
    <w:rsid w:val="002F33B8"/>
    <w:rsid w:val="002F34DF"/>
    <w:rsid w:val="002F3B57"/>
    <w:rsid w:val="002F3B5D"/>
    <w:rsid w:val="002F43A8"/>
    <w:rsid w:val="002F7671"/>
    <w:rsid w:val="00300690"/>
    <w:rsid w:val="00301484"/>
    <w:rsid w:val="00302A9D"/>
    <w:rsid w:val="0030340B"/>
    <w:rsid w:val="003038E7"/>
    <w:rsid w:val="00303E2C"/>
    <w:rsid w:val="00304A2C"/>
    <w:rsid w:val="00305248"/>
    <w:rsid w:val="00305819"/>
    <w:rsid w:val="003063BA"/>
    <w:rsid w:val="003067D6"/>
    <w:rsid w:val="00306850"/>
    <w:rsid w:val="00310638"/>
    <w:rsid w:val="00312646"/>
    <w:rsid w:val="00313619"/>
    <w:rsid w:val="00316B42"/>
    <w:rsid w:val="00316EAC"/>
    <w:rsid w:val="00317319"/>
    <w:rsid w:val="003234D6"/>
    <w:rsid w:val="00323AA4"/>
    <w:rsid w:val="00323C0B"/>
    <w:rsid w:val="00325328"/>
    <w:rsid w:val="00325548"/>
    <w:rsid w:val="0032687C"/>
    <w:rsid w:val="0032782A"/>
    <w:rsid w:val="00327EC5"/>
    <w:rsid w:val="00327FCE"/>
    <w:rsid w:val="00330F6D"/>
    <w:rsid w:val="003322D8"/>
    <w:rsid w:val="003350EA"/>
    <w:rsid w:val="00337EE8"/>
    <w:rsid w:val="00337EF8"/>
    <w:rsid w:val="0034160A"/>
    <w:rsid w:val="003421B2"/>
    <w:rsid w:val="003458CD"/>
    <w:rsid w:val="00345EB9"/>
    <w:rsid w:val="00346144"/>
    <w:rsid w:val="00346A33"/>
    <w:rsid w:val="003473DD"/>
    <w:rsid w:val="00347BAD"/>
    <w:rsid w:val="00350CD0"/>
    <w:rsid w:val="00353DAF"/>
    <w:rsid w:val="00354CBE"/>
    <w:rsid w:val="00355D9E"/>
    <w:rsid w:val="003566A5"/>
    <w:rsid w:val="00356BAC"/>
    <w:rsid w:val="00356C56"/>
    <w:rsid w:val="00357310"/>
    <w:rsid w:val="0035796B"/>
    <w:rsid w:val="00357C5E"/>
    <w:rsid w:val="00357D91"/>
    <w:rsid w:val="0036128B"/>
    <w:rsid w:val="0036384F"/>
    <w:rsid w:val="00363AD7"/>
    <w:rsid w:val="003646F4"/>
    <w:rsid w:val="00365534"/>
    <w:rsid w:val="0036571D"/>
    <w:rsid w:val="0036741A"/>
    <w:rsid w:val="0036778B"/>
    <w:rsid w:val="003729E5"/>
    <w:rsid w:val="00372D10"/>
    <w:rsid w:val="0037307E"/>
    <w:rsid w:val="00373F1C"/>
    <w:rsid w:val="003748D2"/>
    <w:rsid w:val="003751B8"/>
    <w:rsid w:val="003770BB"/>
    <w:rsid w:val="003770D4"/>
    <w:rsid w:val="00377665"/>
    <w:rsid w:val="003807AE"/>
    <w:rsid w:val="0038189A"/>
    <w:rsid w:val="00383E98"/>
    <w:rsid w:val="003842A8"/>
    <w:rsid w:val="003851E4"/>
    <w:rsid w:val="0038629D"/>
    <w:rsid w:val="00386537"/>
    <w:rsid w:val="00386735"/>
    <w:rsid w:val="00386913"/>
    <w:rsid w:val="00387455"/>
    <w:rsid w:val="00388550"/>
    <w:rsid w:val="0039106B"/>
    <w:rsid w:val="00391268"/>
    <w:rsid w:val="00391D6E"/>
    <w:rsid w:val="00393049"/>
    <w:rsid w:val="00393071"/>
    <w:rsid w:val="003932CE"/>
    <w:rsid w:val="00394480"/>
    <w:rsid w:val="00394BDC"/>
    <w:rsid w:val="00394D2A"/>
    <w:rsid w:val="00395250"/>
    <w:rsid w:val="0039578F"/>
    <w:rsid w:val="00395F15"/>
    <w:rsid w:val="003972AD"/>
    <w:rsid w:val="003974FB"/>
    <w:rsid w:val="003A1A99"/>
    <w:rsid w:val="003A1B31"/>
    <w:rsid w:val="003A36F3"/>
    <w:rsid w:val="003A468E"/>
    <w:rsid w:val="003A5827"/>
    <w:rsid w:val="003A7E6F"/>
    <w:rsid w:val="003B023C"/>
    <w:rsid w:val="003B042D"/>
    <w:rsid w:val="003B0655"/>
    <w:rsid w:val="003B362E"/>
    <w:rsid w:val="003B440A"/>
    <w:rsid w:val="003B4805"/>
    <w:rsid w:val="003B4C19"/>
    <w:rsid w:val="003B5254"/>
    <w:rsid w:val="003B59C9"/>
    <w:rsid w:val="003B6A50"/>
    <w:rsid w:val="003B709F"/>
    <w:rsid w:val="003B797F"/>
    <w:rsid w:val="003B7FD5"/>
    <w:rsid w:val="003C0E67"/>
    <w:rsid w:val="003C1909"/>
    <w:rsid w:val="003C4420"/>
    <w:rsid w:val="003C46BB"/>
    <w:rsid w:val="003C47DA"/>
    <w:rsid w:val="003C4DD0"/>
    <w:rsid w:val="003C594F"/>
    <w:rsid w:val="003C6326"/>
    <w:rsid w:val="003C6B70"/>
    <w:rsid w:val="003D0199"/>
    <w:rsid w:val="003D06F9"/>
    <w:rsid w:val="003D11C0"/>
    <w:rsid w:val="003D1690"/>
    <w:rsid w:val="003D5F50"/>
    <w:rsid w:val="003D61BF"/>
    <w:rsid w:val="003D7283"/>
    <w:rsid w:val="003E001C"/>
    <w:rsid w:val="003E14E0"/>
    <w:rsid w:val="003E22AA"/>
    <w:rsid w:val="003E27F1"/>
    <w:rsid w:val="003E30C1"/>
    <w:rsid w:val="003E3E39"/>
    <w:rsid w:val="003E7309"/>
    <w:rsid w:val="003E7AA9"/>
    <w:rsid w:val="003F100C"/>
    <w:rsid w:val="003F1D99"/>
    <w:rsid w:val="003F1FAE"/>
    <w:rsid w:val="003F22FA"/>
    <w:rsid w:val="003F2B8C"/>
    <w:rsid w:val="003F305D"/>
    <w:rsid w:val="003F5104"/>
    <w:rsid w:val="003F6475"/>
    <w:rsid w:val="003F6C79"/>
    <w:rsid w:val="003F72E1"/>
    <w:rsid w:val="0040006A"/>
    <w:rsid w:val="00400095"/>
    <w:rsid w:val="0040011F"/>
    <w:rsid w:val="00400B67"/>
    <w:rsid w:val="00401366"/>
    <w:rsid w:val="004014B9"/>
    <w:rsid w:val="00402D99"/>
    <w:rsid w:val="00405595"/>
    <w:rsid w:val="004066D9"/>
    <w:rsid w:val="0040703B"/>
    <w:rsid w:val="00407046"/>
    <w:rsid w:val="004071DE"/>
    <w:rsid w:val="004105AF"/>
    <w:rsid w:val="004118B4"/>
    <w:rsid w:val="00411B41"/>
    <w:rsid w:val="004130EE"/>
    <w:rsid w:val="0041320F"/>
    <w:rsid w:val="004140E2"/>
    <w:rsid w:val="004148FD"/>
    <w:rsid w:val="00415C90"/>
    <w:rsid w:val="00417655"/>
    <w:rsid w:val="004198A0"/>
    <w:rsid w:val="0042055D"/>
    <w:rsid w:val="00420F75"/>
    <w:rsid w:val="00422A26"/>
    <w:rsid w:val="00422F78"/>
    <w:rsid w:val="00423338"/>
    <w:rsid w:val="0042339B"/>
    <w:rsid w:val="00425416"/>
    <w:rsid w:val="004256AF"/>
    <w:rsid w:val="00427E93"/>
    <w:rsid w:val="00427F6E"/>
    <w:rsid w:val="0043062F"/>
    <w:rsid w:val="00430746"/>
    <w:rsid w:val="00430C95"/>
    <w:rsid w:val="00431892"/>
    <w:rsid w:val="00432504"/>
    <w:rsid w:val="00432CEE"/>
    <w:rsid w:val="00432D33"/>
    <w:rsid w:val="0043388A"/>
    <w:rsid w:val="00434171"/>
    <w:rsid w:val="00435163"/>
    <w:rsid w:val="00436114"/>
    <w:rsid w:val="00436390"/>
    <w:rsid w:val="004374D0"/>
    <w:rsid w:val="00437511"/>
    <w:rsid w:val="004404B7"/>
    <w:rsid w:val="00440600"/>
    <w:rsid w:val="004427EC"/>
    <w:rsid w:val="004444F0"/>
    <w:rsid w:val="00444D44"/>
    <w:rsid w:val="00446042"/>
    <w:rsid w:val="004461F9"/>
    <w:rsid w:val="004463C4"/>
    <w:rsid w:val="004466F6"/>
    <w:rsid w:val="0044715F"/>
    <w:rsid w:val="00451244"/>
    <w:rsid w:val="00455BDB"/>
    <w:rsid w:val="0045639A"/>
    <w:rsid w:val="00457073"/>
    <w:rsid w:val="00457B38"/>
    <w:rsid w:val="004606E4"/>
    <w:rsid w:val="00460952"/>
    <w:rsid w:val="00460CB0"/>
    <w:rsid w:val="00461A59"/>
    <w:rsid w:val="00461C59"/>
    <w:rsid w:val="00462280"/>
    <w:rsid w:val="0046534F"/>
    <w:rsid w:val="00466314"/>
    <w:rsid w:val="004668D9"/>
    <w:rsid w:val="00467A80"/>
    <w:rsid w:val="004700C9"/>
    <w:rsid w:val="0047205C"/>
    <w:rsid w:val="0047293A"/>
    <w:rsid w:val="00472FA5"/>
    <w:rsid w:val="00473024"/>
    <w:rsid w:val="00473D02"/>
    <w:rsid w:val="00473E48"/>
    <w:rsid w:val="004749AA"/>
    <w:rsid w:val="00474C9A"/>
    <w:rsid w:val="00474F93"/>
    <w:rsid w:val="00474FC3"/>
    <w:rsid w:val="00475A63"/>
    <w:rsid w:val="00475F6E"/>
    <w:rsid w:val="00480459"/>
    <w:rsid w:val="004807A8"/>
    <w:rsid w:val="0048121A"/>
    <w:rsid w:val="004812E0"/>
    <w:rsid w:val="004818BF"/>
    <w:rsid w:val="004833D2"/>
    <w:rsid w:val="00483AAC"/>
    <w:rsid w:val="00484D0C"/>
    <w:rsid w:val="004858C1"/>
    <w:rsid w:val="0048673A"/>
    <w:rsid w:val="00486EB0"/>
    <w:rsid w:val="00487BFB"/>
    <w:rsid w:val="00491393"/>
    <w:rsid w:val="00491627"/>
    <w:rsid w:val="00491A9A"/>
    <w:rsid w:val="0049268A"/>
    <w:rsid w:val="00492FE7"/>
    <w:rsid w:val="004935D7"/>
    <w:rsid w:val="00494286"/>
    <w:rsid w:val="004942BD"/>
    <w:rsid w:val="004950E5"/>
    <w:rsid w:val="00495B73"/>
    <w:rsid w:val="00495E1F"/>
    <w:rsid w:val="004962E8"/>
    <w:rsid w:val="00497353"/>
    <w:rsid w:val="00497A0F"/>
    <w:rsid w:val="00497B70"/>
    <w:rsid w:val="004A1A91"/>
    <w:rsid w:val="004A2350"/>
    <w:rsid w:val="004A7035"/>
    <w:rsid w:val="004A7039"/>
    <w:rsid w:val="004A74CF"/>
    <w:rsid w:val="004B005F"/>
    <w:rsid w:val="004B011D"/>
    <w:rsid w:val="004B049D"/>
    <w:rsid w:val="004B04DF"/>
    <w:rsid w:val="004B0EF5"/>
    <w:rsid w:val="004B0FCE"/>
    <w:rsid w:val="004B2CE3"/>
    <w:rsid w:val="004B36CF"/>
    <w:rsid w:val="004B486E"/>
    <w:rsid w:val="004B50C1"/>
    <w:rsid w:val="004C1185"/>
    <w:rsid w:val="004C123F"/>
    <w:rsid w:val="004C2D71"/>
    <w:rsid w:val="004C3CE7"/>
    <w:rsid w:val="004C4E91"/>
    <w:rsid w:val="004C60DE"/>
    <w:rsid w:val="004C779B"/>
    <w:rsid w:val="004D016C"/>
    <w:rsid w:val="004D13CD"/>
    <w:rsid w:val="004D1528"/>
    <w:rsid w:val="004D245E"/>
    <w:rsid w:val="004D2DFA"/>
    <w:rsid w:val="004D330D"/>
    <w:rsid w:val="004D588E"/>
    <w:rsid w:val="004D5D11"/>
    <w:rsid w:val="004D63B3"/>
    <w:rsid w:val="004D6D39"/>
    <w:rsid w:val="004D7D85"/>
    <w:rsid w:val="004E16DB"/>
    <w:rsid w:val="004E1D93"/>
    <w:rsid w:val="004E2265"/>
    <w:rsid w:val="004E396D"/>
    <w:rsid w:val="004E3A86"/>
    <w:rsid w:val="004E3FE6"/>
    <w:rsid w:val="004E405A"/>
    <w:rsid w:val="004E45C9"/>
    <w:rsid w:val="004E7583"/>
    <w:rsid w:val="004E75FE"/>
    <w:rsid w:val="004E793E"/>
    <w:rsid w:val="004F1A2D"/>
    <w:rsid w:val="004F1F85"/>
    <w:rsid w:val="004F5175"/>
    <w:rsid w:val="004F556D"/>
    <w:rsid w:val="004F61B3"/>
    <w:rsid w:val="004F61F1"/>
    <w:rsid w:val="004F675F"/>
    <w:rsid w:val="004F680D"/>
    <w:rsid w:val="004F7A32"/>
    <w:rsid w:val="0050072F"/>
    <w:rsid w:val="005013F9"/>
    <w:rsid w:val="005019DC"/>
    <w:rsid w:val="005025E1"/>
    <w:rsid w:val="00506571"/>
    <w:rsid w:val="00506815"/>
    <w:rsid w:val="00506CB2"/>
    <w:rsid w:val="005072FD"/>
    <w:rsid w:val="0051048A"/>
    <w:rsid w:val="00510795"/>
    <w:rsid w:val="005107FB"/>
    <w:rsid w:val="0051103E"/>
    <w:rsid w:val="0051161C"/>
    <w:rsid w:val="005120ED"/>
    <w:rsid w:val="005124B7"/>
    <w:rsid w:val="00514B1A"/>
    <w:rsid w:val="00514C78"/>
    <w:rsid w:val="00515AF3"/>
    <w:rsid w:val="00516B56"/>
    <w:rsid w:val="00516D34"/>
    <w:rsid w:val="00516D68"/>
    <w:rsid w:val="00520249"/>
    <w:rsid w:val="005204B3"/>
    <w:rsid w:val="0052166F"/>
    <w:rsid w:val="005220B1"/>
    <w:rsid w:val="00523213"/>
    <w:rsid w:val="005247B6"/>
    <w:rsid w:val="005256C8"/>
    <w:rsid w:val="00525A29"/>
    <w:rsid w:val="00525C7C"/>
    <w:rsid w:val="00526055"/>
    <w:rsid w:val="00526F43"/>
    <w:rsid w:val="0052765E"/>
    <w:rsid w:val="00530483"/>
    <w:rsid w:val="00530990"/>
    <w:rsid w:val="00531699"/>
    <w:rsid w:val="00531DD9"/>
    <w:rsid w:val="0053276C"/>
    <w:rsid w:val="00533225"/>
    <w:rsid w:val="00534692"/>
    <w:rsid w:val="00534E2D"/>
    <w:rsid w:val="0053563F"/>
    <w:rsid w:val="00536D78"/>
    <w:rsid w:val="00543327"/>
    <w:rsid w:val="00543B1B"/>
    <w:rsid w:val="00544C34"/>
    <w:rsid w:val="005462C3"/>
    <w:rsid w:val="005466E8"/>
    <w:rsid w:val="00546DFA"/>
    <w:rsid w:val="00546ECE"/>
    <w:rsid w:val="005473F9"/>
    <w:rsid w:val="00547420"/>
    <w:rsid w:val="005506F8"/>
    <w:rsid w:val="00552672"/>
    <w:rsid w:val="0055365A"/>
    <w:rsid w:val="00553BD7"/>
    <w:rsid w:val="00554C5B"/>
    <w:rsid w:val="00554DA9"/>
    <w:rsid w:val="0055647B"/>
    <w:rsid w:val="005565D1"/>
    <w:rsid w:val="0055670D"/>
    <w:rsid w:val="00556BEE"/>
    <w:rsid w:val="00561401"/>
    <w:rsid w:val="005615AD"/>
    <w:rsid w:val="00563144"/>
    <w:rsid w:val="0056488F"/>
    <w:rsid w:val="005654F7"/>
    <w:rsid w:val="0056555E"/>
    <w:rsid w:val="005656F0"/>
    <w:rsid w:val="005658B6"/>
    <w:rsid w:val="00567D63"/>
    <w:rsid w:val="005702FB"/>
    <w:rsid w:val="00571159"/>
    <w:rsid w:val="0057205D"/>
    <w:rsid w:val="005724C9"/>
    <w:rsid w:val="00572B13"/>
    <w:rsid w:val="00572B4F"/>
    <w:rsid w:val="005736F2"/>
    <w:rsid w:val="00575FB5"/>
    <w:rsid w:val="005764CE"/>
    <w:rsid w:val="0057711E"/>
    <w:rsid w:val="00577283"/>
    <w:rsid w:val="005805C0"/>
    <w:rsid w:val="005811FE"/>
    <w:rsid w:val="00582BED"/>
    <w:rsid w:val="0058387B"/>
    <w:rsid w:val="005865F4"/>
    <w:rsid w:val="00586A20"/>
    <w:rsid w:val="005870C9"/>
    <w:rsid w:val="0058763B"/>
    <w:rsid w:val="00590336"/>
    <w:rsid w:val="0059262D"/>
    <w:rsid w:val="00594397"/>
    <w:rsid w:val="005956FE"/>
    <w:rsid w:val="005958EF"/>
    <w:rsid w:val="005974ED"/>
    <w:rsid w:val="00597EEE"/>
    <w:rsid w:val="005A0A0A"/>
    <w:rsid w:val="005A0F40"/>
    <w:rsid w:val="005A12F9"/>
    <w:rsid w:val="005A1712"/>
    <w:rsid w:val="005A17B7"/>
    <w:rsid w:val="005A2C63"/>
    <w:rsid w:val="005A3813"/>
    <w:rsid w:val="005A3C21"/>
    <w:rsid w:val="005A4335"/>
    <w:rsid w:val="005A4366"/>
    <w:rsid w:val="005A4B3A"/>
    <w:rsid w:val="005A53E3"/>
    <w:rsid w:val="005B104F"/>
    <w:rsid w:val="005B15E5"/>
    <w:rsid w:val="005B185F"/>
    <w:rsid w:val="005B187D"/>
    <w:rsid w:val="005B1C37"/>
    <w:rsid w:val="005B2F85"/>
    <w:rsid w:val="005B3B8C"/>
    <w:rsid w:val="005B487F"/>
    <w:rsid w:val="005B589D"/>
    <w:rsid w:val="005B5A7B"/>
    <w:rsid w:val="005B5A94"/>
    <w:rsid w:val="005B7448"/>
    <w:rsid w:val="005C0589"/>
    <w:rsid w:val="005C1908"/>
    <w:rsid w:val="005C3F4A"/>
    <w:rsid w:val="005C4686"/>
    <w:rsid w:val="005C4C0C"/>
    <w:rsid w:val="005C5451"/>
    <w:rsid w:val="005C5648"/>
    <w:rsid w:val="005C5D6B"/>
    <w:rsid w:val="005C60B4"/>
    <w:rsid w:val="005C6413"/>
    <w:rsid w:val="005C69FC"/>
    <w:rsid w:val="005C7E84"/>
    <w:rsid w:val="005D1183"/>
    <w:rsid w:val="005D19B8"/>
    <w:rsid w:val="005D2EFA"/>
    <w:rsid w:val="005D5B51"/>
    <w:rsid w:val="005D5DC8"/>
    <w:rsid w:val="005D6245"/>
    <w:rsid w:val="005D6F97"/>
    <w:rsid w:val="005D737F"/>
    <w:rsid w:val="005D7A24"/>
    <w:rsid w:val="005D7DCF"/>
    <w:rsid w:val="005D7DFE"/>
    <w:rsid w:val="005E009C"/>
    <w:rsid w:val="005E1A32"/>
    <w:rsid w:val="005E2280"/>
    <w:rsid w:val="005E2511"/>
    <w:rsid w:val="005E2732"/>
    <w:rsid w:val="005E4BC1"/>
    <w:rsid w:val="005E4CF3"/>
    <w:rsid w:val="005E5F6D"/>
    <w:rsid w:val="005E61C6"/>
    <w:rsid w:val="005E651A"/>
    <w:rsid w:val="005E7A11"/>
    <w:rsid w:val="005E7C08"/>
    <w:rsid w:val="005F0F41"/>
    <w:rsid w:val="005F1205"/>
    <w:rsid w:val="005F1B12"/>
    <w:rsid w:val="005F1C8E"/>
    <w:rsid w:val="005F2D30"/>
    <w:rsid w:val="005F3470"/>
    <w:rsid w:val="005F48BA"/>
    <w:rsid w:val="005F4CF5"/>
    <w:rsid w:val="005F54DB"/>
    <w:rsid w:val="005F5E8E"/>
    <w:rsid w:val="005F6108"/>
    <w:rsid w:val="005F6599"/>
    <w:rsid w:val="005F6A5D"/>
    <w:rsid w:val="005F7517"/>
    <w:rsid w:val="00600EE2"/>
    <w:rsid w:val="0060275D"/>
    <w:rsid w:val="00603F60"/>
    <w:rsid w:val="0060453F"/>
    <w:rsid w:val="00606323"/>
    <w:rsid w:val="00606997"/>
    <w:rsid w:val="00606CFC"/>
    <w:rsid w:val="0060705C"/>
    <w:rsid w:val="00607C03"/>
    <w:rsid w:val="00607D7D"/>
    <w:rsid w:val="00607E55"/>
    <w:rsid w:val="00611114"/>
    <w:rsid w:val="006113BD"/>
    <w:rsid w:val="00611A08"/>
    <w:rsid w:val="00611DAD"/>
    <w:rsid w:val="00611DC2"/>
    <w:rsid w:val="00612619"/>
    <w:rsid w:val="0061332C"/>
    <w:rsid w:val="0061375B"/>
    <w:rsid w:val="00613F72"/>
    <w:rsid w:val="006146A2"/>
    <w:rsid w:val="006160FD"/>
    <w:rsid w:val="006170BF"/>
    <w:rsid w:val="006208AD"/>
    <w:rsid w:val="0062188A"/>
    <w:rsid w:val="00621D05"/>
    <w:rsid w:val="00622D2C"/>
    <w:rsid w:val="00623DD1"/>
    <w:rsid w:val="00624EBD"/>
    <w:rsid w:val="00625590"/>
    <w:rsid w:val="006255C8"/>
    <w:rsid w:val="00626CD1"/>
    <w:rsid w:val="006312CB"/>
    <w:rsid w:val="00631D4F"/>
    <w:rsid w:val="00631E3E"/>
    <w:rsid w:val="00632279"/>
    <w:rsid w:val="00634001"/>
    <w:rsid w:val="00634042"/>
    <w:rsid w:val="00635CF1"/>
    <w:rsid w:val="00635EBA"/>
    <w:rsid w:val="00636CA5"/>
    <w:rsid w:val="00637A00"/>
    <w:rsid w:val="00640183"/>
    <w:rsid w:val="006403F7"/>
    <w:rsid w:val="006408E9"/>
    <w:rsid w:val="00641A0F"/>
    <w:rsid w:val="006420EA"/>
    <w:rsid w:val="0064319A"/>
    <w:rsid w:val="006439FB"/>
    <w:rsid w:val="00643D69"/>
    <w:rsid w:val="00643E4E"/>
    <w:rsid w:val="006454E3"/>
    <w:rsid w:val="00645E93"/>
    <w:rsid w:val="0064726A"/>
    <w:rsid w:val="00647297"/>
    <w:rsid w:val="0064729A"/>
    <w:rsid w:val="00647358"/>
    <w:rsid w:val="006477F6"/>
    <w:rsid w:val="006509E2"/>
    <w:rsid w:val="00651162"/>
    <w:rsid w:val="006516ED"/>
    <w:rsid w:val="00652933"/>
    <w:rsid w:val="00652DE2"/>
    <w:rsid w:val="0065647A"/>
    <w:rsid w:val="00656578"/>
    <w:rsid w:val="006572DC"/>
    <w:rsid w:val="00657BEB"/>
    <w:rsid w:val="00657CFF"/>
    <w:rsid w:val="00662FFA"/>
    <w:rsid w:val="006632C0"/>
    <w:rsid w:val="00663877"/>
    <w:rsid w:val="006639D7"/>
    <w:rsid w:val="00663FC5"/>
    <w:rsid w:val="00664589"/>
    <w:rsid w:val="00665EB6"/>
    <w:rsid w:val="006662E0"/>
    <w:rsid w:val="00666995"/>
    <w:rsid w:val="00667824"/>
    <w:rsid w:val="00667BAF"/>
    <w:rsid w:val="00670417"/>
    <w:rsid w:val="00671A72"/>
    <w:rsid w:val="00671BFF"/>
    <w:rsid w:val="00671E6A"/>
    <w:rsid w:val="006730BF"/>
    <w:rsid w:val="006730E3"/>
    <w:rsid w:val="00673C1B"/>
    <w:rsid w:val="00674643"/>
    <w:rsid w:val="0067613C"/>
    <w:rsid w:val="00676506"/>
    <w:rsid w:val="0067730A"/>
    <w:rsid w:val="00677769"/>
    <w:rsid w:val="00677964"/>
    <w:rsid w:val="00680258"/>
    <w:rsid w:val="006822EF"/>
    <w:rsid w:val="00682CE6"/>
    <w:rsid w:val="00682D9C"/>
    <w:rsid w:val="00683325"/>
    <w:rsid w:val="00683636"/>
    <w:rsid w:val="00683A10"/>
    <w:rsid w:val="00684596"/>
    <w:rsid w:val="00684CAF"/>
    <w:rsid w:val="006866FF"/>
    <w:rsid w:val="0069080A"/>
    <w:rsid w:val="00691A7B"/>
    <w:rsid w:val="00693127"/>
    <w:rsid w:val="00694687"/>
    <w:rsid w:val="00694CB2"/>
    <w:rsid w:val="00696E1E"/>
    <w:rsid w:val="006A0BCF"/>
    <w:rsid w:val="006A1328"/>
    <w:rsid w:val="006A1B7C"/>
    <w:rsid w:val="006A4945"/>
    <w:rsid w:val="006A4B86"/>
    <w:rsid w:val="006A63E9"/>
    <w:rsid w:val="006B024C"/>
    <w:rsid w:val="006B333B"/>
    <w:rsid w:val="006B3E58"/>
    <w:rsid w:val="006B4B58"/>
    <w:rsid w:val="006B5002"/>
    <w:rsid w:val="006B553C"/>
    <w:rsid w:val="006B5F60"/>
    <w:rsid w:val="006B671C"/>
    <w:rsid w:val="006B6CEC"/>
    <w:rsid w:val="006B6D07"/>
    <w:rsid w:val="006B7308"/>
    <w:rsid w:val="006C1258"/>
    <w:rsid w:val="006C166B"/>
    <w:rsid w:val="006C27DB"/>
    <w:rsid w:val="006C3004"/>
    <w:rsid w:val="006C60EB"/>
    <w:rsid w:val="006C736B"/>
    <w:rsid w:val="006C7494"/>
    <w:rsid w:val="006C7728"/>
    <w:rsid w:val="006D05D5"/>
    <w:rsid w:val="006D0C5C"/>
    <w:rsid w:val="006D20D7"/>
    <w:rsid w:val="006D2B87"/>
    <w:rsid w:val="006D3560"/>
    <w:rsid w:val="006D4E7F"/>
    <w:rsid w:val="006D4F6A"/>
    <w:rsid w:val="006D621A"/>
    <w:rsid w:val="006D6A2F"/>
    <w:rsid w:val="006D6D81"/>
    <w:rsid w:val="006D6EDE"/>
    <w:rsid w:val="006E0EC9"/>
    <w:rsid w:val="006E2767"/>
    <w:rsid w:val="006E2E9E"/>
    <w:rsid w:val="006E389B"/>
    <w:rsid w:val="006E3FB0"/>
    <w:rsid w:val="006E6073"/>
    <w:rsid w:val="006E64D6"/>
    <w:rsid w:val="006E6649"/>
    <w:rsid w:val="006E6D34"/>
    <w:rsid w:val="006E6E4A"/>
    <w:rsid w:val="006E7279"/>
    <w:rsid w:val="006E7EC5"/>
    <w:rsid w:val="006E7FE7"/>
    <w:rsid w:val="006F087E"/>
    <w:rsid w:val="006F2860"/>
    <w:rsid w:val="006F329D"/>
    <w:rsid w:val="006F5CCA"/>
    <w:rsid w:val="006F7EFF"/>
    <w:rsid w:val="006F7F3A"/>
    <w:rsid w:val="006FD980"/>
    <w:rsid w:val="007003FD"/>
    <w:rsid w:val="00700A3B"/>
    <w:rsid w:val="00701F6C"/>
    <w:rsid w:val="00702E26"/>
    <w:rsid w:val="007030D9"/>
    <w:rsid w:val="007040C0"/>
    <w:rsid w:val="007043AF"/>
    <w:rsid w:val="00704CF6"/>
    <w:rsid w:val="0070640B"/>
    <w:rsid w:val="007068E9"/>
    <w:rsid w:val="007069D8"/>
    <w:rsid w:val="007070AC"/>
    <w:rsid w:val="007078E6"/>
    <w:rsid w:val="00707AB4"/>
    <w:rsid w:val="0071024C"/>
    <w:rsid w:val="00711AE7"/>
    <w:rsid w:val="00712EA2"/>
    <w:rsid w:val="00712FCF"/>
    <w:rsid w:val="007131DE"/>
    <w:rsid w:val="0071556C"/>
    <w:rsid w:val="007156D6"/>
    <w:rsid w:val="00716060"/>
    <w:rsid w:val="0071615C"/>
    <w:rsid w:val="007171DF"/>
    <w:rsid w:val="0071773C"/>
    <w:rsid w:val="00720017"/>
    <w:rsid w:val="00720393"/>
    <w:rsid w:val="00722DF2"/>
    <w:rsid w:val="007256E5"/>
    <w:rsid w:val="00726C39"/>
    <w:rsid w:val="00727519"/>
    <w:rsid w:val="007302A7"/>
    <w:rsid w:val="007311F4"/>
    <w:rsid w:val="00731B47"/>
    <w:rsid w:val="00731D35"/>
    <w:rsid w:val="00732672"/>
    <w:rsid w:val="007326A9"/>
    <w:rsid w:val="007339AA"/>
    <w:rsid w:val="00735429"/>
    <w:rsid w:val="00735A95"/>
    <w:rsid w:val="00736676"/>
    <w:rsid w:val="007404E1"/>
    <w:rsid w:val="00744331"/>
    <w:rsid w:val="007445A7"/>
    <w:rsid w:val="007456BE"/>
    <w:rsid w:val="00747195"/>
    <w:rsid w:val="00747C06"/>
    <w:rsid w:val="00747FF4"/>
    <w:rsid w:val="007508C5"/>
    <w:rsid w:val="00751129"/>
    <w:rsid w:val="007518FD"/>
    <w:rsid w:val="00753181"/>
    <w:rsid w:val="00753C93"/>
    <w:rsid w:val="0075412B"/>
    <w:rsid w:val="0075EDBE"/>
    <w:rsid w:val="00761404"/>
    <w:rsid w:val="00762AA1"/>
    <w:rsid w:val="00763B3E"/>
    <w:rsid w:val="007649A8"/>
    <w:rsid w:val="00764C74"/>
    <w:rsid w:val="00764D6B"/>
    <w:rsid w:val="00765325"/>
    <w:rsid w:val="007657ED"/>
    <w:rsid w:val="00765DDE"/>
    <w:rsid w:val="007702FB"/>
    <w:rsid w:val="00772001"/>
    <w:rsid w:val="00773352"/>
    <w:rsid w:val="00774AFD"/>
    <w:rsid w:val="00775575"/>
    <w:rsid w:val="00775741"/>
    <w:rsid w:val="00775AF0"/>
    <w:rsid w:val="00776874"/>
    <w:rsid w:val="007768C5"/>
    <w:rsid w:val="00780AE7"/>
    <w:rsid w:val="007821DA"/>
    <w:rsid w:val="007825AB"/>
    <w:rsid w:val="00784335"/>
    <w:rsid w:val="00785CA7"/>
    <w:rsid w:val="007868C2"/>
    <w:rsid w:val="00787523"/>
    <w:rsid w:val="00787BB5"/>
    <w:rsid w:val="0079069B"/>
    <w:rsid w:val="00792386"/>
    <w:rsid w:val="007940D2"/>
    <w:rsid w:val="007944E1"/>
    <w:rsid w:val="00795225"/>
    <w:rsid w:val="0079652E"/>
    <w:rsid w:val="007966B9"/>
    <w:rsid w:val="00796CCE"/>
    <w:rsid w:val="00797EFC"/>
    <w:rsid w:val="007A0C1A"/>
    <w:rsid w:val="007A108B"/>
    <w:rsid w:val="007A20CB"/>
    <w:rsid w:val="007A28D4"/>
    <w:rsid w:val="007A42C1"/>
    <w:rsid w:val="007A5FC0"/>
    <w:rsid w:val="007A657D"/>
    <w:rsid w:val="007B0DB7"/>
    <w:rsid w:val="007B256E"/>
    <w:rsid w:val="007B28D7"/>
    <w:rsid w:val="007B2990"/>
    <w:rsid w:val="007B3CEA"/>
    <w:rsid w:val="007B47CC"/>
    <w:rsid w:val="007B4BA6"/>
    <w:rsid w:val="007B6031"/>
    <w:rsid w:val="007B641D"/>
    <w:rsid w:val="007B6A0A"/>
    <w:rsid w:val="007C0CB4"/>
    <w:rsid w:val="007C1F21"/>
    <w:rsid w:val="007C3DC9"/>
    <w:rsid w:val="007C51A1"/>
    <w:rsid w:val="007D03E6"/>
    <w:rsid w:val="007D068A"/>
    <w:rsid w:val="007D1170"/>
    <w:rsid w:val="007D2143"/>
    <w:rsid w:val="007D29BC"/>
    <w:rsid w:val="007D32C6"/>
    <w:rsid w:val="007D3732"/>
    <w:rsid w:val="007D39C5"/>
    <w:rsid w:val="007D4450"/>
    <w:rsid w:val="007D4AAC"/>
    <w:rsid w:val="007D5937"/>
    <w:rsid w:val="007D750A"/>
    <w:rsid w:val="007D774B"/>
    <w:rsid w:val="007E0767"/>
    <w:rsid w:val="007E2A2C"/>
    <w:rsid w:val="007E4A03"/>
    <w:rsid w:val="007E5263"/>
    <w:rsid w:val="007F08ED"/>
    <w:rsid w:val="007F0AB1"/>
    <w:rsid w:val="007F0B35"/>
    <w:rsid w:val="007F2C30"/>
    <w:rsid w:val="007F4816"/>
    <w:rsid w:val="007F4C18"/>
    <w:rsid w:val="007F4F24"/>
    <w:rsid w:val="00800518"/>
    <w:rsid w:val="00800A06"/>
    <w:rsid w:val="00801DFE"/>
    <w:rsid w:val="0080282B"/>
    <w:rsid w:val="00802B02"/>
    <w:rsid w:val="00802DED"/>
    <w:rsid w:val="00803BDD"/>
    <w:rsid w:val="00804C8D"/>
    <w:rsid w:val="00805BBA"/>
    <w:rsid w:val="008067E2"/>
    <w:rsid w:val="00807AA0"/>
    <w:rsid w:val="00810711"/>
    <w:rsid w:val="00810E3D"/>
    <w:rsid w:val="00812A4B"/>
    <w:rsid w:val="00812DF2"/>
    <w:rsid w:val="0081398E"/>
    <w:rsid w:val="00813D40"/>
    <w:rsid w:val="00813F94"/>
    <w:rsid w:val="00814E85"/>
    <w:rsid w:val="008151CF"/>
    <w:rsid w:val="00815481"/>
    <w:rsid w:val="0081550C"/>
    <w:rsid w:val="00815AF4"/>
    <w:rsid w:val="008166A6"/>
    <w:rsid w:val="00820552"/>
    <w:rsid w:val="00820AD8"/>
    <w:rsid w:val="00820B2B"/>
    <w:rsid w:val="00820F03"/>
    <w:rsid w:val="00822AD1"/>
    <w:rsid w:val="00823DBB"/>
    <w:rsid w:val="008251A8"/>
    <w:rsid w:val="0082522B"/>
    <w:rsid w:val="00825CDF"/>
    <w:rsid w:val="00826A16"/>
    <w:rsid w:val="00826D0E"/>
    <w:rsid w:val="0083154C"/>
    <w:rsid w:val="008320E0"/>
    <w:rsid w:val="00833610"/>
    <w:rsid w:val="0083427D"/>
    <w:rsid w:val="008349C8"/>
    <w:rsid w:val="008355FB"/>
    <w:rsid w:val="00835D89"/>
    <w:rsid w:val="008369EA"/>
    <w:rsid w:val="008378E3"/>
    <w:rsid w:val="00841C37"/>
    <w:rsid w:val="00841DCE"/>
    <w:rsid w:val="00843964"/>
    <w:rsid w:val="00846510"/>
    <w:rsid w:val="0085009A"/>
    <w:rsid w:val="008509B2"/>
    <w:rsid w:val="00850C0E"/>
    <w:rsid w:val="0085209F"/>
    <w:rsid w:val="008529B4"/>
    <w:rsid w:val="00852D58"/>
    <w:rsid w:val="00854B9A"/>
    <w:rsid w:val="00854DA1"/>
    <w:rsid w:val="008553CB"/>
    <w:rsid w:val="00855DEF"/>
    <w:rsid w:val="00856C6E"/>
    <w:rsid w:val="00856D1A"/>
    <w:rsid w:val="0085758A"/>
    <w:rsid w:val="00857C7E"/>
    <w:rsid w:val="00857F8D"/>
    <w:rsid w:val="00860F1A"/>
    <w:rsid w:val="00860F30"/>
    <w:rsid w:val="00861408"/>
    <w:rsid w:val="00861DBF"/>
    <w:rsid w:val="00862D67"/>
    <w:rsid w:val="00863157"/>
    <w:rsid w:val="00864BA9"/>
    <w:rsid w:val="00866A9B"/>
    <w:rsid w:val="00870261"/>
    <w:rsid w:val="00870478"/>
    <w:rsid w:val="00871E9F"/>
    <w:rsid w:val="00872467"/>
    <w:rsid w:val="00873271"/>
    <w:rsid w:val="008733F2"/>
    <w:rsid w:val="00873450"/>
    <w:rsid w:val="00873F46"/>
    <w:rsid w:val="00875A8A"/>
    <w:rsid w:val="00875D2B"/>
    <w:rsid w:val="00876580"/>
    <w:rsid w:val="00876AA8"/>
    <w:rsid w:val="00876E46"/>
    <w:rsid w:val="008775B2"/>
    <w:rsid w:val="008779C9"/>
    <w:rsid w:val="00880877"/>
    <w:rsid w:val="0088170C"/>
    <w:rsid w:val="008827B0"/>
    <w:rsid w:val="008838D3"/>
    <w:rsid w:val="00886C9F"/>
    <w:rsid w:val="0088740B"/>
    <w:rsid w:val="0089107A"/>
    <w:rsid w:val="00893158"/>
    <w:rsid w:val="00893274"/>
    <w:rsid w:val="00893292"/>
    <w:rsid w:val="00893B9D"/>
    <w:rsid w:val="0089633C"/>
    <w:rsid w:val="008963A4"/>
    <w:rsid w:val="00897072"/>
    <w:rsid w:val="008971AD"/>
    <w:rsid w:val="008A0046"/>
    <w:rsid w:val="008A175C"/>
    <w:rsid w:val="008A3E23"/>
    <w:rsid w:val="008A600A"/>
    <w:rsid w:val="008A6457"/>
    <w:rsid w:val="008B0DBE"/>
    <w:rsid w:val="008B160B"/>
    <w:rsid w:val="008B183B"/>
    <w:rsid w:val="008B1C79"/>
    <w:rsid w:val="008B1D64"/>
    <w:rsid w:val="008B2F92"/>
    <w:rsid w:val="008B318F"/>
    <w:rsid w:val="008B326E"/>
    <w:rsid w:val="008B4A45"/>
    <w:rsid w:val="008B56E7"/>
    <w:rsid w:val="008B5BF1"/>
    <w:rsid w:val="008B7AB3"/>
    <w:rsid w:val="008C06BD"/>
    <w:rsid w:val="008C36D9"/>
    <w:rsid w:val="008C5433"/>
    <w:rsid w:val="008C5901"/>
    <w:rsid w:val="008C5AF3"/>
    <w:rsid w:val="008C6266"/>
    <w:rsid w:val="008C64E6"/>
    <w:rsid w:val="008C661F"/>
    <w:rsid w:val="008C685A"/>
    <w:rsid w:val="008C7733"/>
    <w:rsid w:val="008C7DA3"/>
    <w:rsid w:val="008D0F43"/>
    <w:rsid w:val="008D16B2"/>
    <w:rsid w:val="008D1EA7"/>
    <w:rsid w:val="008D4890"/>
    <w:rsid w:val="008D548C"/>
    <w:rsid w:val="008D5601"/>
    <w:rsid w:val="008D5EC1"/>
    <w:rsid w:val="008D64E8"/>
    <w:rsid w:val="008E1097"/>
    <w:rsid w:val="008E1E05"/>
    <w:rsid w:val="008E2E48"/>
    <w:rsid w:val="008E3090"/>
    <w:rsid w:val="008E3398"/>
    <w:rsid w:val="008E631F"/>
    <w:rsid w:val="008E67E0"/>
    <w:rsid w:val="008E7346"/>
    <w:rsid w:val="008F0BE8"/>
    <w:rsid w:val="008F0F15"/>
    <w:rsid w:val="008F3564"/>
    <w:rsid w:val="008F399D"/>
    <w:rsid w:val="008F6226"/>
    <w:rsid w:val="008F649A"/>
    <w:rsid w:val="008F6BDD"/>
    <w:rsid w:val="0090078E"/>
    <w:rsid w:val="00900991"/>
    <w:rsid w:val="00901D35"/>
    <w:rsid w:val="00903C72"/>
    <w:rsid w:val="00904EA3"/>
    <w:rsid w:val="00904F4E"/>
    <w:rsid w:val="00906E75"/>
    <w:rsid w:val="0091232D"/>
    <w:rsid w:val="00912550"/>
    <w:rsid w:val="00914D95"/>
    <w:rsid w:val="0091565D"/>
    <w:rsid w:val="009156C5"/>
    <w:rsid w:val="009157A1"/>
    <w:rsid w:val="00915FEF"/>
    <w:rsid w:val="00916F68"/>
    <w:rsid w:val="00917B70"/>
    <w:rsid w:val="00917DF0"/>
    <w:rsid w:val="00920C8D"/>
    <w:rsid w:val="00921DA2"/>
    <w:rsid w:val="009224A6"/>
    <w:rsid w:val="009232F7"/>
    <w:rsid w:val="00924EC1"/>
    <w:rsid w:val="009251F5"/>
    <w:rsid w:val="00926675"/>
    <w:rsid w:val="009268A7"/>
    <w:rsid w:val="0092718F"/>
    <w:rsid w:val="00927933"/>
    <w:rsid w:val="0093074E"/>
    <w:rsid w:val="00932EF2"/>
    <w:rsid w:val="00932F46"/>
    <w:rsid w:val="0093372E"/>
    <w:rsid w:val="00933F8E"/>
    <w:rsid w:val="00934FAD"/>
    <w:rsid w:val="00935131"/>
    <w:rsid w:val="00935776"/>
    <w:rsid w:val="00936B82"/>
    <w:rsid w:val="00937433"/>
    <w:rsid w:val="00937937"/>
    <w:rsid w:val="009404E3"/>
    <w:rsid w:val="009423A2"/>
    <w:rsid w:val="00942F52"/>
    <w:rsid w:val="009436CB"/>
    <w:rsid w:val="009459BA"/>
    <w:rsid w:val="00945B1B"/>
    <w:rsid w:val="00946646"/>
    <w:rsid w:val="009468C4"/>
    <w:rsid w:val="00947FE2"/>
    <w:rsid w:val="009523EE"/>
    <w:rsid w:val="00952B29"/>
    <w:rsid w:val="009534CF"/>
    <w:rsid w:val="00953950"/>
    <w:rsid w:val="009539D8"/>
    <w:rsid w:val="00954637"/>
    <w:rsid w:val="009554C7"/>
    <w:rsid w:val="00955A54"/>
    <w:rsid w:val="00955BF1"/>
    <w:rsid w:val="00955D82"/>
    <w:rsid w:val="00956499"/>
    <w:rsid w:val="00956A8F"/>
    <w:rsid w:val="00956EE1"/>
    <w:rsid w:val="00956F6D"/>
    <w:rsid w:val="00961666"/>
    <w:rsid w:val="00962C29"/>
    <w:rsid w:val="009636A7"/>
    <w:rsid w:val="0096585A"/>
    <w:rsid w:val="009658F7"/>
    <w:rsid w:val="00966598"/>
    <w:rsid w:val="00969594"/>
    <w:rsid w:val="009700E0"/>
    <w:rsid w:val="00970FDD"/>
    <w:rsid w:val="00971516"/>
    <w:rsid w:val="00971583"/>
    <w:rsid w:val="0097175D"/>
    <w:rsid w:val="00973C3C"/>
    <w:rsid w:val="0097560A"/>
    <w:rsid w:val="00976AC1"/>
    <w:rsid w:val="009801AE"/>
    <w:rsid w:val="00980E30"/>
    <w:rsid w:val="00981B84"/>
    <w:rsid w:val="00981EBA"/>
    <w:rsid w:val="009820BE"/>
    <w:rsid w:val="009835EB"/>
    <w:rsid w:val="00984D87"/>
    <w:rsid w:val="00985858"/>
    <w:rsid w:val="00985D7E"/>
    <w:rsid w:val="00986100"/>
    <w:rsid w:val="00986339"/>
    <w:rsid w:val="00986616"/>
    <w:rsid w:val="00987BCF"/>
    <w:rsid w:val="00987D62"/>
    <w:rsid w:val="00990213"/>
    <w:rsid w:val="009904B4"/>
    <w:rsid w:val="00990868"/>
    <w:rsid w:val="00990ACF"/>
    <w:rsid w:val="00991553"/>
    <w:rsid w:val="00991A13"/>
    <w:rsid w:val="00991DB4"/>
    <w:rsid w:val="009935A9"/>
    <w:rsid w:val="00995E14"/>
    <w:rsid w:val="00996920"/>
    <w:rsid w:val="00996C6F"/>
    <w:rsid w:val="00996D4F"/>
    <w:rsid w:val="0099788A"/>
    <w:rsid w:val="009A1437"/>
    <w:rsid w:val="009A1D8C"/>
    <w:rsid w:val="009A1E8A"/>
    <w:rsid w:val="009A3ACB"/>
    <w:rsid w:val="009A4015"/>
    <w:rsid w:val="009A4C40"/>
    <w:rsid w:val="009A4DD0"/>
    <w:rsid w:val="009A64ED"/>
    <w:rsid w:val="009B1D55"/>
    <w:rsid w:val="009B232D"/>
    <w:rsid w:val="009B244C"/>
    <w:rsid w:val="009B38A4"/>
    <w:rsid w:val="009B435C"/>
    <w:rsid w:val="009B5388"/>
    <w:rsid w:val="009B78ED"/>
    <w:rsid w:val="009C0007"/>
    <w:rsid w:val="009C0107"/>
    <w:rsid w:val="009C03E1"/>
    <w:rsid w:val="009C0DCA"/>
    <w:rsid w:val="009C1050"/>
    <w:rsid w:val="009C1269"/>
    <w:rsid w:val="009C23AB"/>
    <w:rsid w:val="009C39E4"/>
    <w:rsid w:val="009C3F1B"/>
    <w:rsid w:val="009C40F0"/>
    <w:rsid w:val="009C5579"/>
    <w:rsid w:val="009C60B2"/>
    <w:rsid w:val="009C6C8A"/>
    <w:rsid w:val="009C6E4A"/>
    <w:rsid w:val="009D2162"/>
    <w:rsid w:val="009D253B"/>
    <w:rsid w:val="009D3432"/>
    <w:rsid w:val="009D343C"/>
    <w:rsid w:val="009D3F6C"/>
    <w:rsid w:val="009D4449"/>
    <w:rsid w:val="009D6450"/>
    <w:rsid w:val="009D664F"/>
    <w:rsid w:val="009D6EAE"/>
    <w:rsid w:val="009D729F"/>
    <w:rsid w:val="009D772B"/>
    <w:rsid w:val="009E0125"/>
    <w:rsid w:val="009E1D6D"/>
    <w:rsid w:val="009E22D3"/>
    <w:rsid w:val="009E394B"/>
    <w:rsid w:val="009E4082"/>
    <w:rsid w:val="009E5223"/>
    <w:rsid w:val="009E610A"/>
    <w:rsid w:val="009E78CD"/>
    <w:rsid w:val="009F0336"/>
    <w:rsid w:val="009F3231"/>
    <w:rsid w:val="009F3B58"/>
    <w:rsid w:val="009F3C7B"/>
    <w:rsid w:val="009F3E69"/>
    <w:rsid w:val="009F4031"/>
    <w:rsid w:val="009F4844"/>
    <w:rsid w:val="009F4857"/>
    <w:rsid w:val="009F683F"/>
    <w:rsid w:val="009F6EAF"/>
    <w:rsid w:val="009F70E8"/>
    <w:rsid w:val="009F7DDF"/>
    <w:rsid w:val="00A01333"/>
    <w:rsid w:val="00A0135E"/>
    <w:rsid w:val="00A02247"/>
    <w:rsid w:val="00A02DEC"/>
    <w:rsid w:val="00A02E85"/>
    <w:rsid w:val="00A036D8"/>
    <w:rsid w:val="00A05493"/>
    <w:rsid w:val="00A062E7"/>
    <w:rsid w:val="00A07D51"/>
    <w:rsid w:val="00A138D7"/>
    <w:rsid w:val="00A166ED"/>
    <w:rsid w:val="00A16C68"/>
    <w:rsid w:val="00A16F03"/>
    <w:rsid w:val="00A17CDB"/>
    <w:rsid w:val="00A20EB7"/>
    <w:rsid w:val="00A23205"/>
    <w:rsid w:val="00A233F5"/>
    <w:rsid w:val="00A23660"/>
    <w:rsid w:val="00A23FAD"/>
    <w:rsid w:val="00A24195"/>
    <w:rsid w:val="00A25206"/>
    <w:rsid w:val="00A25C6D"/>
    <w:rsid w:val="00A26528"/>
    <w:rsid w:val="00A26628"/>
    <w:rsid w:val="00A26E8F"/>
    <w:rsid w:val="00A30868"/>
    <w:rsid w:val="00A30BD7"/>
    <w:rsid w:val="00A318E2"/>
    <w:rsid w:val="00A3264A"/>
    <w:rsid w:val="00A329D7"/>
    <w:rsid w:val="00A330E0"/>
    <w:rsid w:val="00A33219"/>
    <w:rsid w:val="00A3426E"/>
    <w:rsid w:val="00A3494F"/>
    <w:rsid w:val="00A3519F"/>
    <w:rsid w:val="00A354EA"/>
    <w:rsid w:val="00A35738"/>
    <w:rsid w:val="00A36C59"/>
    <w:rsid w:val="00A3763B"/>
    <w:rsid w:val="00A37FDB"/>
    <w:rsid w:val="00A4089D"/>
    <w:rsid w:val="00A408C5"/>
    <w:rsid w:val="00A40DBE"/>
    <w:rsid w:val="00A41BA6"/>
    <w:rsid w:val="00A42988"/>
    <w:rsid w:val="00A43314"/>
    <w:rsid w:val="00A43F71"/>
    <w:rsid w:val="00A448A2"/>
    <w:rsid w:val="00A45A48"/>
    <w:rsid w:val="00A46D06"/>
    <w:rsid w:val="00A46F0A"/>
    <w:rsid w:val="00A46F9E"/>
    <w:rsid w:val="00A47B67"/>
    <w:rsid w:val="00A50297"/>
    <w:rsid w:val="00A50895"/>
    <w:rsid w:val="00A52317"/>
    <w:rsid w:val="00A5470C"/>
    <w:rsid w:val="00A548C9"/>
    <w:rsid w:val="00A54D06"/>
    <w:rsid w:val="00A54D34"/>
    <w:rsid w:val="00A55D45"/>
    <w:rsid w:val="00A572F1"/>
    <w:rsid w:val="00A605FF"/>
    <w:rsid w:val="00A615C2"/>
    <w:rsid w:val="00A615EA"/>
    <w:rsid w:val="00A618CD"/>
    <w:rsid w:val="00A61E47"/>
    <w:rsid w:val="00A62880"/>
    <w:rsid w:val="00A6426F"/>
    <w:rsid w:val="00A65762"/>
    <w:rsid w:val="00A65AE2"/>
    <w:rsid w:val="00A65EC4"/>
    <w:rsid w:val="00A65F9B"/>
    <w:rsid w:val="00A65FBD"/>
    <w:rsid w:val="00A672DA"/>
    <w:rsid w:val="00A674FD"/>
    <w:rsid w:val="00A67F96"/>
    <w:rsid w:val="00A70831"/>
    <w:rsid w:val="00A7090E"/>
    <w:rsid w:val="00A70D48"/>
    <w:rsid w:val="00A70F7D"/>
    <w:rsid w:val="00A71487"/>
    <w:rsid w:val="00A71FB4"/>
    <w:rsid w:val="00A72539"/>
    <w:rsid w:val="00A740AC"/>
    <w:rsid w:val="00A746B2"/>
    <w:rsid w:val="00A7487B"/>
    <w:rsid w:val="00A74C01"/>
    <w:rsid w:val="00A76025"/>
    <w:rsid w:val="00A76246"/>
    <w:rsid w:val="00A76FE8"/>
    <w:rsid w:val="00A7733C"/>
    <w:rsid w:val="00A80F4F"/>
    <w:rsid w:val="00A83123"/>
    <w:rsid w:val="00A83806"/>
    <w:rsid w:val="00A83904"/>
    <w:rsid w:val="00A842A1"/>
    <w:rsid w:val="00A858CF"/>
    <w:rsid w:val="00A86EC9"/>
    <w:rsid w:val="00A8738E"/>
    <w:rsid w:val="00A87A32"/>
    <w:rsid w:val="00A87B44"/>
    <w:rsid w:val="00A87C37"/>
    <w:rsid w:val="00A87D18"/>
    <w:rsid w:val="00A902BC"/>
    <w:rsid w:val="00A90D8A"/>
    <w:rsid w:val="00A90E8E"/>
    <w:rsid w:val="00A917EF"/>
    <w:rsid w:val="00A91908"/>
    <w:rsid w:val="00A92090"/>
    <w:rsid w:val="00A92D42"/>
    <w:rsid w:val="00A93527"/>
    <w:rsid w:val="00A93A8A"/>
    <w:rsid w:val="00A94ED1"/>
    <w:rsid w:val="00A9739C"/>
    <w:rsid w:val="00A97F40"/>
    <w:rsid w:val="00AA030F"/>
    <w:rsid w:val="00AA141D"/>
    <w:rsid w:val="00AA1E54"/>
    <w:rsid w:val="00AA2A56"/>
    <w:rsid w:val="00AA2AB1"/>
    <w:rsid w:val="00AA3686"/>
    <w:rsid w:val="00AA3A52"/>
    <w:rsid w:val="00AA4058"/>
    <w:rsid w:val="00AA578A"/>
    <w:rsid w:val="00AA629B"/>
    <w:rsid w:val="00AA71D0"/>
    <w:rsid w:val="00AA7931"/>
    <w:rsid w:val="00AA7C24"/>
    <w:rsid w:val="00AB040E"/>
    <w:rsid w:val="00AB166A"/>
    <w:rsid w:val="00AB1F83"/>
    <w:rsid w:val="00AB25B8"/>
    <w:rsid w:val="00AB2F71"/>
    <w:rsid w:val="00AB3A1C"/>
    <w:rsid w:val="00AB5337"/>
    <w:rsid w:val="00AB61FD"/>
    <w:rsid w:val="00AB6320"/>
    <w:rsid w:val="00AB6F58"/>
    <w:rsid w:val="00AB71F7"/>
    <w:rsid w:val="00AB7415"/>
    <w:rsid w:val="00AB751C"/>
    <w:rsid w:val="00AB75BD"/>
    <w:rsid w:val="00AC046F"/>
    <w:rsid w:val="00AC1D69"/>
    <w:rsid w:val="00AC20D5"/>
    <w:rsid w:val="00AC2BD4"/>
    <w:rsid w:val="00AC2EF6"/>
    <w:rsid w:val="00AC3D4A"/>
    <w:rsid w:val="00AC5BF9"/>
    <w:rsid w:val="00AC6626"/>
    <w:rsid w:val="00AD0188"/>
    <w:rsid w:val="00AD0466"/>
    <w:rsid w:val="00AD1222"/>
    <w:rsid w:val="00AD1C7F"/>
    <w:rsid w:val="00AD20C2"/>
    <w:rsid w:val="00AD2F6D"/>
    <w:rsid w:val="00AD313F"/>
    <w:rsid w:val="00AD3693"/>
    <w:rsid w:val="00AD4472"/>
    <w:rsid w:val="00AD49E6"/>
    <w:rsid w:val="00AD4CCF"/>
    <w:rsid w:val="00AD588A"/>
    <w:rsid w:val="00AD5CF7"/>
    <w:rsid w:val="00AD5F8F"/>
    <w:rsid w:val="00AE2805"/>
    <w:rsid w:val="00AE30C3"/>
    <w:rsid w:val="00AE3EED"/>
    <w:rsid w:val="00AE457F"/>
    <w:rsid w:val="00AE4C70"/>
    <w:rsid w:val="00AE54AE"/>
    <w:rsid w:val="00AE712D"/>
    <w:rsid w:val="00AE7656"/>
    <w:rsid w:val="00AE7F28"/>
    <w:rsid w:val="00AF30E4"/>
    <w:rsid w:val="00AF424D"/>
    <w:rsid w:val="00AF500A"/>
    <w:rsid w:val="00AF5FFC"/>
    <w:rsid w:val="00AF6516"/>
    <w:rsid w:val="00AF711E"/>
    <w:rsid w:val="00AF7CA9"/>
    <w:rsid w:val="00B00253"/>
    <w:rsid w:val="00B00C43"/>
    <w:rsid w:val="00B0107E"/>
    <w:rsid w:val="00B01443"/>
    <w:rsid w:val="00B02AE5"/>
    <w:rsid w:val="00B02D96"/>
    <w:rsid w:val="00B03E58"/>
    <w:rsid w:val="00B0480A"/>
    <w:rsid w:val="00B04B97"/>
    <w:rsid w:val="00B0558F"/>
    <w:rsid w:val="00B06218"/>
    <w:rsid w:val="00B068C9"/>
    <w:rsid w:val="00B07AB3"/>
    <w:rsid w:val="00B10846"/>
    <w:rsid w:val="00B10A1B"/>
    <w:rsid w:val="00B11369"/>
    <w:rsid w:val="00B12094"/>
    <w:rsid w:val="00B12BF2"/>
    <w:rsid w:val="00B12DC0"/>
    <w:rsid w:val="00B12F79"/>
    <w:rsid w:val="00B13C75"/>
    <w:rsid w:val="00B146B7"/>
    <w:rsid w:val="00B161B8"/>
    <w:rsid w:val="00B16927"/>
    <w:rsid w:val="00B16ECC"/>
    <w:rsid w:val="00B172C2"/>
    <w:rsid w:val="00B1756E"/>
    <w:rsid w:val="00B204A8"/>
    <w:rsid w:val="00B21599"/>
    <w:rsid w:val="00B23E2B"/>
    <w:rsid w:val="00B24CE8"/>
    <w:rsid w:val="00B25791"/>
    <w:rsid w:val="00B265D5"/>
    <w:rsid w:val="00B267A0"/>
    <w:rsid w:val="00B26C08"/>
    <w:rsid w:val="00B2BC84"/>
    <w:rsid w:val="00B307D2"/>
    <w:rsid w:val="00B31B9B"/>
    <w:rsid w:val="00B31CB1"/>
    <w:rsid w:val="00B3218A"/>
    <w:rsid w:val="00B32951"/>
    <w:rsid w:val="00B338FD"/>
    <w:rsid w:val="00B347EA"/>
    <w:rsid w:val="00B3484F"/>
    <w:rsid w:val="00B34A32"/>
    <w:rsid w:val="00B3624F"/>
    <w:rsid w:val="00B364A2"/>
    <w:rsid w:val="00B365AD"/>
    <w:rsid w:val="00B36773"/>
    <w:rsid w:val="00B36A33"/>
    <w:rsid w:val="00B37701"/>
    <w:rsid w:val="00B379AA"/>
    <w:rsid w:val="00B405E2"/>
    <w:rsid w:val="00B40742"/>
    <w:rsid w:val="00B4217F"/>
    <w:rsid w:val="00B42A0A"/>
    <w:rsid w:val="00B43419"/>
    <w:rsid w:val="00B457AC"/>
    <w:rsid w:val="00B458AF"/>
    <w:rsid w:val="00B45BF9"/>
    <w:rsid w:val="00B4641B"/>
    <w:rsid w:val="00B46710"/>
    <w:rsid w:val="00B4706C"/>
    <w:rsid w:val="00B50B53"/>
    <w:rsid w:val="00B51840"/>
    <w:rsid w:val="00B51BE5"/>
    <w:rsid w:val="00B533A0"/>
    <w:rsid w:val="00B533C2"/>
    <w:rsid w:val="00B537C2"/>
    <w:rsid w:val="00B55BDA"/>
    <w:rsid w:val="00B567C0"/>
    <w:rsid w:val="00B56E40"/>
    <w:rsid w:val="00B61429"/>
    <w:rsid w:val="00B617DD"/>
    <w:rsid w:val="00B61ED2"/>
    <w:rsid w:val="00B61F28"/>
    <w:rsid w:val="00B64D53"/>
    <w:rsid w:val="00B66E44"/>
    <w:rsid w:val="00B72369"/>
    <w:rsid w:val="00B72BF5"/>
    <w:rsid w:val="00B72D4D"/>
    <w:rsid w:val="00B734CE"/>
    <w:rsid w:val="00B736B0"/>
    <w:rsid w:val="00B73AD4"/>
    <w:rsid w:val="00B74384"/>
    <w:rsid w:val="00B74580"/>
    <w:rsid w:val="00B746D8"/>
    <w:rsid w:val="00B75190"/>
    <w:rsid w:val="00B7605C"/>
    <w:rsid w:val="00B77427"/>
    <w:rsid w:val="00B80D0B"/>
    <w:rsid w:val="00B8114E"/>
    <w:rsid w:val="00B81405"/>
    <w:rsid w:val="00B8180F"/>
    <w:rsid w:val="00B82885"/>
    <w:rsid w:val="00B82BB3"/>
    <w:rsid w:val="00B83368"/>
    <w:rsid w:val="00B83C7A"/>
    <w:rsid w:val="00B8416D"/>
    <w:rsid w:val="00B842F6"/>
    <w:rsid w:val="00B844B5"/>
    <w:rsid w:val="00B84501"/>
    <w:rsid w:val="00B84583"/>
    <w:rsid w:val="00B85C9C"/>
    <w:rsid w:val="00B85EE7"/>
    <w:rsid w:val="00B8611E"/>
    <w:rsid w:val="00B86F0F"/>
    <w:rsid w:val="00B87BA2"/>
    <w:rsid w:val="00B90783"/>
    <w:rsid w:val="00B91382"/>
    <w:rsid w:val="00B91992"/>
    <w:rsid w:val="00B93786"/>
    <w:rsid w:val="00B94063"/>
    <w:rsid w:val="00B94750"/>
    <w:rsid w:val="00B948F5"/>
    <w:rsid w:val="00B949E6"/>
    <w:rsid w:val="00B95E6B"/>
    <w:rsid w:val="00B960AB"/>
    <w:rsid w:val="00B96174"/>
    <w:rsid w:val="00B9676E"/>
    <w:rsid w:val="00B97DC5"/>
    <w:rsid w:val="00BA156B"/>
    <w:rsid w:val="00BA35BB"/>
    <w:rsid w:val="00BA4390"/>
    <w:rsid w:val="00BA5AB8"/>
    <w:rsid w:val="00BA61B7"/>
    <w:rsid w:val="00BB0157"/>
    <w:rsid w:val="00BB12AC"/>
    <w:rsid w:val="00BB325B"/>
    <w:rsid w:val="00BB372B"/>
    <w:rsid w:val="00BB3B06"/>
    <w:rsid w:val="00BB4947"/>
    <w:rsid w:val="00BB4D61"/>
    <w:rsid w:val="00BB5B66"/>
    <w:rsid w:val="00BB7B98"/>
    <w:rsid w:val="00BC0304"/>
    <w:rsid w:val="00BC2BA8"/>
    <w:rsid w:val="00BC2CE2"/>
    <w:rsid w:val="00BC2E01"/>
    <w:rsid w:val="00BC33D5"/>
    <w:rsid w:val="00BC4434"/>
    <w:rsid w:val="00BC60C5"/>
    <w:rsid w:val="00BC624F"/>
    <w:rsid w:val="00BC646E"/>
    <w:rsid w:val="00BC7220"/>
    <w:rsid w:val="00BD067F"/>
    <w:rsid w:val="00BD0680"/>
    <w:rsid w:val="00BD07C8"/>
    <w:rsid w:val="00BD2EBB"/>
    <w:rsid w:val="00BD3162"/>
    <w:rsid w:val="00BD3E45"/>
    <w:rsid w:val="00BD4F2A"/>
    <w:rsid w:val="00BD4F32"/>
    <w:rsid w:val="00BD51D9"/>
    <w:rsid w:val="00BD5800"/>
    <w:rsid w:val="00BD5C69"/>
    <w:rsid w:val="00BD7115"/>
    <w:rsid w:val="00BE08BE"/>
    <w:rsid w:val="00BE1928"/>
    <w:rsid w:val="00BE1D24"/>
    <w:rsid w:val="00BE2F63"/>
    <w:rsid w:val="00BE4F97"/>
    <w:rsid w:val="00BE5368"/>
    <w:rsid w:val="00BE5451"/>
    <w:rsid w:val="00BE55F9"/>
    <w:rsid w:val="00BE6CB5"/>
    <w:rsid w:val="00BE6D2B"/>
    <w:rsid w:val="00BE6E8B"/>
    <w:rsid w:val="00BE6FA6"/>
    <w:rsid w:val="00BF10B4"/>
    <w:rsid w:val="00BF2A28"/>
    <w:rsid w:val="00BF2E92"/>
    <w:rsid w:val="00BF378E"/>
    <w:rsid w:val="00BF497C"/>
    <w:rsid w:val="00BF4B47"/>
    <w:rsid w:val="00BF575F"/>
    <w:rsid w:val="00BF59A9"/>
    <w:rsid w:val="00BF64C1"/>
    <w:rsid w:val="00C0004E"/>
    <w:rsid w:val="00C00249"/>
    <w:rsid w:val="00C0029F"/>
    <w:rsid w:val="00C0100F"/>
    <w:rsid w:val="00C016F6"/>
    <w:rsid w:val="00C0204F"/>
    <w:rsid w:val="00C02102"/>
    <w:rsid w:val="00C03D54"/>
    <w:rsid w:val="00C06265"/>
    <w:rsid w:val="00C0720E"/>
    <w:rsid w:val="00C10169"/>
    <w:rsid w:val="00C10260"/>
    <w:rsid w:val="00C11033"/>
    <w:rsid w:val="00C1219B"/>
    <w:rsid w:val="00C14C55"/>
    <w:rsid w:val="00C14E40"/>
    <w:rsid w:val="00C160BC"/>
    <w:rsid w:val="00C16219"/>
    <w:rsid w:val="00C178F7"/>
    <w:rsid w:val="00C20F25"/>
    <w:rsid w:val="00C21190"/>
    <w:rsid w:val="00C2138E"/>
    <w:rsid w:val="00C22196"/>
    <w:rsid w:val="00C22369"/>
    <w:rsid w:val="00C2378F"/>
    <w:rsid w:val="00C23B17"/>
    <w:rsid w:val="00C257B7"/>
    <w:rsid w:val="00C25929"/>
    <w:rsid w:val="00C2627E"/>
    <w:rsid w:val="00C269A2"/>
    <w:rsid w:val="00C26FCA"/>
    <w:rsid w:val="00C315E2"/>
    <w:rsid w:val="00C31977"/>
    <w:rsid w:val="00C31E2A"/>
    <w:rsid w:val="00C322E8"/>
    <w:rsid w:val="00C3433D"/>
    <w:rsid w:val="00C34D78"/>
    <w:rsid w:val="00C352E4"/>
    <w:rsid w:val="00C37CFD"/>
    <w:rsid w:val="00C4248A"/>
    <w:rsid w:val="00C42768"/>
    <w:rsid w:val="00C436E9"/>
    <w:rsid w:val="00C43C0C"/>
    <w:rsid w:val="00C4427F"/>
    <w:rsid w:val="00C442F4"/>
    <w:rsid w:val="00C45B22"/>
    <w:rsid w:val="00C466F0"/>
    <w:rsid w:val="00C51155"/>
    <w:rsid w:val="00C5191D"/>
    <w:rsid w:val="00C52197"/>
    <w:rsid w:val="00C52C38"/>
    <w:rsid w:val="00C5490A"/>
    <w:rsid w:val="00C55AEF"/>
    <w:rsid w:val="00C55D4E"/>
    <w:rsid w:val="00C60C53"/>
    <w:rsid w:val="00C61DC5"/>
    <w:rsid w:val="00C6280C"/>
    <w:rsid w:val="00C62F77"/>
    <w:rsid w:val="00C6309B"/>
    <w:rsid w:val="00C634BF"/>
    <w:rsid w:val="00C64137"/>
    <w:rsid w:val="00C649CC"/>
    <w:rsid w:val="00C67E4B"/>
    <w:rsid w:val="00C70976"/>
    <w:rsid w:val="00C70A7F"/>
    <w:rsid w:val="00C72315"/>
    <w:rsid w:val="00C72BF4"/>
    <w:rsid w:val="00C75390"/>
    <w:rsid w:val="00C755E0"/>
    <w:rsid w:val="00C758FA"/>
    <w:rsid w:val="00C770AF"/>
    <w:rsid w:val="00C77806"/>
    <w:rsid w:val="00C80E19"/>
    <w:rsid w:val="00C8116F"/>
    <w:rsid w:val="00C83128"/>
    <w:rsid w:val="00C8376E"/>
    <w:rsid w:val="00C83BD1"/>
    <w:rsid w:val="00C83EA8"/>
    <w:rsid w:val="00C84A65"/>
    <w:rsid w:val="00C856DD"/>
    <w:rsid w:val="00C879E0"/>
    <w:rsid w:val="00C90212"/>
    <w:rsid w:val="00C90679"/>
    <w:rsid w:val="00C907AC"/>
    <w:rsid w:val="00C929A3"/>
    <w:rsid w:val="00C92C2D"/>
    <w:rsid w:val="00C94B89"/>
    <w:rsid w:val="00C95B7B"/>
    <w:rsid w:val="00C96C34"/>
    <w:rsid w:val="00C96E15"/>
    <w:rsid w:val="00CA025C"/>
    <w:rsid w:val="00CA3292"/>
    <w:rsid w:val="00CA32C6"/>
    <w:rsid w:val="00CA410F"/>
    <w:rsid w:val="00CA4205"/>
    <w:rsid w:val="00CA444F"/>
    <w:rsid w:val="00CA4562"/>
    <w:rsid w:val="00CA4694"/>
    <w:rsid w:val="00CA6708"/>
    <w:rsid w:val="00CA7550"/>
    <w:rsid w:val="00CB01A7"/>
    <w:rsid w:val="00CB0226"/>
    <w:rsid w:val="00CB1A47"/>
    <w:rsid w:val="00CB2C0F"/>
    <w:rsid w:val="00CB322F"/>
    <w:rsid w:val="00CB33B5"/>
    <w:rsid w:val="00CB45F7"/>
    <w:rsid w:val="00CB47AA"/>
    <w:rsid w:val="00CB4E9A"/>
    <w:rsid w:val="00CB55EA"/>
    <w:rsid w:val="00CB6269"/>
    <w:rsid w:val="00CB6720"/>
    <w:rsid w:val="00CB69A2"/>
    <w:rsid w:val="00CB75DE"/>
    <w:rsid w:val="00CC0034"/>
    <w:rsid w:val="00CC1175"/>
    <w:rsid w:val="00CC32A3"/>
    <w:rsid w:val="00CC3BDA"/>
    <w:rsid w:val="00CC3EAF"/>
    <w:rsid w:val="00CC40D9"/>
    <w:rsid w:val="00CC4D30"/>
    <w:rsid w:val="00CC51D0"/>
    <w:rsid w:val="00CC5A63"/>
    <w:rsid w:val="00CC638C"/>
    <w:rsid w:val="00CC6A14"/>
    <w:rsid w:val="00CC74B0"/>
    <w:rsid w:val="00CC7B3E"/>
    <w:rsid w:val="00CC7D84"/>
    <w:rsid w:val="00CC7E96"/>
    <w:rsid w:val="00CD0486"/>
    <w:rsid w:val="00CD1149"/>
    <w:rsid w:val="00CD1DA4"/>
    <w:rsid w:val="00CD254B"/>
    <w:rsid w:val="00CD4FD7"/>
    <w:rsid w:val="00CD5B7E"/>
    <w:rsid w:val="00CD61F8"/>
    <w:rsid w:val="00CD6462"/>
    <w:rsid w:val="00CD68BA"/>
    <w:rsid w:val="00CD77F0"/>
    <w:rsid w:val="00CD7D70"/>
    <w:rsid w:val="00CE0855"/>
    <w:rsid w:val="00CE194B"/>
    <w:rsid w:val="00CE2EEF"/>
    <w:rsid w:val="00CE2F28"/>
    <w:rsid w:val="00CE3A39"/>
    <w:rsid w:val="00CE408C"/>
    <w:rsid w:val="00CE4819"/>
    <w:rsid w:val="00CE4AD2"/>
    <w:rsid w:val="00CE606F"/>
    <w:rsid w:val="00CE6ECF"/>
    <w:rsid w:val="00CE700E"/>
    <w:rsid w:val="00CE7FA7"/>
    <w:rsid w:val="00CF1418"/>
    <w:rsid w:val="00CF1581"/>
    <w:rsid w:val="00CF19B7"/>
    <w:rsid w:val="00CF22C2"/>
    <w:rsid w:val="00CF26CF"/>
    <w:rsid w:val="00CF2D0E"/>
    <w:rsid w:val="00CF3714"/>
    <w:rsid w:val="00CF3D9A"/>
    <w:rsid w:val="00CF4638"/>
    <w:rsid w:val="00CF558D"/>
    <w:rsid w:val="00CF61D7"/>
    <w:rsid w:val="00CF6688"/>
    <w:rsid w:val="00CF6AD3"/>
    <w:rsid w:val="00CF6BC0"/>
    <w:rsid w:val="00CF6E22"/>
    <w:rsid w:val="00D001D3"/>
    <w:rsid w:val="00D0041A"/>
    <w:rsid w:val="00D006C3"/>
    <w:rsid w:val="00D03B59"/>
    <w:rsid w:val="00D04B78"/>
    <w:rsid w:val="00D053A6"/>
    <w:rsid w:val="00D0737D"/>
    <w:rsid w:val="00D11B65"/>
    <w:rsid w:val="00D12B19"/>
    <w:rsid w:val="00D12F4F"/>
    <w:rsid w:val="00D13371"/>
    <w:rsid w:val="00D15F09"/>
    <w:rsid w:val="00D16101"/>
    <w:rsid w:val="00D1650D"/>
    <w:rsid w:val="00D166A0"/>
    <w:rsid w:val="00D1705D"/>
    <w:rsid w:val="00D20334"/>
    <w:rsid w:val="00D203B3"/>
    <w:rsid w:val="00D205B6"/>
    <w:rsid w:val="00D21BDB"/>
    <w:rsid w:val="00D23C50"/>
    <w:rsid w:val="00D24966"/>
    <w:rsid w:val="00D24F62"/>
    <w:rsid w:val="00D25C9E"/>
    <w:rsid w:val="00D27586"/>
    <w:rsid w:val="00D277A7"/>
    <w:rsid w:val="00D27EC2"/>
    <w:rsid w:val="00D27F49"/>
    <w:rsid w:val="00D30373"/>
    <w:rsid w:val="00D312B5"/>
    <w:rsid w:val="00D3142A"/>
    <w:rsid w:val="00D31F13"/>
    <w:rsid w:val="00D32EB1"/>
    <w:rsid w:val="00D3318C"/>
    <w:rsid w:val="00D33FF7"/>
    <w:rsid w:val="00D34102"/>
    <w:rsid w:val="00D36013"/>
    <w:rsid w:val="00D36127"/>
    <w:rsid w:val="00D36C9C"/>
    <w:rsid w:val="00D3AF74"/>
    <w:rsid w:val="00D40783"/>
    <w:rsid w:val="00D40E6E"/>
    <w:rsid w:val="00D4137D"/>
    <w:rsid w:val="00D41700"/>
    <w:rsid w:val="00D42027"/>
    <w:rsid w:val="00D4340F"/>
    <w:rsid w:val="00D4416D"/>
    <w:rsid w:val="00D45A4E"/>
    <w:rsid w:val="00D46827"/>
    <w:rsid w:val="00D46CB2"/>
    <w:rsid w:val="00D46D3C"/>
    <w:rsid w:val="00D46EA5"/>
    <w:rsid w:val="00D5054C"/>
    <w:rsid w:val="00D51CBA"/>
    <w:rsid w:val="00D51DA7"/>
    <w:rsid w:val="00D51F48"/>
    <w:rsid w:val="00D52695"/>
    <w:rsid w:val="00D529E9"/>
    <w:rsid w:val="00D54AC2"/>
    <w:rsid w:val="00D54C19"/>
    <w:rsid w:val="00D55525"/>
    <w:rsid w:val="00D55A30"/>
    <w:rsid w:val="00D55E0F"/>
    <w:rsid w:val="00D57129"/>
    <w:rsid w:val="00D57EEA"/>
    <w:rsid w:val="00D61B46"/>
    <w:rsid w:val="00D62909"/>
    <w:rsid w:val="00D63618"/>
    <w:rsid w:val="00D64DC7"/>
    <w:rsid w:val="00D654E0"/>
    <w:rsid w:val="00D66016"/>
    <w:rsid w:val="00D66895"/>
    <w:rsid w:val="00D6695B"/>
    <w:rsid w:val="00D70CF8"/>
    <w:rsid w:val="00D716AE"/>
    <w:rsid w:val="00D716CA"/>
    <w:rsid w:val="00D73503"/>
    <w:rsid w:val="00D73C6A"/>
    <w:rsid w:val="00D748DC"/>
    <w:rsid w:val="00D7548D"/>
    <w:rsid w:val="00D775BF"/>
    <w:rsid w:val="00D77FE1"/>
    <w:rsid w:val="00D802C5"/>
    <w:rsid w:val="00D81680"/>
    <w:rsid w:val="00D82EDB"/>
    <w:rsid w:val="00D834D3"/>
    <w:rsid w:val="00D8454E"/>
    <w:rsid w:val="00D869B8"/>
    <w:rsid w:val="00D90205"/>
    <w:rsid w:val="00D9037B"/>
    <w:rsid w:val="00D91338"/>
    <w:rsid w:val="00D920AC"/>
    <w:rsid w:val="00D928A7"/>
    <w:rsid w:val="00D93623"/>
    <w:rsid w:val="00D93A39"/>
    <w:rsid w:val="00D94327"/>
    <w:rsid w:val="00D946C2"/>
    <w:rsid w:val="00D95388"/>
    <w:rsid w:val="00D95511"/>
    <w:rsid w:val="00D96B9C"/>
    <w:rsid w:val="00D97748"/>
    <w:rsid w:val="00DA031E"/>
    <w:rsid w:val="00DA0C8B"/>
    <w:rsid w:val="00DA11C0"/>
    <w:rsid w:val="00DA234C"/>
    <w:rsid w:val="00DA37CA"/>
    <w:rsid w:val="00DA689F"/>
    <w:rsid w:val="00DA6BE4"/>
    <w:rsid w:val="00DA7E82"/>
    <w:rsid w:val="00DB0177"/>
    <w:rsid w:val="00DB1048"/>
    <w:rsid w:val="00DB1E37"/>
    <w:rsid w:val="00DB62D3"/>
    <w:rsid w:val="00DB6BAC"/>
    <w:rsid w:val="00DB71DE"/>
    <w:rsid w:val="00DB7AAD"/>
    <w:rsid w:val="00DC1CE3"/>
    <w:rsid w:val="00DC28E5"/>
    <w:rsid w:val="00DC2E8F"/>
    <w:rsid w:val="00DC42EA"/>
    <w:rsid w:val="00DC4595"/>
    <w:rsid w:val="00DC53A8"/>
    <w:rsid w:val="00DC6713"/>
    <w:rsid w:val="00DC7AB5"/>
    <w:rsid w:val="00DCB9E0"/>
    <w:rsid w:val="00DD0384"/>
    <w:rsid w:val="00DD048B"/>
    <w:rsid w:val="00DD0B33"/>
    <w:rsid w:val="00DD2737"/>
    <w:rsid w:val="00DD2E0B"/>
    <w:rsid w:val="00DD4F82"/>
    <w:rsid w:val="00DD6386"/>
    <w:rsid w:val="00DD6E9E"/>
    <w:rsid w:val="00DD6EEB"/>
    <w:rsid w:val="00DE08AC"/>
    <w:rsid w:val="00DE105D"/>
    <w:rsid w:val="00DE4034"/>
    <w:rsid w:val="00DE459D"/>
    <w:rsid w:val="00DE4E59"/>
    <w:rsid w:val="00DE580E"/>
    <w:rsid w:val="00DE7587"/>
    <w:rsid w:val="00DE798C"/>
    <w:rsid w:val="00DE7E17"/>
    <w:rsid w:val="00DF1B17"/>
    <w:rsid w:val="00DF1BD5"/>
    <w:rsid w:val="00DF1F8A"/>
    <w:rsid w:val="00DF61C7"/>
    <w:rsid w:val="00DF7C69"/>
    <w:rsid w:val="00DF7C77"/>
    <w:rsid w:val="00E01558"/>
    <w:rsid w:val="00E019D1"/>
    <w:rsid w:val="00E01F04"/>
    <w:rsid w:val="00E035CC"/>
    <w:rsid w:val="00E0662A"/>
    <w:rsid w:val="00E0673C"/>
    <w:rsid w:val="00E07933"/>
    <w:rsid w:val="00E07CE1"/>
    <w:rsid w:val="00E1057E"/>
    <w:rsid w:val="00E105C7"/>
    <w:rsid w:val="00E108F8"/>
    <w:rsid w:val="00E10CE9"/>
    <w:rsid w:val="00E10EEA"/>
    <w:rsid w:val="00E1150B"/>
    <w:rsid w:val="00E115B9"/>
    <w:rsid w:val="00E12057"/>
    <w:rsid w:val="00E12B50"/>
    <w:rsid w:val="00E1398D"/>
    <w:rsid w:val="00E15C51"/>
    <w:rsid w:val="00E15F51"/>
    <w:rsid w:val="00E1774C"/>
    <w:rsid w:val="00E207DF"/>
    <w:rsid w:val="00E20DF1"/>
    <w:rsid w:val="00E21ADA"/>
    <w:rsid w:val="00E21E6D"/>
    <w:rsid w:val="00E21F97"/>
    <w:rsid w:val="00E22D45"/>
    <w:rsid w:val="00E24741"/>
    <w:rsid w:val="00E24D25"/>
    <w:rsid w:val="00E250BA"/>
    <w:rsid w:val="00E2589A"/>
    <w:rsid w:val="00E25A7E"/>
    <w:rsid w:val="00E26FBE"/>
    <w:rsid w:val="00E27436"/>
    <w:rsid w:val="00E277F3"/>
    <w:rsid w:val="00E30DAB"/>
    <w:rsid w:val="00E30F83"/>
    <w:rsid w:val="00E312E4"/>
    <w:rsid w:val="00E31B67"/>
    <w:rsid w:val="00E32B08"/>
    <w:rsid w:val="00E33DD9"/>
    <w:rsid w:val="00E34CCA"/>
    <w:rsid w:val="00E352E8"/>
    <w:rsid w:val="00E35BED"/>
    <w:rsid w:val="00E37156"/>
    <w:rsid w:val="00E373BC"/>
    <w:rsid w:val="00E37FA6"/>
    <w:rsid w:val="00E40B62"/>
    <w:rsid w:val="00E40BD5"/>
    <w:rsid w:val="00E40F41"/>
    <w:rsid w:val="00E4371E"/>
    <w:rsid w:val="00E43A26"/>
    <w:rsid w:val="00E44181"/>
    <w:rsid w:val="00E44A97"/>
    <w:rsid w:val="00E452BF"/>
    <w:rsid w:val="00E457A2"/>
    <w:rsid w:val="00E45C27"/>
    <w:rsid w:val="00E506FF"/>
    <w:rsid w:val="00E50963"/>
    <w:rsid w:val="00E5098F"/>
    <w:rsid w:val="00E515C5"/>
    <w:rsid w:val="00E516B9"/>
    <w:rsid w:val="00E52AC3"/>
    <w:rsid w:val="00E52B7C"/>
    <w:rsid w:val="00E538DE"/>
    <w:rsid w:val="00E5440A"/>
    <w:rsid w:val="00E54A90"/>
    <w:rsid w:val="00E54B01"/>
    <w:rsid w:val="00E5593C"/>
    <w:rsid w:val="00E562FF"/>
    <w:rsid w:val="00E5708C"/>
    <w:rsid w:val="00E58707"/>
    <w:rsid w:val="00E59B43"/>
    <w:rsid w:val="00E5FBC2"/>
    <w:rsid w:val="00E60354"/>
    <w:rsid w:val="00E609FE"/>
    <w:rsid w:val="00E60A54"/>
    <w:rsid w:val="00E66267"/>
    <w:rsid w:val="00E6639B"/>
    <w:rsid w:val="00E6750F"/>
    <w:rsid w:val="00E67C19"/>
    <w:rsid w:val="00E706BA"/>
    <w:rsid w:val="00E70B15"/>
    <w:rsid w:val="00E713F3"/>
    <w:rsid w:val="00E719A2"/>
    <w:rsid w:val="00E71CC4"/>
    <w:rsid w:val="00E7308A"/>
    <w:rsid w:val="00E73219"/>
    <w:rsid w:val="00E734BA"/>
    <w:rsid w:val="00E73F6E"/>
    <w:rsid w:val="00E7424A"/>
    <w:rsid w:val="00E7500F"/>
    <w:rsid w:val="00E75204"/>
    <w:rsid w:val="00E757FB"/>
    <w:rsid w:val="00E75AB9"/>
    <w:rsid w:val="00E7611C"/>
    <w:rsid w:val="00E76DA0"/>
    <w:rsid w:val="00E77F77"/>
    <w:rsid w:val="00E8037F"/>
    <w:rsid w:val="00E81512"/>
    <w:rsid w:val="00E8196E"/>
    <w:rsid w:val="00E827CD"/>
    <w:rsid w:val="00E82D75"/>
    <w:rsid w:val="00E8367E"/>
    <w:rsid w:val="00E84D6C"/>
    <w:rsid w:val="00E874A8"/>
    <w:rsid w:val="00E91829"/>
    <w:rsid w:val="00E938EC"/>
    <w:rsid w:val="00E94690"/>
    <w:rsid w:val="00E94AED"/>
    <w:rsid w:val="00E96652"/>
    <w:rsid w:val="00E96C99"/>
    <w:rsid w:val="00E974E0"/>
    <w:rsid w:val="00E97E8D"/>
    <w:rsid w:val="00EA0C8B"/>
    <w:rsid w:val="00EA193C"/>
    <w:rsid w:val="00EA24FE"/>
    <w:rsid w:val="00EA3A8F"/>
    <w:rsid w:val="00EA4B87"/>
    <w:rsid w:val="00EA68B4"/>
    <w:rsid w:val="00EA7E8C"/>
    <w:rsid w:val="00EA926F"/>
    <w:rsid w:val="00EB0078"/>
    <w:rsid w:val="00EB053F"/>
    <w:rsid w:val="00EB077B"/>
    <w:rsid w:val="00EB08A9"/>
    <w:rsid w:val="00EB1079"/>
    <w:rsid w:val="00EB13E1"/>
    <w:rsid w:val="00EB16D2"/>
    <w:rsid w:val="00EB17E8"/>
    <w:rsid w:val="00EB1A9D"/>
    <w:rsid w:val="00EB1D0D"/>
    <w:rsid w:val="00EB343F"/>
    <w:rsid w:val="00EB42E3"/>
    <w:rsid w:val="00EB55FB"/>
    <w:rsid w:val="00EB5A29"/>
    <w:rsid w:val="00EB7553"/>
    <w:rsid w:val="00EB792C"/>
    <w:rsid w:val="00EC030B"/>
    <w:rsid w:val="00EC0F00"/>
    <w:rsid w:val="00EC497B"/>
    <w:rsid w:val="00EC6BA4"/>
    <w:rsid w:val="00EC7176"/>
    <w:rsid w:val="00ED0906"/>
    <w:rsid w:val="00ED13BC"/>
    <w:rsid w:val="00ED1B30"/>
    <w:rsid w:val="00ED1B98"/>
    <w:rsid w:val="00ED1D17"/>
    <w:rsid w:val="00ED1F36"/>
    <w:rsid w:val="00ED2E3A"/>
    <w:rsid w:val="00ED425C"/>
    <w:rsid w:val="00ED4343"/>
    <w:rsid w:val="00ED4385"/>
    <w:rsid w:val="00ED4787"/>
    <w:rsid w:val="00ED58AC"/>
    <w:rsid w:val="00ED5EB0"/>
    <w:rsid w:val="00ED7ED5"/>
    <w:rsid w:val="00EE05BD"/>
    <w:rsid w:val="00EE1A91"/>
    <w:rsid w:val="00EE1B89"/>
    <w:rsid w:val="00EE1E2F"/>
    <w:rsid w:val="00EE23A0"/>
    <w:rsid w:val="00EE2E75"/>
    <w:rsid w:val="00EE4C9B"/>
    <w:rsid w:val="00EE53EC"/>
    <w:rsid w:val="00EE5AE0"/>
    <w:rsid w:val="00EE5AE5"/>
    <w:rsid w:val="00EE7978"/>
    <w:rsid w:val="00EF04A0"/>
    <w:rsid w:val="00EF0738"/>
    <w:rsid w:val="00EF0D3E"/>
    <w:rsid w:val="00EF0E29"/>
    <w:rsid w:val="00EF0F7C"/>
    <w:rsid w:val="00EF25CA"/>
    <w:rsid w:val="00EF3C0A"/>
    <w:rsid w:val="00EF55D5"/>
    <w:rsid w:val="00EF6EBD"/>
    <w:rsid w:val="00EF74C7"/>
    <w:rsid w:val="00EF7610"/>
    <w:rsid w:val="00EF774B"/>
    <w:rsid w:val="00EF79FA"/>
    <w:rsid w:val="00F004CE"/>
    <w:rsid w:val="00F00CA2"/>
    <w:rsid w:val="00F030C1"/>
    <w:rsid w:val="00F03F57"/>
    <w:rsid w:val="00F045F2"/>
    <w:rsid w:val="00F1046C"/>
    <w:rsid w:val="00F107DC"/>
    <w:rsid w:val="00F11BA2"/>
    <w:rsid w:val="00F13843"/>
    <w:rsid w:val="00F1409C"/>
    <w:rsid w:val="00F1433B"/>
    <w:rsid w:val="00F15BBB"/>
    <w:rsid w:val="00F16031"/>
    <w:rsid w:val="00F165A5"/>
    <w:rsid w:val="00F165C1"/>
    <w:rsid w:val="00F171B3"/>
    <w:rsid w:val="00F17532"/>
    <w:rsid w:val="00F17BD1"/>
    <w:rsid w:val="00F1DD2F"/>
    <w:rsid w:val="00F225C6"/>
    <w:rsid w:val="00F22837"/>
    <w:rsid w:val="00F22EB0"/>
    <w:rsid w:val="00F23EBF"/>
    <w:rsid w:val="00F2639D"/>
    <w:rsid w:val="00F26AF2"/>
    <w:rsid w:val="00F26D1D"/>
    <w:rsid w:val="00F270E7"/>
    <w:rsid w:val="00F2798A"/>
    <w:rsid w:val="00F27AB6"/>
    <w:rsid w:val="00F27DBF"/>
    <w:rsid w:val="00F27E61"/>
    <w:rsid w:val="00F31116"/>
    <w:rsid w:val="00F314DF"/>
    <w:rsid w:val="00F31664"/>
    <w:rsid w:val="00F33AE4"/>
    <w:rsid w:val="00F33E0D"/>
    <w:rsid w:val="00F34BD4"/>
    <w:rsid w:val="00F35640"/>
    <w:rsid w:val="00F35C2A"/>
    <w:rsid w:val="00F37B87"/>
    <w:rsid w:val="00F39D7D"/>
    <w:rsid w:val="00F4001B"/>
    <w:rsid w:val="00F40EB1"/>
    <w:rsid w:val="00F416DC"/>
    <w:rsid w:val="00F42D70"/>
    <w:rsid w:val="00F43A72"/>
    <w:rsid w:val="00F444A7"/>
    <w:rsid w:val="00F44675"/>
    <w:rsid w:val="00F452BE"/>
    <w:rsid w:val="00F4585D"/>
    <w:rsid w:val="00F46A4E"/>
    <w:rsid w:val="00F46DEA"/>
    <w:rsid w:val="00F47031"/>
    <w:rsid w:val="00F5106A"/>
    <w:rsid w:val="00F521BA"/>
    <w:rsid w:val="00F525E6"/>
    <w:rsid w:val="00F52794"/>
    <w:rsid w:val="00F53400"/>
    <w:rsid w:val="00F53D83"/>
    <w:rsid w:val="00F53E52"/>
    <w:rsid w:val="00F54385"/>
    <w:rsid w:val="00F5490E"/>
    <w:rsid w:val="00F552EB"/>
    <w:rsid w:val="00F55C53"/>
    <w:rsid w:val="00F566B7"/>
    <w:rsid w:val="00F568EF"/>
    <w:rsid w:val="00F56FBF"/>
    <w:rsid w:val="00F60B5D"/>
    <w:rsid w:val="00F616DB"/>
    <w:rsid w:val="00F61D02"/>
    <w:rsid w:val="00F622A6"/>
    <w:rsid w:val="00F62C11"/>
    <w:rsid w:val="00F632F8"/>
    <w:rsid w:val="00F640ED"/>
    <w:rsid w:val="00F642F5"/>
    <w:rsid w:val="00F643F9"/>
    <w:rsid w:val="00F64606"/>
    <w:rsid w:val="00F6519E"/>
    <w:rsid w:val="00F6527D"/>
    <w:rsid w:val="00F66691"/>
    <w:rsid w:val="00F70FCA"/>
    <w:rsid w:val="00F710CC"/>
    <w:rsid w:val="00F7354C"/>
    <w:rsid w:val="00F736C5"/>
    <w:rsid w:val="00F74F42"/>
    <w:rsid w:val="00F762BB"/>
    <w:rsid w:val="00F80623"/>
    <w:rsid w:val="00F810B2"/>
    <w:rsid w:val="00F819F8"/>
    <w:rsid w:val="00F81AF7"/>
    <w:rsid w:val="00F836A7"/>
    <w:rsid w:val="00F84020"/>
    <w:rsid w:val="00F8417A"/>
    <w:rsid w:val="00F84AA9"/>
    <w:rsid w:val="00F850BF"/>
    <w:rsid w:val="00F85434"/>
    <w:rsid w:val="00F87719"/>
    <w:rsid w:val="00F91AFF"/>
    <w:rsid w:val="00F92C71"/>
    <w:rsid w:val="00F93F6B"/>
    <w:rsid w:val="00F9420E"/>
    <w:rsid w:val="00F94C8D"/>
    <w:rsid w:val="00F94D6E"/>
    <w:rsid w:val="00F94E3F"/>
    <w:rsid w:val="00F95392"/>
    <w:rsid w:val="00F954CD"/>
    <w:rsid w:val="00F955EC"/>
    <w:rsid w:val="00F971E3"/>
    <w:rsid w:val="00FA4A71"/>
    <w:rsid w:val="00FA50A5"/>
    <w:rsid w:val="00FA5CEB"/>
    <w:rsid w:val="00FA6537"/>
    <w:rsid w:val="00FA65B1"/>
    <w:rsid w:val="00FA6AA6"/>
    <w:rsid w:val="00FA711A"/>
    <w:rsid w:val="00FA7F77"/>
    <w:rsid w:val="00FB0694"/>
    <w:rsid w:val="00FB22D5"/>
    <w:rsid w:val="00FB3492"/>
    <w:rsid w:val="00FB4ECD"/>
    <w:rsid w:val="00FB522F"/>
    <w:rsid w:val="00FB531E"/>
    <w:rsid w:val="00FB6066"/>
    <w:rsid w:val="00FB6932"/>
    <w:rsid w:val="00FB6E2A"/>
    <w:rsid w:val="00FB76F9"/>
    <w:rsid w:val="00FB7FE6"/>
    <w:rsid w:val="00FC0BE0"/>
    <w:rsid w:val="00FC0E02"/>
    <w:rsid w:val="00FC16E7"/>
    <w:rsid w:val="00FC1776"/>
    <w:rsid w:val="00FC1B0D"/>
    <w:rsid w:val="00FC21DE"/>
    <w:rsid w:val="00FC5230"/>
    <w:rsid w:val="00FC601B"/>
    <w:rsid w:val="00FC602A"/>
    <w:rsid w:val="00FD06BA"/>
    <w:rsid w:val="00FD085D"/>
    <w:rsid w:val="00FD0F68"/>
    <w:rsid w:val="00FD11BF"/>
    <w:rsid w:val="00FD294E"/>
    <w:rsid w:val="00FD3032"/>
    <w:rsid w:val="00FD54DB"/>
    <w:rsid w:val="00FD7E61"/>
    <w:rsid w:val="00FE0162"/>
    <w:rsid w:val="00FE0AB4"/>
    <w:rsid w:val="00FE3143"/>
    <w:rsid w:val="00FE60CC"/>
    <w:rsid w:val="00FE689C"/>
    <w:rsid w:val="00FE84DC"/>
    <w:rsid w:val="00FF06E7"/>
    <w:rsid w:val="00FF09F7"/>
    <w:rsid w:val="00FF1DB4"/>
    <w:rsid w:val="00FF3FBF"/>
    <w:rsid w:val="00FF5D45"/>
    <w:rsid w:val="00FF679A"/>
    <w:rsid w:val="00FF7609"/>
    <w:rsid w:val="0101C9C1"/>
    <w:rsid w:val="01020F09"/>
    <w:rsid w:val="010847C4"/>
    <w:rsid w:val="010D28AC"/>
    <w:rsid w:val="012457D5"/>
    <w:rsid w:val="01287661"/>
    <w:rsid w:val="012F308E"/>
    <w:rsid w:val="01300880"/>
    <w:rsid w:val="0132DFFB"/>
    <w:rsid w:val="013851FD"/>
    <w:rsid w:val="01461531"/>
    <w:rsid w:val="0147C86A"/>
    <w:rsid w:val="0149954E"/>
    <w:rsid w:val="014FE9E8"/>
    <w:rsid w:val="0154E2FA"/>
    <w:rsid w:val="015B3CB0"/>
    <w:rsid w:val="015E9341"/>
    <w:rsid w:val="015F9C98"/>
    <w:rsid w:val="01608D42"/>
    <w:rsid w:val="016836ED"/>
    <w:rsid w:val="0174C0A9"/>
    <w:rsid w:val="0184AC54"/>
    <w:rsid w:val="01897399"/>
    <w:rsid w:val="018F8830"/>
    <w:rsid w:val="0191D5A0"/>
    <w:rsid w:val="019BDFBC"/>
    <w:rsid w:val="019FC1A7"/>
    <w:rsid w:val="01A0AAE1"/>
    <w:rsid w:val="01B72895"/>
    <w:rsid w:val="01BE036C"/>
    <w:rsid w:val="01BFF7C5"/>
    <w:rsid w:val="01D8AFBC"/>
    <w:rsid w:val="01E816BA"/>
    <w:rsid w:val="01E99B3C"/>
    <w:rsid w:val="01F1AEDA"/>
    <w:rsid w:val="01F8A38D"/>
    <w:rsid w:val="0203BF94"/>
    <w:rsid w:val="021D2F1D"/>
    <w:rsid w:val="022435B1"/>
    <w:rsid w:val="0234227A"/>
    <w:rsid w:val="024DC06D"/>
    <w:rsid w:val="0257A1B7"/>
    <w:rsid w:val="025C2D2C"/>
    <w:rsid w:val="02625A48"/>
    <w:rsid w:val="026CF545"/>
    <w:rsid w:val="026F4885"/>
    <w:rsid w:val="02756014"/>
    <w:rsid w:val="027C259A"/>
    <w:rsid w:val="027EBEA8"/>
    <w:rsid w:val="0284BA36"/>
    <w:rsid w:val="028812EE"/>
    <w:rsid w:val="02A19274"/>
    <w:rsid w:val="02A91840"/>
    <w:rsid w:val="02AAC94D"/>
    <w:rsid w:val="02B86645"/>
    <w:rsid w:val="02BA9561"/>
    <w:rsid w:val="02C5FE6C"/>
    <w:rsid w:val="02D1DAF8"/>
    <w:rsid w:val="02E39AE7"/>
    <w:rsid w:val="02E8C4A0"/>
    <w:rsid w:val="02EA1A8F"/>
    <w:rsid w:val="02FA27CC"/>
    <w:rsid w:val="02FD8440"/>
    <w:rsid w:val="0301AC84"/>
    <w:rsid w:val="0306FB26"/>
    <w:rsid w:val="030F8CD0"/>
    <w:rsid w:val="0318F8D6"/>
    <w:rsid w:val="032A5298"/>
    <w:rsid w:val="032E1E41"/>
    <w:rsid w:val="0333EFC4"/>
    <w:rsid w:val="034BF469"/>
    <w:rsid w:val="0354C5F1"/>
    <w:rsid w:val="0361D718"/>
    <w:rsid w:val="03647367"/>
    <w:rsid w:val="0365AD66"/>
    <w:rsid w:val="03676986"/>
    <w:rsid w:val="0370B55A"/>
    <w:rsid w:val="037675F7"/>
    <w:rsid w:val="0376D95D"/>
    <w:rsid w:val="037EBD00"/>
    <w:rsid w:val="03826405"/>
    <w:rsid w:val="039016A8"/>
    <w:rsid w:val="039845EF"/>
    <w:rsid w:val="0399A164"/>
    <w:rsid w:val="03A49EAF"/>
    <w:rsid w:val="03A5576C"/>
    <w:rsid w:val="03A8B5C3"/>
    <w:rsid w:val="03C2A0B1"/>
    <w:rsid w:val="03C5FBDF"/>
    <w:rsid w:val="03C7F2BB"/>
    <w:rsid w:val="03CF0EF8"/>
    <w:rsid w:val="03CF2E5B"/>
    <w:rsid w:val="03D954C3"/>
    <w:rsid w:val="03DC1B62"/>
    <w:rsid w:val="03E08629"/>
    <w:rsid w:val="03E85A4D"/>
    <w:rsid w:val="03EBB472"/>
    <w:rsid w:val="03F26692"/>
    <w:rsid w:val="03F4F3C5"/>
    <w:rsid w:val="03F949BA"/>
    <w:rsid w:val="03FEE634"/>
    <w:rsid w:val="040E4B63"/>
    <w:rsid w:val="040F846B"/>
    <w:rsid w:val="04118CEC"/>
    <w:rsid w:val="0417FC7D"/>
    <w:rsid w:val="042E2D56"/>
    <w:rsid w:val="04305BE4"/>
    <w:rsid w:val="0436F553"/>
    <w:rsid w:val="043D1ED5"/>
    <w:rsid w:val="04442AA2"/>
    <w:rsid w:val="04471ECD"/>
    <w:rsid w:val="0448148B"/>
    <w:rsid w:val="0448921E"/>
    <w:rsid w:val="044E5D13"/>
    <w:rsid w:val="0466A850"/>
    <w:rsid w:val="0475AAC2"/>
    <w:rsid w:val="0487445A"/>
    <w:rsid w:val="048BCAEF"/>
    <w:rsid w:val="04984682"/>
    <w:rsid w:val="049AD5B4"/>
    <w:rsid w:val="049CFE2C"/>
    <w:rsid w:val="04A261BA"/>
    <w:rsid w:val="04AC4489"/>
    <w:rsid w:val="04B3B8E4"/>
    <w:rsid w:val="04BEEA30"/>
    <w:rsid w:val="04E4738C"/>
    <w:rsid w:val="04F4F33E"/>
    <w:rsid w:val="04FB7317"/>
    <w:rsid w:val="04FED31A"/>
    <w:rsid w:val="0501D791"/>
    <w:rsid w:val="0503517C"/>
    <w:rsid w:val="051C9C04"/>
    <w:rsid w:val="051D07AF"/>
    <w:rsid w:val="05257EA8"/>
    <w:rsid w:val="052725A6"/>
    <w:rsid w:val="05323226"/>
    <w:rsid w:val="053318D0"/>
    <w:rsid w:val="0536886D"/>
    <w:rsid w:val="053FA5C2"/>
    <w:rsid w:val="054CFDF8"/>
    <w:rsid w:val="0552CEE3"/>
    <w:rsid w:val="05701F95"/>
    <w:rsid w:val="057218B9"/>
    <w:rsid w:val="0573BE7C"/>
    <w:rsid w:val="057B243B"/>
    <w:rsid w:val="057D734C"/>
    <w:rsid w:val="0581F30C"/>
    <w:rsid w:val="0583AE64"/>
    <w:rsid w:val="05898FAB"/>
    <w:rsid w:val="059CAB8F"/>
    <w:rsid w:val="05A84796"/>
    <w:rsid w:val="05AEE800"/>
    <w:rsid w:val="05B1093D"/>
    <w:rsid w:val="05B5F5CE"/>
    <w:rsid w:val="05CCCF0F"/>
    <w:rsid w:val="05D14C13"/>
    <w:rsid w:val="05DBC003"/>
    <w:rsid w:val="05DD7487"/>
    <w:rsid w:val="05DEA94E"/>
    <w:rsid w:val="05F02684"/>
    <w:rsid w:val="05F068EE"/>
    <w:rsid w:val="05FA4B89"/>
    <w:rsid w:val="05FD88B0"/>
    <w:rsid w:val="0604A589"/>
    <w:rsid w:val="060629B5"/>
    <w:rsid w:val="060ABE64"/>
    <w:rsid w:val="0628DFC1"/>
    <w:rsid w:val="062A2031"/>
    <w:rsid w:val="062F6C7C"/>
    <w:rsid w:val="0631DFF2"/>
    <w:rsid w:val="063CE839"/>
    <w:rsid w:val="06457CC9"/>
    <w:rsid w:val="06522F7A"/>
    <w:rsid w:val="0653B932"/>
    <w:rsid w:val="06651837"/>
    <w:rsid w:val="0665F37F"/>
    <w:rsid w:val="066920E1"/>
    <w:rsid w:val="0669950E"/>
    <w:rsid w:val="066D49F3"/>
    <w:rsid w:val="068C15C0"/>
    <w:rsid w:val="0692DF59"/>
    <w:rsid w:val="069B0EB6"/>
    <w:rsid w:val="06A9809A"/>
    <w:rsid w:val="06BAB67A"/>
    <w:rsid w:val="06CBA5DA"/>
    <w:rsid w:val="06D0F87D"/>
    <w:rsid w:val="06D572D1"/>
    <w:rsid w:val="06D97527"/>
    <w:rsid w:val="06DA3137"/>
    <w:rsid w:val="06DBB49C"/>
    <w:rsid w:val="06DE85EF"/>
    <w:rsid w:val="06E3F957"/>
    <w:rsid w:val="06E4E2F4"/>
    <w:rsid w:val="06E6B23E"/>
    <w:rsid w:val="06EA62E8"/>
    <w:rsid w:val="06F0F532"/>
    <w:rsid w:val="06F22CEF"/>
    <w:rsid w:val="06F763F6"/>
    <w:rsid w:val="06FA568B"/>
    <w:rsid w:val="06FF931E"/>
    <w:rsid w:val="0705CDAB"/>
    <w:rsid w:val="071508CF"/>
    <w:rsid w:val="07168A70"/>
    <w:rsid w:val="07256A08"/>
    <w:rsid w:val="07269642"/>
    <w:rsid w:val="07365E10"/>
    <w:rsid w:val="073AC58D"/>
    <w:rsid w:val="073FACDA"/>
    <w:rsid w:val="074C9B87"/>
    <w:rsid w:val="074D3B02"/>
    <w:rsid w:val="074E4890"/>
    <w:rsid w:val="076AAAF7"/>
    <w:rsid w:val="0779E6AB"/>
    <w:rsid w:val="077A63ED"/>
    <w:rsid w:val="077A8403"/>
    <w:rsid w:val="0786AC53"/>
    <w:rsid w:val="07914830"/>
    <w:rsid w:val="07930EC3"/>
    <w:rsid w:val="07A15F53"/>
    <w:rsid w:val="07A33629"/>
    <w:rsid w:val="07ADF1A7"/>
    <w:rsid w:val="07B0C47E"/>
    <w:rsid w:val="07B53983"/>
    <w:rsid w:val="07B6C4A5"/>
    <w:rsid w:val="07BAFB97"/>
    <w:rsid w:val="07BCBED7"/>
    <w:rsid w:val="07C1F020"/>
    <w:rsid w:val="07E341F3"/>
    <w:rsid w:val="07E632E9"/>
    <w:rsid w:val="07E7967D"/>
    <w:rsid w:val="07EAC454"/>
    <w:rsid w:val="07ED94E9"/>
    <w:rsid w:val="07EF4BA5"/>
    <w:rsid w:val="07FB63BF"/>
    <w:rsid w:val="080A1EEA"/>
    <w:rsid w:val="080C1DFE"/>
    <w:rsid w:val="080CA43C"/>
    <w:rsid w:val="0811055E"/>
    <w:rsid w:val="08122A1A"/>
    <w:rsid w:val="0816AE8E"/>
    <w:rsid w:val="081BD967"/>
    <w:rsid w:val="08246959"/>
    <w:rsid w:val="08280DB9"/>
    <w:rsid w:val="08315AC4"/>
    <w:rsid w:val="08384D0F"/>
    <w:rsid w:val="083E54D0"/>
    <w:rsid w:val="0850C2A6"/>
    <w:rsid w:val="08545FA9"/>
    <w:rsid w:val="08616395"/>
    <w:rsid w:val="0865F9F6"/>
    <w:rsid w:val="0868D6A9"/>
    <w:rsid w:val="086A31DC"/>
    <w:rsid w:val="08711897"/>
    <w:rsid w:val="08712B7F"/>
    <w:rsid w:val="08721C8E"/>
    <w:rsid w:val="087A76D5"/>
    <w:rsid w:val="087B176E"/>
    <w:rsid w:val="088438E2"/>
    <w:rsid w:val="08960630"/>
    <w:rsid w:val="0899CCC2"/>
    <w:rsid w:val="089C119A"/>
    <w:rsid w:val="08A815C4"/>
    <w:rsid w:val="08A905EB"/>
    <w:rsid w:val="08AC8AEB"/>
    <w:rsid w:val="08AE4FAB"/>
    <w:rsid w:val="08B0B196"/>
    <w:rsid w:val="08C8E78D"/>
    <w:rsid w:val="08D020F0"/>
    <w:rsid w:val="08D4B38A"/>
    <w:rsid w:val="08DDF2A8"/>
    <w:rsid w:val="08DE09DA"/>
    <w:rsid w:val="08E6453F"/>
    <w:rsid w:val="08EE0BB0"/>
    <w:rsid w:val="08EED17F"/>
    <w:rsid w:val="08F0841D"/>
    <w:rsid w:val="0907D252"/>
    <w:rsid w:val="090B2A7E"/>
    <w:rsid w:val="09169E23"/>
    <w:rsid w:val="091F3298"/>
    <w:rsid w:val="091FDF21"/>
    <w:rsid w:val="0924E70F"/>
    <w:rsid w:val="092E5921"/>
    <w:rsid w:val="093156E6"/>
    <w:rsid w:val="093393A3"/>
    <w:rsid w:val="09453EB0"/>
    <w:rsid w:val="09477EBF"/>
    <w:rsid w:val="094A7121"/>
    <w:rsid w:val="094CDE69"/>
    <w:rsid w:val="0976A109"/>
    <w:rsid w:val="097D437E"/>
    <w:rsid w:val="0987BB02"/>
    <w:rsid w:val="099522CB"/>
    <w:rsid w:val="099759DC"/>
    <w:rsid w:val="09A1158A"/>
    <w:rsid w:val="09A4D569"/>
    <w:rsid w:val="09A51378"/>
    <w:rsid w:val="09AF7EA3"/>
    <w:rsid w:val="09B41CC7"/>
    <w:rsid w:val="09B7EAF1"/>
    <w:rsid w:val="09BA098D"/>
    <w:rsid w:val="09C9A007"/>
    <w:rsid w:val="09DE3631"/>
    <w:rsid w:val="09E37C74"/>
    <w:rsid w:val="09E43BC5"/>
    <w:rsid w:val="09E84E2E"/>
    <w:rsid w:val="0A03E2B8"/>
    <w:rsid w:val="0A08E998"/>
    <w:rsid w:val="0A0EE479"/>
    <w:rsid w:val="0A1CC028"/>
    <w:rsid w:val="0A223A4A"/>
    <w:rsid w:val="0A22B4EC"/>
    <w:rsid w:val="0A2E4734"/>
    <w:rsid w:val="0A3CAA37"/>
    <w:rsid w:val="0A3E7350"/>
    <w:rsid w:val="0A466A58"/>
    <w:rsid w:val="0A514D1C"/>
    <w:rsid w:val="0A516858"/>
    <w:rsid w:val="0A56C2DB"/>
    <w:rsid w:val="0A67B927"/>
    <w:rsid w:val="0A6E5B3A"/>
    <w:rsid w:val="0A730BC3"/>
    <w:rsid w:val="0A758024"/>
    <w:rsid w:val="0A7B617A"/>
    <w:rsid w:val="0A7ED742"/>
    <w:rsid w:val="0A899F35"/>
    <w:rsid w:val="0A9C2A77"/>
    <w:rsid w:val="0AA69B57"/>
    <w:rsid w:val="0AA89DBB"/>
    <w:rsid w:val="0AAF13FA"/>
    <w:rsid w:val="0AB19B6D"/>
    <w:rsid w:val="0AC2839D"/>
    <w:rsid w:val="0AC482F0"/>
    <w:rsid w:val="0ACD420C"/>
    <w:rsid w:val="0AD1F0C8"/>
    <w:rsid w:val="0AD7C7CD"/>
    <w:rsid w:val="0ADC34B7"/>
    <w:rsid w:val="0AE6F124"/>
    <w:rsid w:val="0AF2B78B"/>
    <w:rsid w:val="0AFA2C54"/>
    <w:rsid w:val="0B00C9E3"/>
    <w:rsid w:val="0B00F1F9"/>
    <w:rsid w:val="0B07DBD6"/>
    <w:rsid w:val="0B18CCA8"/>
    <w:rsid w:val="0B18CF4D"/>
    <w:rsid w:val="0B2877FF"/>
    <w:rsid w:val="0B28DBCF"/>
    <w:rsid w:val="0B290BEC"/>
    <w:rsid w:val="0B389336"/>
    <w:rsid w:val="0B41D4FC"/>
    <w:rsid w:val="0B64DC84"/>
    <w:rsid w:val="0B6D41F6"/>
    <w:rsid w:val="0B7687DF"/>
    <w:rsid w:val="0B7F4625"/>
    <w:rsid w:val="0B806665"/>
    <w:rsid w:val="0B8CFDA5"/>
    <w:rsid w:val="0B8D9A9B"/>
    <w:rsid w:val="0B8EDF87"/>
    <w:rsid w:val="0B8EE7DE"/>
    <w:rsid w:val="0B97A71D"/>
    <w:rsid w:val="0B9A01DA"/>
    <w:rsid w:val="0B9E7549"/>
    <w:rsid w:val="0BA05F27"/>
    <w:rsid w:val="0BA5BCB7"/>
    <w:rsid w:val="0BAF589F"/>
    <w:rsid w:val="0BB19BC9"/>
    <w:rsid w:val="0BC182CF"/>
    <w:rsid w:val="0BC8F4FC"/>
    <w:rsid w:val="0BD0CEAF"/>
    <w:rsid w:val="0BD1EBB9"/>
    <w:rsid w:val="0BD24B65"/>
    <w:rsid w:val="0BD91BD7"/>
    <w:rsid w:val="0BDF8110"/>
    <w:rsid w:val="0BEAFF2E"/>
    <w:rsid w:val="0BF2D1AD"/>
    <w:rsid w:val="0C09CCCB"/>
    <w:rsid w:val="0C0C4D51"/>
    <w:rsid w:val="0C19A38C"/>
    <w:rsid w:val="0C21C790"/>
    <w:rsid w:val="0C2301B1"/>
    <w:rsid w:val="0C25AC9B"/>
    <w:rsid w:val="0C3B1B81"/>
    <w:rsid w:val="0C49BF8A"/>
    <w:rsid w:val="0C4B4EE9"/>
    <w:rsid w:val="0C4C316B"/>
    <w:rsid w:val="0C52E288"/>
    <w:rsid w:val="0C6CB90C"/>
    <w:rsid w:val="0C7B2E5F"/>
    <w:rsid w:val="0C7E346A"/>
    <w:rsid w:val="0C88F507"/>
    <w:rsid w:val="0C95EB96"/>
    <w:rsid w:val="0C95FE2A"/>
    <w:rsid w:val="0C97F646"/>
    <w:rsid w:val="0C9C4611"/>
    <w:rsid w:val="0C9CE637"/>
    <w:rsid w:val="0C9DEA20"/>
    <w:rsid w:val="0C9EE4E3"/>
    <w:rsid w:val="0CA2F08C"/>
    <w:rsid w:val="0CB12670"/>
    <w:rsid w:val="0CBC75EC"/>
    <w:rsid w:val="0CC304A7"/>
    <w:rsid w:val="0CC8609B"/>
    <w:rsid w:val="0CD5FE0D"/>
    <w:rsid w:val="0CD7B73B"/>
    <w:rsid w:val="0CDAD30A"/>
    <w:rsid w:val="0CE45F68"/>
    <w:rsid w:val="0CF21F28"/>
    <w:rsid w:val="0CF963A6"/>
    <w:rsid w:val="0D05AD0F"/>
    <w:rsid w:val="0D1CDEA3"/>
    <w:rsid w:val="0D2D6820"/>
    <w:rsid w:val="0D2F8DC8"/>
    <w:rsid w:val="0D3BE724"/>
    <w:rsid w:val="0D4115EE"/>
    <w:rsid w:val="0D436092"/>
    <w:rsid w:val="0D43EDC3"/>
    <w:rsid w:val="0D49D97A"/>
    <w:rsid w:val="0D4AA8B5"/>
    <w:rsid w:val="0D4C487B"/>
    <w:rsid w:val="0D4CFCCF"/>
    <w:rsid w:val="0D53B3E3"/>
    <w:rsid w:val="0D5B5A68"/>
    <w:rsid w:val="0D631F28"/>
    <w:rsid w:val="0D679AAF"/>
    <w:rsid w:val="0D67C5FC"/>
    <w:rsid w:val="0D7F7F2C"/>
    <w:rsid w:val="0D86E0B8"/>
    <w:rsid w:val="0D8FC653"/>
    <w:rsid w:val="0D9210FD"/>
    <w:rsid w:val="0D94DCDF"/>
    <w:rsid w:val="0D9887ED"/>
    <w:rsid w:val="0D9E9017"/>
    <w:rsid w:val="0DA4C3E5"/>
    <w:rsid w:val="0DACF18D"/>
    <w:rsid w:val="0DADA2C5"/>
    <w:rsid w:val="0DB1ECA9"/>
    <w:rsid w:val="0DB47B99"/>
    <w:rsid w:val="0DBB947F"/>
    <w:rsid w:val="0DCAF8B8"/>
    <w:rsid w:val="0DCCC4A6"/>
    <w:rsid w:val="0DE1010C"/>
    <w:rsid w:val="0DE5F0B5"/>
    <w:rsid w:val="0DEDB37B"/>
    <w:rsid w:val="0DFCF5A5"/>
    <w:rsid w:val="0E03FBEA"/>
    <w:rsid w:val="0E0886E4"/>
    <w:rsid w:val="0E107FF6"/>
    <w:rsid w:val="0E179500"/>
    <w:rsid w:val="0E19F8B8"/>
    <w:rsid w:val="0E2B1189"/>
    <w:rsid w:val="0E2F5F44"/>
    <w:rsid w:val="0E33975A"/>
    <w:rsid w:val="0E3DE119"/>
    <w:rsid w:val="0E4BB0E6"/>
    <w:rsid w:val="0E5048A6"/>
    <w:rsid w:val="0E509772"/>
    <w:rsid w:val="0E586E38"/>
    <w:rsid w:val="0E5AADC1"/>
    <w:rsid w:val="0E6462D1"/>
    <w:rsid w:val="0E6C5DD0"/>
    <w:rsid w:val="0E6CB44B"/>
    <w:rsid w:val="0E75FD24"/>
    <w:rsid w:val="0E7695C8"/>
    <w:rsid w:val="0E7726F8"/>
    <w:rsid w:val="0E77EAA9"/>
    <w:rsid w:val="0E7B33C6"/>
    <w:rsid w:val="0E8EFACC"/>
    <w:rsid w:val="0E96D8AE"/>
    <w:rsid w:val="0E9A25D6"/>
    <w:rsid w:val="0E9C34A8"/>
    <w:rsid w:val="0EA8E53C"/>
    <w:rsid w:val="0EB05E48"/>
    <w:rsid w:val="0EB2AB01"/>
    <w:rsid w:val="0EBAD24A"/>
    <w:rsid w:val="0EBED6E9"/>
    <w:rsid w:val="0EC8EC22"/>
    <w:rsid w:val="0ED2384A"/>
    <w:rsid w:val="0ED58794"/>
    <w:rsid w:val="0ED6E5BF"/>
    <w:rsid w:val="0ED93943"/>
    <w:rsid w:val="0EDAA3C9"/>
    <w:rsid w:val="0EDE83CD"/>
    <w:rsid w:val="0EE5E9DE"/>
    <w:rsid w:val="0EEE7175"/>
    <w:rsid w:val="0EF4978E"/>
    <w:rsid w:val="0EF7301D"/>
    <w:rsid w:val="0EFA15AE"/>
    <w:rsid w:val="0EFD51BF"/>
    <w:rsid w:val="0EFFCB32"/>
    <w:rsid w:val="0F07C510"/>
    <w:rsid w:val="0F0F1E81"/>
    <w:rsid w:val="0F0FA83B"/>
    <w:rsid w:val="0F1F9828"/>
    <w:rsid w:val="0F24C478"/>
    <w:rsid w:val="0F343A29"/>
    <w:rsid w:val="0F3A8863"/>
    <w:rsid w:val="0F434C95"/>
    <w:rsid w:val="0F4A70A3"/>
    <w:rsid w:val="0F53839A"/>
    <w:rsid w:val="0F61CD50"/>
    <w:rsid w:val="0F68099A"/>
    <w:rsid w:val="0F6E18BA"/>
    <w:rsid w:val="0F784216"/>
    <w:rsid w:val="0F7D6061"/>
    <w:rsid w:val="0F8CE94C"/>
    <w:rsid w:val="0F94901E"/>
    <w:rsid w:val="0FA97126"/>
    <w:rsid w:val="0FAAA133"/>
    <w:rsid w:val="0FBB37DA"/>
    <w:rsid w:val="0FC28211"/>
    <w:rsid w:val="0FD57D50"/>
    <w:rsid w:val="0FE2824D"/>
    <w:rsid w:val="0FE4E026"/>
    <w:rsid w:val="0FEDA2C5"/>
    <w:rsid w:val="0FFE116A"/>
    <w:rsid w:val="1005C4FA"/>
    <w:rsid w:val="100A21C8"/>
    <w:rsid w:val="101029E1"/>
    <w:rsid w:val="1019CF3C"/>
    <w:rsid w:val="101B2E31"/>
    <w:rsid w:val="1022D96A"/>
    <w:rsid w:val="1029CCE3"/>
    <w:rsid w:val="1030C031"/>
    <w:rsid w:val="1038619F"/>
    <w:rsid w:val="10444A77"/>
    <w:rsid w:val="10454EF3"/>
    <w:rsid w:val="10461B46"/>
    <w:rsid w:val="104A8E4D"/>
    <w:rsid w:val="104D0F6D"/>
    <w:rsid w:val="1068565F"/>
    <w:rsid w:val="106B4FFD"/>
    <w:rsid w:val="1076E6DF"/>
    <w:rsid w:val="1088257E"/>
    <w:rsid w:val="108EE692"/>
    <w:rsid w:val="1099375E"/>
    <w:rsid w:val="10995ED6"/>
    <w:rsid w:val="109A5A11"/>
    <w:rsid w:val="10A6093C"/>
    <w:rsid w:val="10A71C1A"/>
    <w:rsid w:val="10AB7B6C"/>
    <w:rsid w:val="10AE6BF9"/>
    <w:rsid w:val="10B09DEC"/>
    <w:rsid w:val="10B52B20"/>
    <w:rsid w:val="10C5D371"/>
    <w:rsid w:val="10D08536"/>
    <w:rsid w:val="10D40FB5"/>
    <w:rsid w:val="10D71A25"/>
    <w:rsid w:val="10D907FB"/>
    <w:rsid w:val="10E7DD33"/>
    <w:rsid w:val="10F3FED2"/>
    <w:rsid w:val="1100AECC"/>
    <w:rsid w:val="11049812"/>
    <w:rsid w:val="1116DD77"/>
    <w:rsid w:val="111709DE"/>
    <w:rsid w:val="111AE50C"/>
    <w:rsid w:val="111E06CB"/>
    <w:rsid w:val="11275BE7"/>
    <w:rsid w:val="112D2A3D"/>
    <w:rsid w:val="11300487"/>
    <w:rsid w:val="1131AD74"/>
    <w:rsid w:val="1132B935"/>
    <w:rsid w:val="113AAFCE"/>
    <w:rsid w:val="114A3648"/>
    <w:rsid w:val="1155BED1"/>
    <w:rsid w:val="115B93C2"/>
    <w:rsid w:val="117B4759"/>
    <w:rsid w:val="117DBC10"/>
    <w:rsid w:val="1189C507"/>
    <w:rsid w:val="118E137A"/>
    <w:rsid w:val="118E918C"/>
    <w:rsid w:val="11907337"/>
    <w:rsid w:val="1192BCD3"/>
    <w:rsid w:val="119B3744"/>
    <w:rsid w:val="119D5A5E"/>
    <w:rsid w:val="11AAE1B2"/>
    <w:rsid w:val="11AE77BA"/>
    <w:rsid w:val="11B6C913"/>
    <w:rsid w:val="11BACD45"/>
    <w:rsid w:val="11C76F0F"/>
    <w:rsid w:val="11CCB918"/>
    <w:rsid w:val="11D7D1F4"/>
    <w:rsid w:val="11DF326E"/>
    <w:rsid w:val="11ED3C90"/>
    <w:rsid w:val="1205211D"/>
    <w:rsid w:val="1207EC44"/>
    <w:rsid w:val="120D9A09"/>
    <w:rsid w:val="121037D1"/>
    <w:rsid w:val="121A82AA"/>
    <w:rsid w:val="121B8124"/>
    <w:rsid w:val="121CB29D"/>
    <w:rsid w:val="121DAC75"/>
    <w:rsid w:val="1221D278"/>
    <w:rsid w:val="1234D4EA"/>
    <w:rsid w:val="12375ACA"/>
    <w:rsid w:val="1242B73B"/>
    <w:rsid w:val="1242FCF2"/>
    <w:rsid w:val="12448FD3"/>
    <w:rsid w:val="12461753"/>
    <w:rsid w:val="1248FEE2"/>
    <w:rsid w:val="12498C4E"/>
    <w:rsid w:val="12778621"/>
    <w:rsid w:val="127DA38A"/>
    <w:rsid w:val="129009F8"/>
    <w:rsid w:val="12946776"/>
    <w:rsid w:val="1297512B"/>
    <w:rsid w:val="129BAE5B"/>
    <w:rsid w:val="129D9DF6"/>
    <w:rsid w:val="12A4A124"/>
    <w:rsid w:val="12A7B75B"/>
    <w:rsid w:val="12ABBAE3"/>
    <w:rsid w:val="12B72C32"/>
    <w:rsid w:val="12D191D4"/>
    <w:rsid w:val="12D4088D"/>
    <w:rsid w:val="12D8DF2D"/>
    <w:rsid w:val="12E3D48A"/>
    <w:rsid w:val="12EF8544"/>
    <w:rsid w:val="12EFEEA3"/>
    <w:rsid w:val="12F3F5AF"/>
    <w:rsid w:val="12F4A8F1"/>
    <w:rsid w:val="13013C55"/>
    <w:rsid w:val="1301D828"/>
    <w:rsid w:val="13046142"/>
    <w:rsid w:val="130CD29C"/>
    <w:rsid w:val="130F324E"/>
    <w:rsid w:val="1314D05C"/>
    <w:rsid w:val="131C9780"/>
    <w:rsid w:val="131D63EF"/>
    <w:rsid w:val="132C8622"/>
    <w:rsid w:val="133567A3"/>
    <w:rsid w:val="13367ED0"/>
    <w:rsid w:val="133D4F20"/>
    <w:rsid w:val="1341574E"/>
    <w:rsid w:val="1343427F"/>
    <w:rsid w:val="13442B7A"/>
    <w:rsid w:val="13557DAC"/>
    <w:rsid w:val="13567D39"/>
    <w:rsid w:val="13590C57"/>
    <w:rsid w:val="136660A3"/>
    <w:rsid w:val="1369E1C0"/>
    <w:rsid w:val="137C4250"/>
    <w:rsid w:val="137C482C"/>
    <w:rsid w:val="13823E1E"/>
    <w:rsid w:val="13835FA3"/>
    <w:rsid w:val="138C289D"/>
    <w:rsid w:val="138FEF8B"/>
    <w:rsid w:val="1390F76F"/>
    <w:rsid w:val="13927F41"/>
    <w:rsid w:val="13A73BFB"/>
    <w:rsid w:val="13A98F6B"/>
    <w:rsid w:val="13B26320"/>
    <w:rsid w:val="13B6C91A"/>
    <w:rsid w:val="13CCFBEF"/>
    <w:rsid w:val="13CED122"/>
    <w:rsid w:val="13D5B0D9"/>
    <w:rsid w:val="13DA0611"/>
    <w:rsid w:val="13DAA3D8"/>
    <w:rsid w:val="13F0FE76"/>
    <w:rsid w:val="140FB8C1"/>
    <w:rsid w:val="1416955E"/>
    <w:rsid w:val="142CE89A"/>
    <w:rsid w:val="14362586"/>
    <w:rsid w:val="143A716E"/>
    <w:rsid w:val="144D89A5"/>
    <w:rsid w:val="144F532F"/>
    <w:rsid w:val="1455CA90"/>
    <w:rsid w:val="1456B404"/>
    <w:rsid w:val="145CEA6E"/>
    <w:rsid w:val="1462A586"/>
    <w:rsid w:val="14647AC3"/>
    <w:rsid w:val="146716E5"/>
    <w:rsid w:val="1471AB79"/>
    <w:rsid w:val="1483BE30"/>
    <w:rsid w:val="148E3CDD"/>
    <w:rsid w:val="148E725D"/>
    <w:rsid w:val="14922ED2"/>
    <w:rsid w:val="14A4F1AD"/>
    <w:rsid w:val="14A8B48C"/>
    <w:rsid w:val="14AA9128"/>
    <w:rsid w:val="14AF44C7"/>
    <w:rsid w:val="14B1AA22"/>
    <w:rsid w:val="14B9B5D1"/>
    <w:rsid w:val="14C4598C"/>
    <w:rsid w:val="14D7B168"/>
    <w:rsid w:val="14E2778C"/>
    <w:rsid w:val="14E30170"/>
    <w:rsid w:val="14E4D607"/>
    <w:rsid w:val="14E7A138"/>
    <w:rsid w:val="14E9F0A6"/>
    <w:rsid w:val="14F12B12"/>
    <w:rsid w:val="14F50255"/>
    <w:rsid w:val="15051F84"/>
    <w:rsid w:val="150C3CB3"/>
    <w:rsid w:val="15115075"/>
    <w:rsid w:val="1518E13C"/>
    <w:rsid w:val="15294BF2"/>
    <w:rsid w:val="15336D0C"/>
    <w:rsid w:val="15401744"/>
    <w:rsid w:val="154A92D4"/>
    <w:rsid w:val="154E6B39"/>
    <w:rsid w:val="1554D2E2"/>
    <w:rsid w:val="15578D5E"/>
    <w:rsid w:val="155FD8A0"/>
    <w:rsid w:val="15649432"/>
    <w:rsid w:val="15680A48"/>
    <w:rsid w:val="156EF942"/>
    <w:rsid w:val="1585DC8D"/>
    <w:rsid w:val="158AE1DC"/>
    <w:rsid w:val="1596FEE6"/>
    <w:rsid w:val="1598A250"/>
    <w:rsid w:val="15A19D22"/>
    <w:rsid w:val="15A830B1"/>
    <w:rsid w:val="15B3EC1E"/>
    <w:rsid w:val="15B522F2"/>
    <w:rsid w:val="15B9419D"/>
    <w:rsid w:val="15BAA807"/>
    <w:rsid w:val="15BBF2F4"/>
    <w:rsid w:val="15BC4872"/>
    <w:rsid w:val="15BE6771"/>
    <w:rsid w:val="15C083C0"/>
    <w:rsid w:val="15C8FBBB"/>
    <w:rsid w:val="15CE166A"/>
    <w:rsid w:val="15D0478D"/>
    <w:rsid w:val="15D1D47B"/>
    <w:rsid w:val="15D75A4F"/>
    <w:rsid w:val="15DE24FF"/>
    <w:rsid w:val="15E074C5"/>
    <w:rsid w:val="15ED4B3C"/>
    <w:rsid w:val="15EF634E"/>
    <w:rsid w:val="1601B280"/>
    <w:rsid w:val="160D9121"/>
    <w:rsid w:val="160FACBA"/>
    <w:rsid w:val="161AA19A"/>
    <w:rsid w:val="161BFF5F"/>
    <w:rsid w:val="161D4BFE"/>
    <w:rsid w:val="163530EA"/>
    <w:rsid w:val="16371414"/>
    <w:rsid w:val="163B0A5B"/>
    <w:rsid w:val="1641C5F4"/>
    <w:rsid w:val="1642C3D6"/>
    <w:rsid w:val="16470D7E"/>
    <w:rsid w:val="1656420C"/>
    <w:rsid w:val="1657B4AF"/>
    <w:rsid w:val="166365E2"/>
    <w:rsid w:val="1664A125"/>
    <w:rsid w:val="166C7134"/>
    <w:rsid w:val="1671D1AC"/>
    <w:rsid w:val="16780AB0"/>
    <w:rsid w:val="167A67A2"/>
    <w:rsid w:val="16864BB8"/>
    <w:rsid w:val="16898A70"/>
    <w:rsid w:val="168C4038"/>
    <w:rsid w:val="168D8E2C"/>
    <w:rsid w:val="1693F309"/>
    <w:rsid w:val="16A63771"/>
    <w:rsid w:val="16A995EA"/>
    <w:rsid w:val="16AAF6D1"/>
    <w:rsid w:val="16B2E789"/>
    <w:rsid w:val="16B63942"/>
    <w:rsid w:val="16BF2261"/>
    <w:rsid w:val="16D30A62"/>
    <w:rsid w:val="16DA056D"/>
    <w:rsid w:val="16F9DE58"/>
    <w:rsid w:val="16FA779D"/>
    <w:rsid w:val="16FCFB36"/>
    <w:rsid w:val="16FFFD51"/>
    <w:rsid w:val="1704C3D7"/>
    <w:rsid w:val="170D827D"/>
    <w:rsid w:val="1712EA59"/>
    <w:rsid w:val="1716E246"/>
    <w:rsid w:val="171A8638"/>
    <w:rsid w:val="1722E675"/>
    <w:rsid w:val="1733F5C6"/>
    <w:rsid w:val="173CA292"/>
    <w:rsid w:val="1749320F"/>
    <w:rsid w:val="174A80E1"/>
    <w:rsid w:val="174CC4DD"/>
    <w:rsid w:val="175D6075"/>
    <w:rsid w:val="176BB926"/>
    <w:rsid w:val="177B47CE"/>
    <w:rsid w:val="177F9D99"/>
    <w:rsid w:val="179992C0"/>
    <w:rsid w:val="179DFDDD"/>
    <w:rsid w:val="17A27580"/>
    <w:rsid w:val="17AA37AA"/>
    <w:rsid w:val="17AB83A8"/>
    <w:rsid w:val="17C0B07C"/>
    <w:rsid w:val="17E2024E"/>
    <w:rsid w:val="17E2E82F"/>
    <w:rsid w:val="17E63E64"/>
    <w:rsid w:val="17E9AB52"/>
    <w:rsid w:val="17EC52C0"/>
    <w:rsid w:val="17EE1033"/>
    <w:rsid w:val="17F900FC"/>
    <w:rsid w:val="17FA4E9A"/>
    <w:rsid w:val="17FB56E4"/>
    <w:rsid w:val="17FC2354"/>
    <w:rsid w:val="18073CD5"/>
    <w:rsid w:val="180ED98A"/>
    <w:rsid w:val="181770D6"/>
    <w:rsid w:val="181C924E"/>
    <w:rsid w:val="181CB195"/>
    <w:rsid w:val="181D248B"/>
    <w:rsid w:val="182EB7A8"/>
    <w:rsid w:val="18317442"/>
    <w:rsid w:val="18360D8D"/>
    <w:rsid w:val="1841E944"/>
    <w:rsid w:val="18421F54"/>
    <w:rsid w:val="184E03F5"/>
    <w:rsid w:val="185214AC"/>
    <w:rsid w:val="18533B4C"/>
    <w:rsid w:val="185E080A"/>
    <w:rsid w:val="185F1BAF"/>
    <w:rsid w:val="1873464D"/>
    <w:rsid w:val="1877BA7A"/>
    <w:rsid w:val="187F3CCF"/>
    <w:rsid w:val="188033CB"/>
    <w:rsid w:val="1887CEC0"/>
    <w:rsid w:val="18888E94"/>
    <w:rsid w:val="18927A87"/>
    <w:rsid w:val="1893D0B9"/>
    <w:rsid w:val="189404E2"/>
    <w:rsid w:val="189658A1"/>
    <w:rsid w:val="18AD15D5"/>
    <w:rsid w:val="18B6CDCD"/>
    <w:rsid w:val="18BD817A"/>
    <w:rsid w:val="18C1BEE1"/>
    <w:rsid w:val="18C56E92"/>
    <w:rsid w:val="18C73B43"/>
    <w:rsid w:val="18D6A54B"/>
    <w:rsid w:val="18D890F5"/>
    <w:rsid w:val="18D8D607"/>
    <w:rsid w:val="18DE6021"/>
    <w:rsid w:val="18E71918"/>
    <w:rsid w:val="18E76713"/>
    <w:rsid w:val="18EBDC40"/>
    <w:rsid w:val="18F40F34"/>
    <w:rsid w:val="18F58CE1"/>
    <w:rsid w:val="19074B9B"/>
    <w:rsid w:val="19226804"/>
    <w:rsid w:val="192472E2"/>
    <w:rsid w:val="193EB44D"/>
    <w:rsid w:val="19410329"/>
    <w:rsid w:val="194843C4"/>
    <w:rsid w:val="1948B3F8"/>
    <w:rsid w:val="19509A63"/>
    <w:rsid w:val="1953335C"/>
    <w:rsid w:val="197FE3AF"/>
    <w:rsid w:val="1985BDC3"/>
    <w:rsid w:val="19866EB5"/>
    <w:rsid w:val="198C4D99"/>
    <w:rsid w:val="19988410"/>
    <w:rsid w:val="19A1C6A2"/>
    <w:rsid w:val="19AC5AE2"/>
    <w:rsid w:val="19AD1223"/>
    <w:rsid w:val="19B79BCF"/>
    <w:rsid w:val="19B7A2D8"/>
    <w:rsid w:val="19B9BCEA"/>
    <w:rsid w:val="19BAC358"/>
    <w:rsid w:val="19BF603B"/>
    <w:rsid w:val="19C38BF4"/>
    <w:rsid w:val="19CD291D"/>
    <w:rsid w:val="19CFA43E"/>
    <w:rsid w:val="19D20699"/>
    <w:rsid w:val="19D4B52D"/>
    <w:rsid w:val="19D51789"/>
    <w:rsid w:val="19F0CD6E"/>
    <w:rsid w:val="19F36B3F"/>
    <w:rsid w:val="19F5ED5B"/>
    <w:rsid w:val="19F69D9A"/>
    <w:rsid w:val="1A0F69EB"/>
    <w:rsid w:val="1A16086A"/>
    <w:rsid w:val="1A174563"/>
    <w:rsid w:val="1A17E4CE"/>
    <w:rsid w:val="1A1EC84F"/>
    <w:rsid w:val="1A2194B0"/>
    <w:rsid w:val="1A2C5744"/>
    <w:rsid w:val="1A2F650F"/>
    <w:rsid w:val="1A4281FE"/>
    <w:rsid w:val="1A455A7F"/>
    <w:rsid w:val="1A492C16"/>
    <w:rsid w:val="1A4B1C61"/>
    <w:rsid w:val="1A4B7C7F"/>
    <w:rsid w:val="1A5CDC30"/>
    <w:rsid w:val="1A5FC8ED"/>
    <w:rsid w:val="1A645263"/>
    <w:rsid w:val="1A6FCC7A"/>
    <w:rsid w:val="1AA284A4"/>
    <w:rsid w:val="1ABCC008"/>
    <w:rsid w:val="1ABD7E5A"/>
    <w:rsid w:val="1AC286C6"/>
    <w:rsid w:val="1AD723C0"/>
    <w:rsid w:val="1AE8B7C1"/>
    <w:rsid w:val="1AEC745C"/>
    <w:rsid w:val="1B00B879"/>
    <w:rsid w:val="1B0513D6"/>
    <w:rsid w:val="1B1B2368"/>
    <w:rsid w:val="1B1C77DA"/>
    <w:rsid w:val="1B20339F"/>
    <w:rsid w:val="1B21AB9F"/>
    <w:rsid w:val="1B2787EA"/>
    <w:rsid w:val="1B284193"/>
    <w:rsid w:val="1B31D757"/>
    <w:rsid w:val="1B466C1C"/>
    <w:rsid w:val="1B4A4B87"/>
    <w:rsid w:val="1B4E2BA8"/>
    <w:rsid w:val="1B530704"/>
    <w:rsid w:val="1B54E07D"/>
    <w:rsid w:val="1B57A5BC"/>
    <w:rsid w:val="1B5C5C31"/>
    <w:rsid w:val="1B5CC533"/>
    <w:rsid w:val="1B617463"/>
    <w:rsid w:val="1B6B5146"/>
    <w:rsid w:val="1B6DD60F"/>
    <w:rsid w:val="1B8783D4"/>
    <w:rsid w:val="1B8A56F1"/>
    <w:rsid w:val="1B8F08E6"/>
    <w:rsid w:val="1B9F20AA"/>
    <w:rsid w:val="1BB44100"/>
    <w:rsid w:val="1BB44CB8"/>
    <w:rsid w:val="1BB8F22B"/>
    <w:rsid w:val="1BBDEE64"/>
    <w:rsid w:val="1BBEF264"/>
    <w:rsid w:val="1BC2A7D5"/>
    <w:rsid w:val="1BC61B27"/>
    <w:rsid w:val="1BCB485D"/>
    <w:rsid w:val="1BD52695"/>
    <w:rsid w:val="1BD7DA14"/>
    <w:rsid w:val="1BDA9973"/>
    <w:rsid w:val="1BDEE326"/>
    <w:rsid w:val="1BE2A14A"/>
    <w:rsid w:val="1BF0B5DB"/>
    <w:rsid w:val="1BF5921F"/>
    <w:rsid w:val="1BF99C84"/>
    <w:rsid w:val="1C0243DC"/>
    <w:rsid w:val="1C0CF2EC"/>
    <w:rsid w:val="1C129D72"/>
    <w:rsid w:val="1C12C54F"/>
    <w:rsid w:val="1C12C72D"/>
    <w:rsid w:val="1C230DB6"/>
    <w:rsid w:val="1C2FF4F3"/>
    <w:rsid w:val="1C3F5B88"/>
    <w:rsid w:val="1C4EBAB4"/>
    <w:rsid w:val="1C522291"/>
    <w:rsid w:val="1C55FB6C"/>
    <w:rsid w:val="1C5C5E3D"/>
    <w:rsid w:val="1C6059E0"/>
    <w:rsid w:val="1C62A85E"/>
    <w:rsid w:val="1C6331CE"/>
    <w:rsid w:val="1C7F4642"/>
    <w:rsid w:val="1C8D4A32"/>
    <w:rsid w:val="1CA48020"/>
    <w:rsid w:val="1CB035BE"/>
    <w:rsid w:val="1CB37B00"/>
    <w:rsid w:val="1CC43360"/>
    <w:rsid w:val="1CC48521"/>
    <w:rsid w:val="1CCAE925"/>
    <w:rsid w:val="1CD2D50F"/>
    <w:rsid w:val="1CD8965E"/>
    <w:rsid w:val="1CE42805"/>
    <w:rsid w:val="1CE8D975"/>
    <w:rsid w:val="1CEB81A5"/>
    <w:rsid w:val="1CF0295E"/>
    <w:rsid w:val="1CFEAE53"/>
    <w:rsid w:val="1D0AE19C"/>
    <w:rsid w:val="1D12ABC6"/>
    <w:rsid w:val="1D177E04"/>
    <w:rsid w:val="1D1DD96C"/>
    <w:rsid w:val="1D224E19"/>
    <w:rsid w:val="1D236A2D"/>
    <w:rsid w:val="1D38A086"/>
    <w:rsid w:val="1D393EBE"/>
    <w:rsid w:val="1D469959"/>
    <w:rsid w:val="1D495D3E"/>
    <w:rsid w:val="1D496411"/>
    <w:rsid w:val="1D49BE33"/>
    <w:rsid w:val="1D4CB408"/>
    <w:rsid w:val="1D549131"/>
    <w:rsid w:val="1D54DC90"/>
    <w:rsid w:val="1D79DA12"/>
    <w:rsid w:val="1D842B3B"/>
    <w:rsid w:val="1D89FDEB"/>
    <w:rsid w:val="1D8CAD6E"/>
    <w:rsid w:val="1D8F2075"/>
    <w:rsid w:val="1D93D6BF"/>
    <w:rsid w:val="1D945C64"/>
    <w:rsid w:val="1D9A658F"/>
    <w:rsid w:val="1DA6875A"/>
    <w:rsid w:val="1DACA614"/>
    <w:rsid w:val="1DAEDFEF"/>
    <w:rsid w:val="1DB23CE3"/>
    <w:rsid w:val="1DB33072"/>
    <w:rsid w:val="1DC4828D"/>
    <w:rsid w:val="1DD03A3F"/>
    <w:rsid w:val="1DD0DA24"/>
    <w:rsid w:val="1DD24B6E"/>
    <w:rsid w:val="1DD67DB6"/>
    <w:rsid w:val="1DDA316E"/>
    <w:rsid w:val="1DE21353"/>
    <w:rsid w:val="1DE967FC"/>
    <w:rsid w:val="1DEA639D"/>
    <w:rsid w:val="1DEACED2"/>
    <w:rsid w:val="1DEE1CAA"/>
    <w:rsid w:val="1DEF8F0B"/>
    <w:rsid w:val="1DF1CED9"/>
    <w:rsid w:val="1DF76184"/>
    <w:rsid w:val="1DF90430"/>
    <w:rsid w:val="1DFBC0D0"/>
    <w:rsid w:val="1DFFE8F1"/>
    <w:rsid w:val="1E117F11"/>
    <w:rsid w:val="1E12195A"/>
    <w:rsid w:val="1E14CB29"/>
    <w:rsid w:val="1E211761"/>
    <w:rsid w:val="1E2F9EE5"/>
    <w:rsid w:val="1E331E24"/>
    <w:rsid w:val="1E332683"/>
    <w:rsid w:val="1E3448F3"/>
    <w:rsid w:val="1E371BCC"/>
    <w:rsid w:val="1E4AD7F3"/>
    <w:rsid w:val="1E5DD84D"/>
    <w:rsid w:val="1E645C7A"/>
    <w:rsid w:val="1E8237BF"/>
    <w:rsid w:val="1E8B625B"/>
    <w:rsid w:val="1E91BE6D"/>
    <w:rsid w:val="1E92A4CD"/>
    <w:rsid w:val="1EA20F08"/>
    <w:rsid w:val="1EA74015"/>
    <w:rsid w:val="1EA7F1BB"/>
    <w:rsid w:val="1EB31D77"/>
    <w:rsid w:val="1EB5E5DC"/>
    <w:rsid w:val="1EB7669E"/>
    <w:rsid w:val="1EC07E1C"/>
    <w:rsid w:val="1EC6B350"/>
    <w:rsid w:val="1ED24D87"/>
    <w:rsid w:val="1ED58956"/>
    <w:rsid w:val="1ED6C6E0"/>
    <w:rsid w:val="1EDB75D8"/>
    <w:rsid w:val="1EDE179A"/>
    <w:rsid w:val="1EE43824"/>
    <w:rsid w:val="1EE71431"/>
    <w:rsid w:val="1EF0CA04"/>
    <w:rsid w:val="1EFC82E4"/>
    <w:rsid w:val="1EFDC510"/>
    <w:rsid w:val="1F0BA0B7"/>
    <w:rsid w:val="1F0FC08A"/>
    <w:rsid w:val="1F1E7367"/>
    <w:rsid w:val="1F21B876"/>
    <w:rsid w:val="1F2743E6"/>
    <w:rsid w:val="1F31A3B9"/>
    <w:rsid w:val="1F31F62D"/>
    <w:rsid w:val="1F32F811"/>
    <w:rsid w:val="1F361D14"/>
    <w:rsid w:val="1F3DAD26"/>
    <w:rsid w:val="1F48742C"/>
    <w:rsid w:val="1F526EFC"/>
    <w:rsid w:val="1F610E77"/>
    <w:rsid w:val="1F660361"/>
    <w:rsid w:val="1F6795AE"/>
    <w:rsid w:val="1F7010E9"/>
    <w:rsid w:val="1F7D407B"/>
    <w:rsid w:val="1F7E9282"/>
    <w:rsid w:val="1F7F906C"/>
    <w:rsid w:val="1F886FBB"/>
    <w:rsid w:val="1F8EB5A7"/>
    <w:rsid w:val="1F8F592A"/>
    <w:rsid w:val="1F91D81E"/>
    <w:rsid w:val="1FA3126B"/>
    <w:rsid w:val="1FB21574"/>
    <w:rsid w:val="1FB23455"/>
    <w:rsid w:val="1FB54828"/>
    <w:rsid w:val="1FBA2F4C"/>
    <w:rsid w:val="1FC11D06"/>
    <w:rsid w:val="1FC38979"/>
    <w:rsid w:val="1FD196E9"/>
    <w:rsid w:val="1FE17D80"/>
    <w:rsid w:val="1FE463EC"/>
    <w:rsid w:val="1FE999BF"/>
    <w:rsid w:val="1FF90109"/>
    <w:rsid w:val="1FF9618A"/>
    <w:rsid w:val="1FFEF33D"/>
    <w:rsid w:val="2011C14E"/>
    <w:rsid w:val="20143D2B"/>
    <w:rsid w:val="20185772"/>
    <w:rsid w:val="20307CA7"/>
    <w:rsid w:val="2054ACE3"/>
    <w:rsid w:val="2072202D"/>
    <w:rsid w:val="20764330"/>
    <w:rsid w:val="2080581A"/>
    <w:rsid w:val="2084E160"/>
    <w:rsid w:val="2088E6B6"/>
    <w:rsid w:val="209D0561"/>
    <w:rsid w:val="20A020A2"/>
    <w:rsid w:val="20A9917A"/>
    <w:rsid w:val="20AE162F"/>
    <w:rsid w:val="20B1A18D"/>
    <w:rsid w:val="20C4485E"/>
    <w:rsid w:val="20C4F785"/>
    <w:rsid w:val="20C79534"/>
    <w:rsid w:val="20D90C57"/>
    <w:rsid w:val="20E1CF98"/>
    <w:rsid w:val="20E5FD17"/>
    <w:rsid w:val="20E6F55E"/>
    <w:rsid w:val="20E95532"/>
    <w:rsid w:val="20EE0266"/>
    <w:rsid w:val="20F4B54F"/>
    <w:rsid w:val="20F8DAEB"/>
    <w:rsid w:val="20FAE7DD"/>
    <w:rsid w:val="2102E9A5"/>
    <w:rsid w:val="210AF204"/>
    <w:rsid w:val="21103034"/>
    <w:rsid w:val="2111E776"/>
    <w:rsid w:val="2112C521"/>
    <w:rsid w:val="2113A58F"/>
    <w:rsid w:val="2114AC6C"/>
    <w:rsid w:val="2117907A"/>
    <w:rsid w:val="21197C01"/>
    <w:rsid w:val="211ADC5F"/>
    <w:rsid w:val="21229C1E"/>
    <w:rsid w:val="212CBDDD"/>
    <w:rsid w:val="21339D04"/>
    <w:rsid w:val="2140BB3C"/>
    <w:rsid w:val="2140D2A3"/>
    <w:rsid w:val="21466217"/>
    <w:rsid w:val="215BF46B"/>
    <w:rsid w:val="216A1E94"/>
    <w:rsid w:val="216C5094"/>
    <w:rsid w:val="2172EFA4"/>
    <w:rsid w:val="21742A94"/>
    <w:rsid w:val="21797DA1"/>
    <w:rsid w:val="2179B9BA"/>
    <w:rsid w:val="21895883"/>
    <w:rsid w:val="21908DCB"/>
    <w:rsid w:val="21955832"/>
    <w:rsid w:val="21C60280"/>
    <w:rsid w:val="21C7F000"/>
    <w:rsid w:val="21CDBCA8"/>
    <w:rsid w:val="21E3A613"/>
    <w:rsid w:val="21EEA852"/>
    <w:rsid w:val="21F2F3E6"/>
    <w:rsid w:val="21F90FF4"/>
    <w:rsid w:val="21FE0034"/>
    <w:rsid w:val="21FF4A04"/>
    <w:rsid w:val="2202D21E"/>
    <w:rsid w:val="22047977"/>
    <w:rsid w:val="220FE6DD"/>
    <w:rsid w:val="22140CA3"/>
    <w:rsid w:val="2216A304"/>
    <w:rsid w:val="222F5273"/>
    <w:rsid w:val="222FB6A7"/>
    <w:rsid w:val="2232C84B"/>
    <w:rsid w:val="2236B836"/>
    <w:rsid w:val="22380361"/>
    <w:rsid w:val="223B2D9C"/>
    <w:rsid w:val="223DF60F"/>
    <w:rsid w:val="22420AFD"/>
    <w:rsid w:val="22434839"/>
    <w:rsid w:val="22463C97"/>
    <w:rsid w:val="2246ED68"/>
    <w:rsid w:val="224A3200"/>
    <w:rsid w:val="224CC8EE"/>
    <w:rsid w:val="224E63DA"/>
    <w:rsid w:val="225A964D"/>
    <w:rsid w:val="225EB88B"/>
    <w:rsid w:val="225FDB97"/>
    <w:rsid w:val="2265CDB7"/>
    <w:rsid w:val="22663D41"/>
    <w:rsid w:val="226F8A00"/>
    <w:rsid w:val="2271B258"/>
    <w:rsid w:val="227205A7"/>
    <w:rsid w:val="22787E5B"/>
    <w:rsid w:val="227DDA34"/>
    <w:rsid w:val="2280C926"/>
    <w:rsid w:val="2282D49F"/>
    <w:rsid w:val="228DB3CE"/>
    <w:rsid w:val="228F6B09"/>
    <w:rsid w:val="2293BA4D"/>
    <w:rsid w:val="22A180CA"/>
    <w:rsid w:val="22A61D2E"/>
    <w:rsid w:val="22A9C624"/>
    <w:rsid w:val="22ACBD25"/>
    <w:rsid w:val="22AEA381"/>
    <w:rsid w:val="22B28F1E"/>
    <w:rsid w:val="22B36983"/>
    <w:rsid w:val="22B66283"/>
    <w:rsid w:val="22B6CAB1"/>
    <w:rsid w:val="22BDCC01"/>
    <w:rsid w:val="22C3533D"/>
    <w:rsid w:val="22C58DEE"/>
    <w:rsid w:val="22DC914D"/>
    <w:rsid w:val="22DD71E1"/>
    <w:rsid w:val="22DFD9CF"/>
    <w:rsid w:val="22E95BDF"/>
    <w:rsid w:val="22ECBA59"/>
    <w:rsid w:val="22EE2C84"/>
    <w:rsid w:val="22F249B6"/>
    <w:rsid w:val="22F554A2"/>
    <w:rsid w:val="22F7246D"/>
    <w:rsid w:val="22F8BA2D"/>
    <w:rsid w:val="22FDDB48"/>
    <w:rsid w:val="22FFF79E"/>
    <w:rsid w:val="230386BF"/>
    <w:rsid w:val="230A65BC"/>
    <w:rsid w:val="23122A98"/>
    <w:rsid w:val="23124F15"/>
    <w:rsid w:val="2314CA24"/>
    <w:rsid w:val="2323EFE0"/>
    <w:rsid w:val="233C80ED"/>
    <w:rsid w:val="233E5294"/>
    <w:rsid w:val="2352F630"/>
    <w:rsid w:val="23576D3C"/>
    <w:rsid w:val="2358D664"/>
    <w:rsid w:val="236814E3"/>
    <w:rsid w:val="2375AA4C"/>
    <w:rsid w:val="2379FC1E"/>
    <w:rsid w:val="237D9233"/>
    <w:rsid w:val="2380826C"/>
    <w:rsid w:val="2380A80F"/>
    <w:rsid w:val="2380C56E"/>
    <w:rsid w:val="238CA4D8"/>
    <w:rsid w:val="2391077D"/>
    <w:rsid w:val="23995955"/>
    <w:rsid w:val="239E51B6"/>
    <w:rsid w:val="239F50B4"/>
    <w:rsid w:val="23B2E09A"/>
    <w:rsid w:val="23B33B46"/>
    <w:rsid w:val="23C1287B"/>
    <w:rsid w:val="23C52287"/>
    <w:rsid w:val="23C6DDBD"/>
    <w:rsid w:val="23CE9CE9"/>
    <w:rsid w:val="23DC4110"/>
    <w:rsid w:val="23DFDE2A"/>
    <w:rsid w:val="23E0F449"/>
    <w:rsid w:val="23E22E15"/>
    <w:rsid w:val="23F838EF"/>
    <w:rsid w:val="23FA679A"/>
    <w:rsid w:val="2400B75B"/>
    <w:rsid w:val="240C51A8"/>
    <w:rsid w:val="240E4E61"/>
    <w:rsid w:val="240E9B15"/>
    <w:rsid w:val="24220369"/>
    <w:rsid w:val="242745E2"/>
    <w:rsid w:val="242EEE5F"/>
    <w:rsid w:val="24317573"/>
    <w:rsid w:val="2435628F"/>
    <w:rsid w:val="24360A60"/>
    <w:rsid w:val="2444EB63"/>
    <w:rsid w:val="244CB6A8"/>
    <w:rsid w:val="245007D1"/>
    <w:rsid w:val="24555713"/>
    <w:rsid w:val="24650248"/>
    <w:rsid w:val="24685C03"/>
    <w:rsid w:val="2474DBA6"/>
    <w:rsid w:val="247727DC"/>
    <w:rsid w:val="2478E3F9"/>
    <w:rsid w:val="247941F2"/>
    <w:rsid w:val="247E701C"/>
    <w:rsid w:val="248142FC"/>
    <w:rsid w:val="248A9F05"/>
    <w:rsid w:val="248CCFB0"/>
    <w:rsid w:val="248E5D26"/>
    <w:rsid w:val="248EA6F2"/>
    <w:rsid w:val="249E0628"/>
    <w:rsid w:val="249E1938"/>
    <w:rsid w:val="24A1A104"/>
    <w:rsid w:val="24A98371"/>
    <w:rsid w:val="24B0274E"/>
    <w:rsid w:val="24B1FC05"/>
    <w:rsid w:val="24B67D64"/>
    <w:rsid w:val="24B90B48"/>
    <w:rsid w:val="24BA23B6"/>
    <w:rsid w:val="24BF2255"/>
    <w:rsid w:val="24C2579E"/>
    <w:rsid w:val="24C905F2"/>
    <w:rsid w:val="24C9C82B"/>
    <w:rsid w:val="24CADEE6"/>
    <w:rsid w:val="24D3472B"/>
    <w:rsid w:val="24E34DDF"/>
    <w:rsid w:val="24E4B901"/>
    <w:rsid w:val="24EA9078"/>
    <w:rsid w:val="24F09A2E"/>
    <w:rsid w:val="24F8984C"/>
    <w:rsid w:val="24FE7ADE"/>
    <w:rsid w:val="24FEE4E0"/>
    <w:rsid w:val="25051DBF"/>
    <w:rsid w:val="250B1E0D"/>
    <w:rsid w:val="2511B24E"/>
    <w:rsid w:val="25185FE0"/>
    <w:rsid w:val="25201D33"/>
    <w:rsid w:val="252538D3"/>
    <w:rsid w:val="2533EEA6"/>
    <w:rsid w:val="253D1B9C"/>
    <w:rsid w:val="254AA9FB"/>
    <w:rsid w:val="2553ACF5"/>
    <w:rsid w:val="255DC068"/>
    <w:rsid w:val="25655B82"/>
    <w:rsid w:val="257B3C34"/>
    <w:rsid w:val="258AE71F"/>
    <w:rsid w:val="258E25B2"/>
    <w:rsid w:val="25969E30"/>
    <w:rsid w:val="25982BAE"/>
    <w:rsid w:val="259D2EE5"/>
    <w:rsid w:val="25B9FDED"/>
    <w:rsid w:val="25C21E4C"/>
    <w:rsid w:val="25CACD35"/>
    <w:rsid w:val="25CC138E"/>
    <w:rsid w:val="25DFD8FD"/>
    <w:rsid w:val="25E0FDFB"/>
    <w:rsid w:val="25E220F3"/>
    <w:rsid w:val="25E2BEB3"/>
    <w:rsid w:val="25E5F220"/>
    <w:rsid w:val="25F8E72F"/>
    <w:rsid w:val="25FDDABA"/>
    <w:rsid w:val="2608CFD4"/>
    <w:rsid w:val="260EDC0D"/>
    <w:rsid w:val="2610AB14"/>
    <w:rsid w:val="2615BDF6"/>
    <w:rsid w:val="261FCCF4"/>
    <w:rsid w:val="262CCD2A"/>
    <w:rsid w:val="26369982"/>
    <w:rsid w:val="263E125B"/>
    <w:rsid w:val="264CF419"/>
    <w:rsid w:val="2659AB13"/>
    <w:rsid w:val="2666F790"/>
    <w:rsid w:val="267A0CC6"/>
    <w:rsid w:val="2681AB7C"/>
    <w:rsid w:val="269D8802"/>
    <w:rsid w:val="26A34FB5"/>
    <w:rsid w:val="26A6648C"/>
    <w:rsid w:val="26A8AA4F"/>
    <w:rsid w:val="26B0F6BA"/>
    <w:rsid w:val="26B78771"/>
    <w:rsid w:val="26BA2048"/>
    <w:rsid w:val="26C34C54"/>
    <w:rsid w:val="26C61717"/>
    <w:rsid w:val="26C92C90"/>
    <w:rsid w:val="26E09989"/>
    <w:rsid w:val="26E3A1AF"/>
    <w:rsid w:val="26E7391F"/>
    <w:rsid w:val="26EF9459"/>
    <w:rsid w:val="26F8C42A"/>
    <w:rsid w:val="26FD0BDD"/>
    <w:rsid w:val="270B60EC"/>
    <w:rsid w:val="271A539C"/>
    <w:rsid w:val="2725F434"/>
    <w:rsid w:val="272F5D75"/>
    <w:rsid w:val="2731FF6B"/>
    <w:rsid w:val="273425A1"/>
    <w:rsid w:val="2738D2F0"/>
    <w:rsid w:val="273B408C"/>
    <w:rsid w:val="274D6D3D"/>
    <w:rsid w:val="274E224E"/>
    <w:rsid w:val="274E5EBE"/>
    <w:rsid w:val="275FDEAD"/>
    <w:rsid w:val="27624E32"/>
    <w:rsid w:val="2771DC47"/>
    <w:rsid w:val="2774ED7E"/>
    <w:rsid w:val="27818003"/>
    <w:rsid w:val="2782DDC7"/>
    <w:rsid w:val="2783C7F8"/>
    <w:rsid w:val="2787E5E7"/>
    <w:rsid w:val="278CB1D6"/>
    <w:rsid w:val="278DC83F"/>
    <w:rsid w:val="279C01CB"/>
    <w:rsid w:val="27A23B0A"/>
    <w:rsid w:val="27A47FBD"/>
    <w:rsid w:val="27AA7E34"/>
    <w:rsid w:val="27B42F6C"/>
    <w:rsid w:val="27B5106A"/>
    <w:rsid w:val="27B6CE53"/>
    <w:rsid w:val="27B7C62E"/>
    <w:rsid w:val="27C775AE"/>
    <w:rsid w:val="27CA018B"/>
    <w:rsid w:val="27D47E31"/>
    <w:rsid w:val="27DC81B3"/>
    <w:rsid w:val="27ED3C86"/>
    <w:rsid w:val="27F7A41A"/>
    <w:rsid w:val="27F84799"/>
    <w:rsid w:val="27F959C7"/>
    <w:rsid w:val="280CBF96"/>
    <w:rsid w:val="280EC679"/>
    <w:rsid w:val="2817C6F5"/>
    <w:rsid w:val="28196F7F"/>
    <w:rsid w:val="281B3D4A"/>
    <w:rsid w:val="2827810A"/>
    <w:rsid w:val="2829C568"/>
    <w:rsid w:val="283D5504"/>
    <w:rsid w:val="284E26B3"/>
    <w:rsid w:val="284FE176"/>
    <w:rsid w:val="2851C829"/>
    <w:rsid w:val="286160D0"/>
    <w:rsid w:val="28618C65"/>
    <w:rsid w:val="286AAE66"/>
    <w:rsid w:val="286C6E09"/>
    <w:rsid w:val="28718826"/>
    <w:rsid w:val="2882704A"/>
    <w:rsid w:val="289000EF"/>
    <w:rsid w:val="289500C9"/>
    <w:rsid w:val="2898A350"/>
    <w:rsid w:val="28A31624"/>
    <w:rsid w:val="28A69B8B"/>
    <w:rsid w:val="28AF778D"/>
    <w:rsid w:val="28B11498"/>
    <w:rsid w:val="28CFD29B"/>
    <w:rsid w:val="28DC28E1"/>
    <w:rsid w:val="28E52683"/>
    <w:rsid w:val="28FD3D64"/>
    <w:rsid w:val="28FFD361"/>
    <w:rsid w:val="2901F928"/>
    <w:rsid w:val="2914580B"/>
    <w:rsid w:val="2933CBEA"/>
    <w:rsid w:val="2943BCD0"/>
    <w:rsid w:val="2947AAE0"/>
    <w:rsid w:val="294CF154"/>
    <w:rsid w:val="29651F66"/>
    <w:rsid w:val="296BBDDE"/>
    <w:rsid w:val="297436CC"/>
    <w:rsid w:val="297D09A1"/>
    <w:rsid w:val="29892229"/>
    <w:rsid w:val="298A0174"/>
    <w:rsid w:val="2994DD5A"/>
    <w:rsid w:val="29956B76"/>
    <w:rsid w:val="2999BD77"/>
    <w:rsid w:val="29A91B77"/>
    <w:rsid w:val="29AE1982"/>
    <w:rsid w:val="29AFDBE1"/>
    <w:rsid w:val="29B12433"/>
    <w:rsid w:val="29BE3F82"/>
    <w:rsid w:val="29BF165A"/>
    <w:rsid w:val="29BF698E"/>
    <w:rsid w:val="29C924C4"/>
    <w:rsid w:val="29D0210B"/>
    <w:rsid w:val="29D3EBDB"/>
    <w:rsid w:val="29D643DB"/>
    <w:rsid w:val="29DCC35A"/>
    <w:rsid w:val="29F1CA70"/>
    <w:rsid w:val="29F2E8F9"/>
    <w:rsid w:val="29F4BDCC"/>
    <w:rsid w:val="29FED514"/>
    <w:rsid w:val="2A014125"/>
    <w:rsid w:val="2A01FE51"/>
    <w:rsid w:val="2A2D5536"/>
    <w:rsid w:val="2A2DCB27"/>
    <w:rsid w:val="2A3202C5"/>
    <w:rsid w:val="2A375D11"/>
    <w:rsid w:val="2A3DA279"/>
    <w:rsid w:val="2A4CB8D4"/>
    <w:rsid w:val="2A59385A"/>
    <w:rsid w:val="2A5F3999"/>
    <w:rsid w:val="2A701685"/>
    <w:rsid w:val="2A880AC5"/>
    <w:rsid w:val="2A900EC6"/>
    <w:rsid w:val="2A931C32"/>
    <w:rsid w:val="2AA71403"/>
    <w:rsid w:val="2AB6EFB8"/>
    <w:rsid w:val="2AB71B25"/>
    <w:rsid w:val="2AB8A4AE"/>
    <w:rsid w:val="2AB91A36"/>
    <w:rsid w:val="2ABF782A"/>
    <w:rsid w:val="2ACAAAA7"/>
    <w:rsid w:val="2AF2EBE9"/>
    <w:rsid w:val="2AF39666"/>
    <w:rsid w:val="2AF896F4"/>
    <w:rsid w:val="2B009C6A"/>
    <w:rsid w:val="2B08482F"/>
    <w:rsid w:val="2B0E8588"/>
    <w:rsid w:val="2B136CEE"/>
    <w:rsid w:val="2B1B103E"/>
    <w:rsid w:val="2B1B32EF"/>
    <w:rsid w:val="2B2870DB"/>
    <w:rsid w:val="2B2DF56E"/>
    <w:rsid w:val="2B30F216"/>
    <w:rsid w:val="2B337FBD"/>
    <w:rsid w:val="2B3BF459"/>
    <w:rsid w:val="2B3DA143"/>
    <w:rsid w:val="2B3F3C1D"/>
    <w:rsid w:val="2B414EA0"/>
    <w:rsid w:val="2B4DCA78"/>
    <w:rsid w:val="2B5BA173"/>
    <w:rsid w:val="2B5D1E7A"/>
    <w:rsid w:val="2B5D31A6"/>
    <w:rsid w:val="2B708DB3"/>
    <w:rsid w:val="2B75E3A5"/>
    <w:rsid w:val="2B7776CE"/>
    <w:rsid w:val="2B7810A1"/>
    <w:rsid w:val="2B7832DE"/>
    <w:rsid w:val="2B7F9D96"/>
    <w:rsid w:val="2B7FC38F"/>
    <w:rsid w:val="2B896F8C"/>
    <w:rsid w:val="2B8B9DB4"/>
    <w:rsid w:val="2B91E807"/>
    <w:rsid w:val="2B96B71B"/>
    <w:rsid w:val="2BAC2816"/>
    <w:rsid w:val="2BB9BC90"/>
    <w:rsid w:val="2BC3A1D5"/>
    <w:rsid w:val="2BC42D2E"/>
    <w:rsid w:val="2BCDB5AF"/>
    <w:rsid w:val="2BCFCC93"/>
    <w:rsid w:val="2BDFBB80"/>
    <w:rsid w:val="2BE2661B"/>
    <w:rsid w:val="2BE4B630"/>
    <w:rsid w:val="2BE75443"/>
    <w:rsid w:val="2BF3200F"/>
    <w:rsid w:val="2C117432"/>
    <w:rsid w:val="2C1A204B"/>
    <w:rsid w:val="2C2C94F8"/>
    <w:rsid w:val="2C2EDDB4"/>
    <w:rsid w:val="2C310553"/>
    <w:rsid w:val="2C3AF741"/>
    <w:rsid w:val="2C4A714D"/>
    <w:rsid w:val="2C4AD747"/>
    <w:rsid w:val="2C4B2893"/>
    <w:rsid w:val="2C4C1111"/>
    <w:rsid w:val="2C508F3F"/>
    <w:rsid w:val="2C5350C7"/>
    <w:rsid w:val="2C62B3D4"/>
    <w:rsid w:val="2C77A0B1"/>
    <w:rsid w:val="2C7AB6B3"/>
    <w:rsid w:val="2C7C9DB2"/>
    <w:rsid w:val="2C813B57"/>
    <w:rsid w:val="2C832F9C"/>
    <w:rsid w:val="2C8A3FF6"/>
    <w:rsid w:val="2C8F57EF"/>
    <w:rsid w:val="2C9730AD"/>
    <w:rsid w:val="2C992AED"/>
    <w:rsid w:val="2C9D0684"/>
    <w:rsid w:val="2CAC7FB7"/>
    <w:rsid w:val="2CAF979C"/>
    <w:rsid w:val="2CB4EA05"/>
    <w:rsid w:val="2CB78A7B"/>
    <w:rsid w:val="2CBB63C1"/>
    <w:rsid w:val="2CC6C207"/>
    <w:rsid w:val="2CD8755A"/>
    <w:rsid w:val="2CDE6576"/>
    <w:rsid w:val="2CF5D634"/>
    <w:rsid w:val="2CF9858F"/>
    <w:rsid w:val="2CFD5C47"/>
    <w:rsid w:val="2D0CB47F"/>
    <w:rsid w:val="2D12EDD1"/>
    <w:rsid w:val="2D152EC2"/>
    <w:rsid w:val="2D1864E9"/>
    <w:rsid w:val="2D2BDAD2"/>
    <w:rsid w:val="2D392BBC"/>
    <w:rsid w:val="2D43A8A1"/>
    <w:rsid w:val="2D47F148"/>
    <w:rsid w:val="2D48B419"/>
    <w:rsid w:val="2D4A92A7"/>
    <w:rsid w:val="2D523C7E"/>
    <w:rsid w:val="2D5574DC"/>
    <w:rsid w:val="2D58FD9B"/>
    <w:rsid w:val="2D6A2AFB"/>
    <w:rsid w:val="2D6F988A"/>
    <w:rsid w:val="2D71BF58"/>
    <w:rsid w:val="2D7A52FA"/>
    <w:rsid w:val="2D827B5F"/>
    <w:rsid w:val="2D873828"/>
    <w:rsid w:val="2D8ADA04"/>
    <w:rsid w:val="2D969ECD"/>
    <w:rsid w:val="2D970CF5"/>
    <w:rsid w:val="2DA1BA1B"/>
    <w:rsid w:val="2DA74ECF"/>
    <w:rsid w:val="2DAA1473"/>
    <w:rsid w:val="2DAB5C62"/>
    <w:rsid w:val="2DAE7751"/>
    <w:rsid w:val="2DB2E124"/>
    <w:rsid w:val="2DC7AF7E"/>
    <w:rsid w:val="2DC8517A"/>
    <w:rsid w:val="2DD1530F"/>
    <w:rsid w:val="2DDC7957"/>
    <w:rsid w:val="2DEAFA4C"/>
    <w:rsid w:val="2DF2AE28"/>
    <w:rsid w:val="2DF75CB4"/>
    <w:rsid w:val="2DF955E9"/>
    <w:rsid w:val="2E06A39D"/>
    <w:rsid w:val="2E0CAD45"/>
    <w:rsid w:val="2E12A9B1"/>
    <w:rsid w:val="2E15B667"/>
    <w:rsid w:val="2E163C56"/>
    <w:rsid w:val="2E1D2506"/>
    <w:rsid w:val="2E1E544A"/>
    <w:rsid w:val="2E289CEA"/>
    <w:rsid w:val="2E28E52A"/>
    <w:rsid w:val="2E2D84C1"/>
    <w:rsid w:val="2E3024E2"/>
    <w:rsid w:val="2E33437B"/>
    <w:rsid w:val="2E3C9F15"/>
    <w:rsid w:val="2E43D2FE"/>
    <w:rsid w:val="2E5E7856"/>
    <w:rsid w:val="2E655D0F"/>
    <w:rsid w:val="2E65D076"/>
    <w:rsid w:val="2E822AF3"/>
    <w:rsid w:val="2E85D75E"/>
    <w:rsid w:val="2E8C515A"/>
    <w:rsid w:val="2E97B391"/>
    <w:rsid w:val="2E9B027E"/>
    <w:rsid w:val="2E9CE610"/>
    <w:rsid w:val="2EBDBD9E"/>
    <w:rsid w:val="2EC53DDD"/>
    <w:rsid w:val="2ED092B1"/>
    <w:rsid w:val="2ED1396E"/>
    <w:rsid w:val="2ED8FD96"/>
    <w:rsid w:val="2EDFD27A"/>
    <w:rsid w:val="2EE1040A"/>
    <w:rsid w:val="2EFEC635"/>
    <w:rsid w:val="2EFF5A0D"/>
    <w:rsid w:val="2EFF9D3B"/>
    <w:rsid w:val="2F0BA277"/>
    <w:rsid w:val="2F0F91B3"/>
    <w:rsid w:val="2F158EBA"/>
    <w:rsid w:val="2F165B32"/>
    <w:rsid w:val="2F1BCBCA"/>
    <w:rsid w:val="2F21C571"/>
    <w:rsid w:val="2F2410FE"/>
    <w:rsid w:val="2F29945F"/>
    <w:rsid w:val="2F31EB65"/>
    <w:rsid w:val="2F356CC8"/>
    <w:rsid w:val="2F393625"/>
    <w:rsid w:val="2F44E69A"/>
    <w:rsid w:val="2F45F4CD"/>
    <w:rsid w:val="2F47CB45"/>
    <w:rsid w:val="2F47F208"/>
    <w:rsid w:val="2F4C5F6E"/>
    <w:rsid w:val="2F531BE3"/>
    <w:rsid w:val="2F5BE7F1"/>
    <w:rsid w:val="2F60F085"/>
    <w:rsid w:val="2F6C30CB"/>
    <w:rsid w:val="2F6C93CF"/>
    <w:rsid w:val="2F71B006"/>
    <w:rsid w:val="2F793496"/>
    <w:rsid w:val="2F7F2FD1"/>
    <w:rsid w:val="2F86C079"/>
    <w:rsid w:val="2F90FB77"/>
    <w:rsid w:val="2F9343A4"/>
    <w:rsid w:val="2F93DFF6"/>
    <w:rsid w:val="2F944287"/>
    <w:rsid w:val="2F9C5802"/>
    <w:rsid w:val="2FA451D1"/>
    <w:rsid w:val="2FBF37B4"/>
    <w:rsid w:val="2FC1530D"/>
    <w:rsid w:val="2FC3AEB4"/>
    <w:rsid w:val="2FC5AA0A"/>
    <w:rsid w:val="2FCE73E8"/>
    <w:rsid w:val="2FD8988E"/>
    <w:rsid w:val="2FE30652"/>
    <w:rsid w:val="2FE56D4F"/>
    <w:rsid w:val="2FF4613A"/>
    <w:rsid w:val="2FF4C7ED"/>
    <w:rsid w:val="2FF63E54"/>
    <w:rsid w:val="2FF9D57F"/>
    <w:rsid w:val="2FFF3861"/>
    <w:rsid w:val="3000B1CF"/>
    <w:rsid w:val="3002FDF7"/>
    <w:rsid w:val="30067DCD"/>
    <w:rsid w:val="301E8888"/>
    <w:rsid w:val="3020547B"/>
    <w:rsid w:val="30234138"/>
    <w:rsid w:val="302398F9"/>
    <w:rsid w:val="3029F7C2"/>
    <w:rsid w:val="30342704"/>
    <w:rsid w:val="304648F9"/>
    <w:rsid w:val="3057CE53"/>
    <w:rsid w:val="3061DA43"/>
    <w:rsid w:val="30719A58"/>
    <w:rsid w:val="3077153B"/>
    <w:rsid w:val="30777C97"/>
    <w:rsid w:val="307E279B"/>
    <w:rsid w:val="30915EEB"/>
    <w:rsid w:val="309365AA"/>
    <w:rsid w:val="3093CDD9"/>
    <w:rsid w:val="30969F35"/>
    <w:rsid w:val="30A0079B"/>
    <w:rsid w:val="30A5AD71"/>
    <w:rsid w:val="30A7A882"/>
    <w:rsid w:val="30ACF4F7"/>
    <w:rsid w:val="30AE8B38"/>
    <w:rsid w:val="30B51AB5"/>
    <w:rsid w:val="30B928E1"/>
    <w:rsid w:val="30BA3676"/>
    <w:rsid w:val="30C13407"/>
    <w:rsid w:val="30CB4078"/>
    <w:rsid w:val="30E512F0"/>
    <w:rsid w:val="30F3084C"/>
    <w:rsid w:val="30FDF847"/>
    <w:rsid w:val="310225B7"/>
    <w:rsid w:val="31045E4E"/>
    <w:rsid w:val="31062D3F"/>
    <w:rsid w:val="310AF255"/>
    <w:rsid w:val="310B8D88"/>
    <w:rsid w:val="310BCE65"/>
    <w:rsid w:val="313E11C8"/>
    <w:rsid w:val="3141991A"/>
    <w:rsid w:val="31524E04"/>
    <w:rsid w:val="3153FE53"/>
    <w:rsid w:val="3158BCA1"/>
    <w:rsid w:val="316022EC"/>
    <w:rsid w:val="3163F76D"/>
    <w:rsid w:val="316621D1"/>
    <w:rsid w:val="316D44B9"/>
    <w:rsid w:val="317F9A54"/>
    <w:rsid w:val="317FF0F4"/>
    <w:rsid w:val="318B1F6B"/>
    <w:rsid w:val="318BD765"/>
    <w:rsid w:val="319828B7"/>
    <w:rsid w:val="319D6154"/>
    <w:rsid w:val="319E7636"/>
    <w:rsid w:val="319F7CB6"/>
    <w:rsid w:val="31A3542C"/>
    <w:rsid w:val="31AA775D"/>
    <w:rsid w:val="31B5CE1B"/>
    <w:rsid w:val="31B64B96"/>
    <w:rsid w:val="31B8436A"/>
    <w:rsid w:val="31B92AB3"/>
    <w:rsid w:val="31DAFC35"/>
    <w:rsid w:val="31DEE0DB"/>
    <w:rsid w:val="31E1C1A2"/>
    <w:rsid w:val="320207F7"/>
    <w:rsid w:val="32077C82"/>
    <w:rsid w:val="320DC6B8"/>
    <w:rsid w:val="321142F2"/>
    <w:rsid w:val="321C1CE2"/>
    <w:rsid w:val="3222EC05"/>
    <w:rsid w:val="322C0C0B"/>
    <w:rsid w:val="3233C260"/>
    <w:rsid w:val="3233C3CA"/>
    <w:rsid w:val="3233FC64"/>
    <w:rsid w:val="323CF8D4"/>
    <w:rsid w:val="3241C0DD"/>
    <w:rsid w:val="324647A3"/>
    <w:rsid w:val="324FF206"/>
    <w:rsid w:val="3250C6F6"/>
    <w:rsid w:val="32590969"/>
    <w:rsid w:val="325D0A0A"/>
    <w:rsid w:val="3265B14A"/>
    <w:rsid w:val="32675713"/>
    <w:rsid w:val="3268A2FE"/>
    <w:rsid w:val="3272E355"/>
    <w:rsid w:val="3274561C"/>
    <w:rsid w:val="3285510B"/>
    <w:rsid w:val="328E6371"/>
    <w:rsid w:val="3291C687"/>
    <w:rsid w:val="3291EF62"/>
    <w:rsid w:val="329CB8B7"/>
    <w:rsid w:val="32AB2198"/>
    <w:rsid w:val="32AD817E"/>
    <w:rsid w:val="32B18D20"/>
    <w:rsid w:val="32B859A7"/>
    <w:rsid w:val="32BDE55D"/>
    <w:rsid w:val="32DB1B94"/>
    <w:rsid w:val="32DFAAF3"/>
    <w:rsid w:val="32EBBD3F"/>
    <w:rsid w:val="32EE4807"/>
    <w:rsid w:val="32EFEB76"/>
    <w:rsid w:val="32F7BEE4"/>
    <w:rsid w:val="32FA3D5A"/>
    <w:rsid w:val="32FBD31C"/>
    <w:rsid w:val="3303291A"/>
    <w:rsid w:val="3304F632"/>
    <w:rsid w:val="330FDDE1"/>
    <w:rsid w:val="33169E5E"/>
    <w:rsid w:val="331B39A4"/>
    <w:rsid w:val="331C0825"/>
    <w:rsid w:val="33201FC1"/>
    <w:rsid w:val="3325CDDE"/>
    <w:rsid w:val="33266BB7"/>
    <w:rsid w:val="33298349"/>
    <w:rsid w:val="332B7B1D"/>
    <w:rsid w:val="33313B9A"/>
    <w:rsid w:val="33432230"/>
    <w:rsid w:val="3343EDCC"/>
    <w:rsid w:val="334E95C6"/>
    <w:rsid w:val="335C1775"/>
    <w:rsid w:val="335F3FA3"/>
    <w:rsid w:val="33618155"/>
    <w:rsid w:val="336800E9"/>
    <w:rsid w:val="336EAAC5"/>
    <w:rsid w:val="3371E925"/>
    <w:rsid w:val="3380C61A"/>
    <w:rsid w:val="338457BF"/>
    <w:rsid w:val="339D2475"/>
    <w:rsid w:val="339E8511"/>
    <w:rsid w:val="33A99102"/>
    <w:rsid w:val="33B00322"/>
    <w:rsid w:val="33B6133A"/>
    <w:rsid w:val="33B61E5D"/>
    <w:rsid w:val="33C33F3E"/>
    <w:rsid w:val="340A987C"/>
    <w:rsid w:val="3413FB5A"/>
    <w:rsid w:val="34184391"/>
    <w:rsid w:val="341F5CAC"/>
    <w:rsid w:val="341FF691"/>
    <w:rsid w:val="342A7C70"/>
    <w:rsid w:val="3430F059"/>
    <w:rsid w:val="34371595"/>
    <w:rsid w:val="34388F60"/>
    <w:rsid w:val="343AC41C"/>
    <w:rsid w:val="343F47CA"/>
    <w:rsid w:val="344288A2"/>
    <w:rsid w:val="344C10D7"/>
    <w:rsid w:val="34609DDE"/>
    <w:rsid w:val="34663312"/>
    <w:rsid w:val="347F1A54"/>
    <w:rsid w:val="348A8D8E"/>
    <w:rsid w:val="3496D9D8"/>
    <w:rsid w:val="349CD427"/>
    <w:rsid w:val="34A6F95E"/>
    <w:rsid w:val="34A929E3"/>
    <w:rsid w:val="34AA4EC5"/>
    <w:rsid w:val="34BDE07B"/>
    <w:rsid w:val="34C2B797"/>
    <w:rsid w:val="34C93340"/>
    <w:rsid w:val="34D82C7A"/>
    <w:rsid w:val="34E05098"/>
    <w:rsid w:val="34E1E6EC"/>
    <w:rsid w:val="34E8C23F"/>
    <w:rsid w:val="34F7A7D4"/>
    <w:rsid w:val="34FE97E1"/>
    <w:rsid w:val="3502714A"/>
    <w:rsid w:val="3508A05C"/>
    <w:rsid w:val="351EE0F8"/>
    <w:rsid w:val="35226068"/>
    <w:rsid w:val="35289043"/>
    <w:rsid w:val="3534BF2E"/>
    <w:rsid w:val="353E3E32"/>
    <w:rsid w:val="3545F633"/>
    <w:rsid w:val="35691DF1"/>
    <w:rsid w:val="35698CCE"/>
    <w:rsid w:val="356B09DA"/>
    <w:rsid w:val="357109DC"/>
    <w:rsid w:val="3577730E"/>
    <w:rsid w:val="3579EAC5"/>
    <w:rsid w:val="357C2384"/>
    <w:rsid w:val="358D1B5E"/>
    <w:rsid w:val="35919147"/>
    <w:rsid w:val="3591A6DB"/>
    <w:rsid w:val="359A3B47"/>
    <w:rsid w:val="359E7156"/>
    <w:rsid w:val="35A82C8B"/>
    <w:rsid w:val="35B08C6A"/>
    <w:rsid w:val="35B1C8B2"/>
    <w:rsid w:val="35B72119"/>
    <w:rsid w:val="35C09A36"/>
    <w:rsid w:val="35C53679"/>
    <w:rsid w:val="35C924B7"/>
    <w:rsid w:val="35D2907A"/>
    <w:rsid w:val="35D59263"/>
    <w:rsid w:val="35D59570"/>
    <w:rsid w:val="35E06CB3"/>
    <w:rsid w:val="35ED07A5"/>
    <w:rsid w:val="35F0DAF4"/>
    <w:rsid w:val="35FCFED1"/>
    <w:rsid w:val="360068C0"/>
    <w:rsid w:val="3601DA7C"/>
    <w:rsid w:val="3601E203"/>
    <w:rsid w:val="3601F47D"/>
    <w:rsid w:val="3608F14B"/>
    <w:rsid w:val="3609DEC8"/>
    <w:rsid w:val="3620318E"/>
    <w:rsid w:val="3626DD12"/>
    <w:rsid w:val="3627B960"/>
    <w:rsid w:val="363E437A"/>
    <w:rsid w:val="3647F7CA"/>
    <w:rsid w:val="364FF8BC"/>
    <w:rsid w:val="36535246"/>
    <w:rsid w:val="36564890"/>
    <w:rsid w:val="3656D3E8"/>
    <w:rsid w:val="365FD119"/>
    <w:rsid w:val="365FF6EB"/>
    <w:rsid w:val="366A2960"/>
    <w:rsid w:val="366D32E8"/>
    <w:rsid w:val="367970EC"/>
    <w:rsid w:val="367A7718"/>
    <w:rsid w:val="36804D8D"/>
    <w:rsid w:val="36807797"/>
    <w:rsid w:val="36848539"/>
    <w:rsid w:val="3686900E"/>
    <w:rsid w:val="368E1149"/>
    <w:rsid w:val="36913C76"/>
    <w:rsid w:val="369547BA"/>
    <w:rsid w:val="369D0727"/>
    <w:rsid w:val="369E27D4"/>
    <w:rsid w:val="369EF434"/>
    <w:rsid w:val="36A189B4"/>
    <w:rsid w:val="36A56370"/>
    <w:rsid w:val="36B2057A"/>
    <w:rsid w:val="36BF0E98"/>
    <w:rsid w:val="36C07E73"/>
    <w:rsid w:val="36C49C00"/>
    <w:rsid w:val="36CF2FB7"/>
    <w:rsid w:val="36D97ECC"/>
    <w:rsid w:val="36DEF129"/>
    <w:rsid w:val="36EA8BB0"/>
    <w:rsid w:val="36ED7C57"/>
    <w:rsid w:val="36EEBB28"/>
    <w:rsid w:val="36F40384"/>
    <w:rsid w:val="36F4FBD5"/>
    <w:rsid w:val="36F84888"/>
    <w:rsid w:val="3716E5CF"/>
    <w:rsid w:val="37223E85"/>
    <w:rsid w:val="3729A786"/>
    <w:rsid w:val="372B36F0"/>
    <w:rsid w:val="372FD3BC"/>
    <w:rsid w:val="3731DDC5"/>
    <w:rsid w:val="37359A24"/>
    <w:rsid w:val="373D35A4"/>
    <w:rsid w:val="373F8529"/>
    <w:rsid w:val="37518C9A"/>
    <w:rsid w:val="37675389"/>
    <w:rsid w:val="378806B1"/>
    <w:rsid w:val="37895ECE"/>
    <w:rsid w:val="378CE74B"/>
    <w:rsid w:val="378DD73B"/>
    <w:rsid w:val="379446AF"/>
    <w:rsid w:val="379C9AAC"/>
    <w:rsid w:val="37A56C1F"/>
    <w:rsid w:val="37B461E3"/>
    <w:rsid w:val="37B6C9F9"/>
    <w:rsid w:val="37B7FFA0"/>
    <w:rsid w:val="37C39E50"/>
    <w:rsid w:val="37C8513C"/>
    <w:rsid w:val="37CF75E7"/>
    <w:rsid w:val="37D88D55"/>
    <w:rsid w:val="37E0F9A7"/>
    <w:rsid w:val="37E22DC6"/>
    <w:rsid w:val="37E90CB4"/>
    <w:rsid w:val="37EDC30B"/>
    <w:rsid w:val="37EE909E"/>
    <w:rsid w:val="3804A17B"/>
    <w:rsid w:val="380533ED"/>
    <w:rsid w:val="38088B8F"/>
    <w:rsid w:val="380BABB5"/>
    <w:rsid w:val="380CA02F"/>
    <w:rsid w:val="380DC4C4"/>
    <w:rsid w:val="38237FF5"/>
    <w:rsid w:val="38257828"/>
    <w:rsid w:val="38283E06"/>
    <w:rsid w:val="383779CF"/>
    <w:rsid w:val="38384BC3"/>
    <w:rsid w:val="38398E61"/>
    <w:rsid w:val="3847F175"/>
    <w:rsid w:val="3870161A"/>
    <w:rsid w:val="38773A8E"/>
    <w:rsid w:val="387F1007"/>
    <w:rsid w:val="3886F0C9"/>
    <w:rsid w:val="389A06CD"/>
    <w:rsid w:val="38A006F9"/>
    <w:rsid w:val="38A9B201"/>
    <w:rsid w:val="38ABF79E"/>
    <w:rsid w:val="38B12D7B"/>
    <w:rsid w:val="38B158DA"/>
    <w:rsid w:val="38BB2A54"/>
    <w:rsid w:val="38BDDAFE"/>
    <w:rsid w:val="38C419AE"/>
    <w:rsid w:val="38CAF3AE"/>
    <w:rsid w:val="38E462E2"/>
    <w:rsid w:val="38EDEC9E"/>
    <w:rsid w:val="38FA6EB7"/>
    <w:rsid w:val="3915EA20"/>
    <w:rsid w:val="391DBEF4"/>
    <w:rsid w:val="393536C8"/>
    <w:rsid w:val="393F68D5"/>
    <w:rsid w:val="39428883"/>
    <w:rsid w:val="39434E17"/>
    <w:rsid w:val="39518E3D"/>
    <w:rsid w:val="395E71DD"/>
    <w:rsid w:val="395F105A"/>
    <w:rsid w:val="395FADBB"/>
    <w:rsid w:val="396DD6CE"/>
    <w:rsid w:val="39708E2D"/>
    <w:rsid w:val="3978019A"/>
    <w:rsid w:val="397DC502"/>
    <w:rsid w:val="397F4E9F"/>
    <w:rsid w:val="3987C012"/>
    <w:rsid w:val="3988B845"/>
    <w:rsid w:val="398ADE4A"/>
    <w:rsid w:val="398B2EB7"/>
    <w:rsid w:val="39935EC2"/>
    <w:rsid w:val="39948388"/>
    <w:rsid w:val="39960480"/>
    <w:rsid w:val="39BBB409"/>
    <w:rsid w:val="39C3DACB"/>
    <w:rsid w:val="39CB59D7"/>
    <w:rsid w:val="39CBF0D6"/>
    <w:rsid w:val="39CEF651"/>
    <w:rsid w:val="39DE8EC8"/>
    <w:rsid w:val="39E4099D"/>
    <w:rsid w:val="39EE64B1"/>
    <w:rsid w:val="39F40215"/>
    <w:rsid w:val="39F473BF"/>
    <w:rsid w:val="39F8EACB"/>
    <w:rsid w:val="39FEE967"/>
    <w:rsid w:val="3A10D95F"/>
    <w:rsid w:val="3A150F38"/>
    <w:rsid w:val="3A24DF9F"/>
    <w:rsid w:val="3A273CA6"/>
    <w:rsid w:val="3A27F1DC"/>
    <w:rsid w:val="3A389C41"/>
    <w:rsid w:val="3A3CF03E"/>
    <w:rsid w:val="3A3D7927"/>
    <w:rsid w:val="3A415A1E"/>
    <w:rsid w:val="3A4AAEFC"/>
    <w:rsid w:val="3A4B789C"/>
    <w:rsid w:val="3A4F89C0"/>
    <w:rsid w:val="3A59B84F"/>
    <w:rsid w:val="3A641741"/>
    <w:rsid w:val="3A655D91"/>
    <w:rsid w:val="3A6B8BA3"/>
    <w:rsid w:val="3A6B90A9"/>
    <w:rsid w:val="3A6CA3E9"/>
    <w:rsid w:val="3A798365"/>
    <w:rsid w:val="3A7CDDEE"/>
    <w:rsid w:val="3A7E10FE"/>
    <w:rsid w:val="3A8269AE"/>
    <w:rsid w:val="3A85C511"/>
    <w:rsid w:val="3A95BEE8"/>
    <w:rsid w:val="3A9C72D9"/>
    <w:rsid w:val="3AA14C19"/>
    <w:rsid w:val="3AA3A15A"/>
    <w:rsid w:val="3AB08851"/>
    <w:rsid w:val="3AB0F1CE"/>
    <w:rsid w:val="3AB560F3"/>
    <w:rsid w:val="3AB87AC4"/>
    <w:rsid w:val="3AC261BA"/>
    <w:rsid w:val="3AC39D12"/>
    <w:rsid w:val="3AC78399"/>
    <w:rsid w:val="3AF1A372"/>
    <w:rsid w:val="3AF1F53D"/>
    <w:rsid w:val="3AF351DD"/>
    <w:rsid w:val="3AF96C15"/>
    <w:rsid w:val="3AFBCD6B"/>
    <w:rsid w:val="3B04472B"/>
    <w:rsid w:val="3B326583"/>
    <w:rsid w:val="3B33DE09"/>
    <w:rsid w:val="3B394D0E"/>
    <w:rsid w:val="3B3AD154"/>
    <w:rsid w:val="3B3CB669"/>
    <w:rsid w:val="3B3DC094"/>
    <w:rsid w:val="3B48614B"/>
    <w:rsid w:val="3B48B7DD"/>
    <w:rsid w:val="3B4BFBE6"/>
    <w:rsid w:val="3B596157"/>
    <w:rsid w:val="3B5BDCEF"/>
    <w:rsid w:val="3B5FB448"/>
    <w:rsid w:val="3B620097"/>
    <w:rsid w:val="3B63A9FF"/>
    <w:rsid w:val="3B65A049"/>
    <w:rsid w:val="3B67A492"/>
    <w:rsid w:val="3B6E8CEE"/>
    <w:rsid w:val="3B711CF2"/>
    <w:rsid w:val="3B7DD605"/>
    <w:rsid w:val="3B7F10D6"/>
    <w:rsid w:val="3B8254C9"/>
    <w:rsid w:val="3B84B365"/>
    <w:rsid w:val="3B8B9AF1"/>
    <w:rsid w:val="3B8D8B88"/>
    <w:rsid w:val="3B8E761F"/>
    <w:rsid w:val="3B93A542"/>
    <w:rsid w:val="3B9488D7"/>
    <w:rsid w:val="3B9CABDC"/>
    <w:rsid w:val="3BA3B0C7"/>
    <w:rsid w:val="3BB0190D"/>
    <w:rsid w:val="3BD02045"/>
    <w:rsid w:val="3BD39B35"/>
    <w:rsid w:val="3BDCAA46"/>
    <w:rsid w:val="3BE0DBB2"/>
    <w:rsid w:val="3BE1DFEA"/>
    <w:rsid w:val="3BE8DEA1"/>
    <w:rsid w:val="3C036371"/>
    <w:rsid w:val="3C05F87A"/>
    <w:rsid w:val="3C07EE5E"/>
    <w:rsid w:val="3C0AC7C0"/>
    <w:rsid w:val="3C10F740"/>
    <w:rsid w:val="3C1991E2"/>
    <w:rsid w:val="3C1EEABF"/>
    <w:rsid w:val="3C273F77"/>
    <w:rsid w:val="3C28A04E"/>
    <w:rsid w:val="3C4DDAB8"/>
    <w:rsid w:val="3C55433D"/>
    <w:rsid w:val="3C5C5633"/>
    <w:rsid w:val="3C611DAC"/>
    <w:rsid w:val="3C6231CF"/>
    <w:rsid w:val="3C6BACA8"/>
    <w:rsid w:val="3C7DC286"/>
    <w:rsid w:val="3C837DD4"/>
    <w:rsid w:val="3C8C4EC7"/>
    <w:rsid w:val="3C941F03"/>
    <w:rsid w:val="3C961A41"/>
    <w:rsid w:val="3C991A7A"/>
    <w:rsid w:val="3CA59601"/>
    <w:rsid w:val="3CB278D6"/>
    <w:rsid w:val="3CBE173D"/>
    <w:rsid w:val="3CC19B4F"/>
    <w:rsid w:val="3CD10635"/>
    <w:rsid w:val="3CE3222F"/>
    <w:rsid w:val="3CE3BB87"/>
    <w:rsid w:val="3CE643EE"/>
    <w:rsid w:val="3D0274AB"/>
    <w:rsid w:val="3D031C4E"/>
    <w:rsid w:val="3D090252"/>
    <w:rsid w:val="3D09CA04"/>
    <w:rsid w:val="3D0E03CE"/>
    <w:rsid w:val="3D1002ED"/>
    <w:rsid w:val="3D20D57B"/>
    <w:rsid w:val="3D25B586"/>
    <w:rsid w:val="3D3935E2"/>
    <w:rsid w:val="3D43720E"/>
    <w:rsid w:val="3D5457C3"/>
    <w:rsid w:val="3D5D6CA9"/>
    <w:rsid w:val="3D67374A"/>
    <w:rsid w:val="3D6808CF"/>
    <w:rsid w:val="3D69DA90"/>
    <w:rsid w:val="3D6DD0BF"/>
    <w:rsid w:val="3D80BDC5"/>
    <w:rsid w:val="3D8302A0"/>
    <w:rsid w:val="3D83C16F"/>
    <w:rsid w:val="3DA4FBDA"/>
    <w:rsid w:val="3DBA9E7B"/>
    <w:rsid w:val="3DBAB908"/>
    <w:rsid w:val="3DC12289"/>
    <w:rsid w:val="3DD1D7FA"/>
    <w:rsid w:val="3DD58EAD"/>
    <w:rsid w:val="3DD685F0"/>
    <w:rsid w:val="3DD8C65D"/>
    <w:rsid w:val="3DE6C97B"/>
    <w:rsid w:val="3DE9E285"/>
    <w:rsid w:val="3DEDA502"/>
    <w:rsid w:val="3DF193D0"/>
    <w:rsid w:val="3DF5105B"/>
    <w:rsid w:val="3DF61099"/>
    <w:rsid w:val="3DF946B0"/>
    <w:rsid w:val="3DFA2732"/>
    <w:rsid w:val="3DFA8AC9"/>
    <w:rsid w:val="3DFB764A"/>
    <w:rsid w:val="3DFCC2E3"/>
    <w:rsid w:val="3E07DD7E"/>
    <w:rsid w:val="3E0C09DA"/>
    <w:rsid w:val="3E0FC858"/>
    <w:rsid w:val="3E1B7174"/>
    <w:rsid w:val="3E273A6A"/>
    <w:rsid w:val="3E2D3E0C"/>
    <w:rsid w:val="3E3A705A"/>
    <w:rsid w:val="3E3D3510"/>
    <w:rsid w:val="3E437C8D"/>
    <w:rsid w:val="3E4F7A11"/>
    <w:rsid w:val="3E548125"/>
    <w:rsid w:val="3E550F18"/>
    <w:rsid w:val="3E578CE5"/>
    <w:rsid w:val="3E5BBC19"/>
    <w:rsid w:val="3E672586"/>
    <w:rsid w:val="3E672C3E"/>
    <w:rsid w:val="3E732A00"/>
    <w:rsid w:val="3E8A9A4C"/>
    <w:rsid w:val="3E9FED50"/>
    <w:rsid w:val="3EA3069C"/>
    <w:rsid w:val="3EA65637"/>
    <w:rsid w:val="3EA70D9D"/>
    <w:rsid w:val="3EAAA602"/>
    <w:rsid w:val="3EAB42A3"/>
    <w:rsid w:val="3EAC7877"/>
    <w:rsid w:val="3EAECE3A"/>
    <w:rsid w:val="3EAFBC94"/>
    <w:rsid w:val="3EB08C6F"/>
    <w:rsid w:val="3EB1427B"/>
    <w:rsid w:val="3EC829C5"/>
    <w:rsid w:val="3ED18AAF"/>
    <w:rsid w:val="3ED838D2"/>
    <w:rsid w:val="3EE70A48"/>
    <w:rsid w:val="3EF3B36B"/>
    <w:rsid w:val="3EF4D041"/>
    <w:rsid w:val="3F019778"/>
    <w:rsid w:val="3F0B50B9"/>
    <w:rsid w:val="3F11B526"/>
    <w:rsid w:val="3F15B132"/>
    <w:rsid w:val="3F18B9F0"/>
    <w:rsid w:val="3F23B549"/>
    <w:rsid w:val="3F2B63BB"/>
    <w:rsid w:val="3F2BAB2B"/>
    <w:rsid w:val="3F2E90B7"/>
    <w:rsid w:val="3F3A9116"/>
    <w:rsid w:val="3F3F7E83"/>
    <w:rsid w:val="3F41FC0D"/>
    <w:rsid w:val="3F4AC9D9"/>
    <w:rsid w:val="3F4E49F3"/>
    <w:rsid w:val="3F552345"/>
    <w:rsid w:val="3F5DAD06"/>
    <w:rsid w:val="3F647B75"/>
    <w:rsid w:val="3F6BA9EA"/>
    <w:rsid w:val="3F6C271A"/>
    <w:rsid w:val="3F6F1DBF"/>
    <w:rsid w:val="3F6F3C69"/>
    <w:rsid w:val="3F737A29"/>
    <w:rsid w:val="3F7D00CA"/>
    <w:rsid w:val="3F7E6400"/>
    <w:rsid w:val="3F80D51F"/>
    <w:rsid w:val="3F8A20B3"/>
    <w:rsid w:val="3F99E410"/>
    <w:rsid w:val="3FABAE51"/>
    <w:rsid w:val="3FACCDA4"/>
    <w:rsid w:val="3FB1720B"/>
    <w:rsid w:val="3FC1ED0F"/>
    <w:rsid w:val="3FC2395E"/>
    <w:rsid w:val="3FCD9E9A"/>
    <w:rsid w:val="3FE2D6EC"/>
    <w:rsid w:val="3FE738FF"/>
    <w:rsid w:val="3FE779B5"/>
    <w:rsid w:val="3FF562FF"/>
    <w:rsid w:val="3FF67093"/>
    <w:rsid w:val="3FFAC0EC"/>
    <w:rsid w:val="3FFB5D8F"/>
    <w:rsid w:val="3FFFFA9A"/>
    <w:rsid w:val="40064D2E"/>
    <w:rsid w:val="400667C2"/>
    <w:rsid w:val="4015472F"/>
    <w:rsid w:val="401EC340"/>
    <w:rsid w:val="4029BB0B"/>
    <w:rsid w:val="4032330E"/>
    <w:rsid w:val="40526D64"/>
    <w:rsid w:val="4056704E"/>
    <w:rsid w:val="4057338E"/>
    <w:rsid w:val="405917E4"/>
    <w:rsid w:val="40596B48"/>
    <w:rsid w:val="405E77DA"/>
    <w:rsid w:val="405F6A24"/>
    <w:rsid w:val="40618AAF"/>
    <w:rsid w:val="4066E07F"/>
    <w:rsid w:val="406AA716"/>
    <w:rsid w:val="4077EDEB"/>
    <w:rsid w:val="407BEB7C"/>
    <w:rsid w:val="408914BB"/>
    <w:rsid w:val="408E1CCA"/>
    <w:rsid w:val="4092ECF1"/>
    <w:rsid w:val="40A0CD23"/>
    <w:rsid w:val="40A398A4"/>
    <w:rsid w:val="40ABEE69"/>
    <w:rsid w:val="40BBF199"/>
    <w:rsid w:val="40BD904F"/>
    <w:rsid w:val="40BE3F9D"/>
    <w:rsid w:val="40C78657"/>
    <w:rsid w:val="40CFA0F8"/>
    <w:rsid w:val="40D9F6CB"/>
    <w:rsid w:val="40EF8365"/>
    <w:rsid w:val="40F781BD"/>
    <w:rsid w:val="40FD10AB"/>
    <w:rsid w:val="40FFBCBA"/>
    <w:rsid w:val="413E8683"/>
    <w:rsid w:val="41432642"/>
    <w:rsid w:val="4149CF11"/>
    <w:rsid w:val="416ADF85"/>
    <w:rsid w:val="416BB75A"/>
    <w:rsid w:val="416C1CAC"/>
    <w:rsid w:val="416DC71A"/>
    <w:rsid w:val="416E638D"/>
    <w:rsid w:val="417A0A58"/>
    <w:rsid w:val="418080AD"/>
    <w:rsid w:val="4180B4B0"/>
    <w:rsid w:val="418935D8"/>
    <w:rsid w:val="419600D7"/>
    <w:rsid w:val="419FA8F8"/>
    <w:rsid w:val="41A13AE0"/>
    <w:rsid w:val="41ADE538"/>
    <w:rsid w:val="41AF3C1C"/>
    <w:rsid w:val="41AFF939"/>
    <w:rsid w:val="41B805FD"/>
    <w:rsid w:val="41B8CC8E"/>
    <w:rsid w:val="41BDD68E"/>
    <w:rsid w:val="41CB34C4"/>
    <w:rsid w:val="41D3ECD5"/>
    <w:rsid w:val="41D75D61"/>
    <w:rsid w:val="41F0F119"/>
    <w:rsid w:val="41F791CC"/>
    <w:rsid w:val="4202C2ED"/>
    <w:rsid w:val="42032A7E"/>
    <w:rsid w:val="4209E3D0"/>
    <w:rsid w:val="4213A5C0"/>
    <w:rsid w:val="4224E10A"/>
    <w:rsid w:val="4229973A"/>
    <w:rsid w:val="4229AC3D"/>
    <w:rsid w:val="423D11BD"/>
    <w:rsid w:val="424F84FF"/>
    <w:rsid w:val="4257F0EA"/>
    <w:rsid w:val="425C0A11"/>
    <w:rsid w:val="426FB6D0"/>
    <w:rsid w:val="427156A0"/>
    <w:rsid w:val="427C06D1"/>
    <w:rsid w:val="427F9961"/>
    <w:rsid w:val="428B84BD"/>
    <w:rsid w:val="428C7F61"/>
    <w:rsid w:val="42910A7D"/>
    <w:rsid w:val="42985BFF"/>
    <w:rsid w:val="429B5500"/>
    <w:rsid w:val="42A00B1A"/>
    <w:rsid w:val="42A2796E"/>
    <w:rsid w:val="42A6E66E"/>
    <w:rsid w:val="42B9B03C"/>
    <w:rsid w:val="42C84370"/>
    <w:rsid w:val="42D4563A"/>
    <w:rsid w:val="42E2E524"/>
    <w:rsid w:val="42E38CB0"/>
    <w:rsid w:val="42E44703"/>
    <w:rsid w:val="42E96E7F"/>
    <w:rsid w:val="42E9A057"/>
    <w:rsid w:val="42F2C4F5"/>
    <w:rsid w:val="42F603D8"/>
    <w:rsid w:val="42FE5B1C"/>
    <w:rsid w:val="43095379"/>
    <w:rsid w:val="430A8748"/>
    <w:rsid w:val="431AB5D0"/>
    <w:rsid w:val="4325AF2B"/>
    <w:rsid w:val="4329289C"/>
    <w:rsid w:val="4333A0CB"/>
    <w:rsid w:val="433A4BED"/>
    <w:rsid w:val="434C364B"/>
    <w:rsid w:val="434E3AA8"/>
    <w:rsid w:val="434FCAB7"/>
    <w:rsid w:val="436401FC"/>
    <w:rsid w:val="436B18F0"/>
    <w:rsid w:val="4370B539"/>
    <w:rsid w:val="4372791D"/>
    <w:rsid w:val="43859F1C"/>
    <w:rsid w:val="438E597A"/>
    <w:rsid w:val="4390E3EF"/>
    <w:rsid w:val="4398ACC8"/>
    <w:rsid w:val="439979E2"/>
    <w:rsid w:val="43A69041"/>
    <w:rsid w:val="43AE9980"/>
    <w:rsid w:val="43B828C5"/>
    <w:rsid w:val="43C21A53"/>
    <w:rsid w:val="43C463AC"/>
    <w:rsid w:val="43C6DEF4"/>
    <w:rsid w:val="43C7997E"/>
    <w:rsid w:val="43CCFB01"/>
    <w:rsid w:val="43CDD30D"/>
    <w:rsid w:val="43D02078"/>
    <w:rsid w:val="43D5FB9A"/>
    <w:rsid w:val="43E3EC24"/>
    <w:rsid w:val="43F6F31D"/>
    <w:rsid w:val="43F90CBC"/>
    <w:rsid w:val="43F98CF0"/>
    <w:rsid w:val="43FCAF53"/>
    <w:rsid w:val="4400DE14"/>
    <w:rsid w:val="44076AA7"/>
    <w:rsid w:val="440C763C"/>
    <w:rsid w:val="440E6F60"/>
    <w:rsid w:val="440FAE8C"/>
    <w:rsid w:val="4410C1BA"/>
    <w:rsid w:val="4414EC76"/>
    <w:rsid w:val="44199EF2"/>
    <w:rsid w:val="441AD770"/>
    <w:rsid w:val="44261CC1"/>
    <w:rsid w:val="4426A3FC"/>
    <w:rsid w:val="44279402"/>
    <w:rsid w:val="44386B46"/>
    <w:rsid w:val="443C2BBF"/>
    <w:rsid w:val="44494E7A"/>
    <w:rsid w:val="444AD647"/>
    <w:rsid w:val="444B8B95"/>
    <w:rsid w:val="4456795D"/>
    <w:rsid w:val="448B3245"/>
    <w:rsid w:val="4495594B"/>
    <w:rsid w:val="4497BD4A"/>
    <w:rsid w:val="449C50A8"/>
    <w:rsid w:val="449E04D3"/>
    <w:rsid w:val="44A4BE24"/>
    <w:rsid w:val="44B1A37A"/>
    <w:rsid w:val="44BD6113"/>
    <w:rsid w:val="44C5F567"/>
    <w:rsid w:val="44C83951"/>
    <w:rsid w:val="44CA7A45"/>
    <w:rsid w:val="44D012C3"/>
    <w:rsid w:val="44D617E9"/>
    <w:rsid w:val="44E2F349"/>
    <w:rsid w:val="44E50A5F"/>
    <w:rsid w:val="44E60F58"/>
    <w:rsid w:val="44E634DF"/>
    <w:rsid w:val="44EE054D"/>
    <w:rsid w:val="44F23A1F"/>
    <w:rsid w:val="44FFB080"/>
    <w:rsid w:val="450509A4"/>
    <w:rsid w:val="45068C2E"/>
    <w:rsid w:val="450EFDB9"/>
    <w:rsid w:val="450FC0DB"/>
    <w:rsid w:val="452BBB2B"/>
    <w:rsid w:val="453234A9"/>
    <w:rsid w:val="4535FCB7"/>
    <w:rsid w:val="453ED38F"/>
    <w:rsid w:val="454A5D80"/>
    <w:rsid w:val="455312BA"/>
    <w:rsid w:val="4565CFF5"/>
    <w:rsid w:val="456C1E07"/>
    <w:rsid w:val="457A7951"/>
    <w:rsid w:val="45850E79"/>
    <w:rsid w:val="458D064E"/>
    <w:rsid w:val="458DED01"/>
    <w:rsid w:val="4591BDAE"/>
    <w:rsid w:val="4593DD95"/>
    <w:rsid w:val="45A8D4CA"/>
    <w:rsid w:val="45AAA2E1"/>
    <w:rsid w:val="45B22EAB"/>
    <w:rsid w:val="45B41DD0"/>
    <w:rsid w:val="45B6C8B0"/>
    <w:rsid w:val="45BBE347"/>
    <w:rsid w:val="45BCC130"/>
    <w:rsid w:val="45C39EBF"/>
    <w:rsid w:val="45C6FA54"/>
    <w:rsid w:val="45C707B5"/>
    <w:rsid w:val="45CC84AE"/>
    <w:rsid w:val="45D16770"/>
    <w:rsid w:val="45DC01E7"/>
    <w:rsid w:val="45E49B2B"/>
    <w:rsid w:val="45E710F7"/>
    <w:rsid w:val="45E81B1D"/>
    <w:rsid w:val="45F8117D"/>
    <w:rsid w:val="45F8585B"/>
    <w:rsid w:val="45FBDC83"/>
    <w:rsid w:val="45FFA06F"/>
    <w:rsid w:val="4602B3E4"/>
    <w:rsid w:val="46064871"/>
    <w:rsid w:val="46078578"/>
    <w:rsid w:val="46094A68"/>
    <w:rsid w:val="460A59B8"/>
    <w:rsid w:val="46155586"/>
    <w:rsid w:val="46194F6A"/>
    <w:rsid w:val="461E6B51"/>
    <w:rsid w:val="4628284B"/>
    <w:rsid w:val="462A5E62"/>
    <w:rsid w:val="462D41C6"/>
    <w:rsid w:val="462F7E3B"/>
    <w:rsid w:val="4634B67F"/>
    <w:rsid w:val="4642DD5D"/>
    <w:rsid w:val="4646A628"/>
    <w:rsid w:val="46528FF9"/>
    <w:rsid w:val="46588CE5"/>
    <w:rsid w:val="4680638E"/>
    <w:rsid w:val="46884CD3"/>
    <w:rsid w:val="4696D9D9"/>
    <w:rsid w:val="469A913A"/>
    <w:rsid w:val="46AA5BAD"/>
    <w:rsid w:val="46BAA513"/>
    <w:rsid w:val="46C2B96B"/>
    <w:rsid w:val="46CD7360"/>
    <w:rsid w:val="46CF0A67"/>
    <w:rsid w:val="46DAA690"/>
    <w:rsid w:val="46E82AD3"/>
    <w:rsid w:val="46EA2DFC"/>
    <w:rsid w:val="46EC7094"/>
    <w:rsid w:val="46F68B7B"/>
    <w:rsid w:val="46FF5F9C"/>
    <w:rsid w:val="46FFD8C0"/>
    <w:rsid w:val="4708F42D"/>
    <w:rsid w:val="470C9F49"/>
    <w:rsid w:val="471E3BF8"/>
    <w:rsid w:val="4720558E"/>
    <w:rsid w:val="47272207"/>
    <w:rsid w:val="472B1516"/>
    <w:rsid w:val="472E8570"/>
    <w:rsid w:val="4734ADD6"/>
    <w:rsid w:val="47363725"/>
    <w:rsid w:val="473C48DE"/>
    <w:rsid w:val="473ED98F"/>
    <w:rsid w:val="4742C7B7"/>
    <w:rsid w:val="47431655"/>
    <w:rsid w:val="47451C6E"/>
    <w:rsid w:val="474D7790"/>
    <w:rsid w:val="474EB343"/>
    <w:rsid w:val="474FC618"/>
    <w:rsid w:val="47530B93"/>
    <w:rsid w:val="47591C5C"/>
    <w:rsid w:val="4759DD94"/>
    <w:rsid w:val="47634A2C"/>
    <w:rsid w:val="476BA396"/>
    <w:rsid w:val="47778311"/>
    <w:rsid w:val="4779BA8A"/>
    <w:rsid w:val="47827D57"/>
    <w:rsid w:val="4791A084"/>
    <w:rsid w:val="4793E57D"/>
    <w:rsid w:val="4794F3FC"/>
    <w:rsid w:val="479CE224"/>
    <w:rsid w:val="47BAD97A"/>
    <w:rsid w:val="47BC0274"/>
    <w:rsid w:val="47BDACB9"/>
    <w:rsid w:val="47C001CC"/>
    <w:rsid w:val="47C3D3BA"/>
    <w:rsid w:val="47C5C23F"/>
    <w:rsid w:val="47C5DB6C"/>
    <w:rsid w:val="47C9C8C7"/>
    <w:rsid w:val="47CD387C"/>
    <w:rsid w:val="47D67865"/>
    <w:rsid w:val="47D895EA"/>
    <w:rsid w:val="47DDE2DF"/>
    <w:rsid w:val="47DF8D94"/>
    <w:rsid w:val="47E17899"/>
    <w:rsid w:val="4800EFF9"/>
    <w:rsid w:val="48082F6D"/>
    <w:rsid w:val="480E378F"/>
    <w:rsid w:val="48173719"/>
    <w:rsid w:val="48192F80"/>
    <w:rsid w:val="4825DF14"/>
    <w:rsid w:val="482F6044"/>
    <w:rsid w:val="48387BE3"/>
    <w:rsid w:val="4838C04A"/>
    <w:rsid w:val="4851B36D"/>
    <w:rsid w:val="485DE2A7"/>
    <w:rsid w:val="485F44D6"/>
    <w:rsid w:val="4893FBB2"/>
    <w:rsid w:val="489F026D"/>
    <w:rsid w:val="48A2D394"/>
    <w:rsid w:val="48CA6366"/>
    <w:rsid w:val="48CEA76E"/>
    <w:rsid w:val="48D7FE33"/>
    <w:rsid w:val="48E36880"/>
    <w:rsid w:val="48E46649"/>
    <w:rsid w:val="48EB765E"/>
    <w:rsid w:val="48EC6632"/>
    <w:rsid w:val="48F29C0A"/>
    <w:rsid w:val="48F3D3FD"/>
    <w:rsid w:val="48F70DD3"/>
    <w:rsid w:val="48FEB369"/>
    <w:rsid w:val="490237D4"/>
    <w:rsid w:val="4904EB9E"/>
    <w:rsid w:val="49230ADD"/>
    <w:rsid w:val="4931CEBA"/>
    <w:rsid w:val="49323B45"/>
    <w:rsid w:val="49384631"/>
    <w:rsid w:val="4953774F"/>
    <w:rsid w:val="495D0DB9"/>
    <w:rsid w:val="4962B482"/>
    <w:rsid w:val="497A9D52"/>
    <w:rsid w:val="498E9C98"/>
    <w:rsid w:val="49B38AA1"/>
    <w:rsid w:val="49CA87F2"/>
    <w:rsid w:val="49D6D845"/>
    <w:rsid w:val="49E8AA40"/>
    <w:rsid w:val="49F0E8A3"/>
    <w:rsid w:val="49F741BA"/>
    <w:rsid w:val="49FFAF96"/>
    <w:rsid w:val="49FFD6E5"/>
    <w:rsid w:val="4A0E88DB"/>
    <w:rsid w:val="4A156CF5"/>
    <w:rsid w:val="4A175E53"/>
    <w:rsid w:val="4A2191D5"/>
    <w:rsid w:val="4A26D3CE"/>
    <w:rsid w:val="4A32FB43"/>
    <w:rsid w:val="4A33F679"/>
    <w:rsid w:val="4A388EF8"/>
    <w:rsid w:val="4A3A39C8"/>
    <w:rsid w:val="4A42457E"/>
    <w:rsid w:val="4A510297"/>
    <w:rsid w:val="4A51717E"/>
    <w:rsid w:val="4A527F3D"/>
    <w:rsid w:val="4A5A0734"/>
    <w:rsid w:val="4A5E80BF"/>
    <w:rsid w:val="4A5F2B5E"/>
    <w:rsid w:val="4A5F4619"/>
    <w:rsid w:val="4A5F7A31"/>
    <w:rsid w:val="4A6006AC"/>
    <w:rsid w:val="4A65F7BB"/>
    <w:rsid w:val="4A694F40"/>
    <w:rsid w:val="4A74C4F6"/>
    <w:rsid w:val="4A7E4A4F"/>
    <w:rsid w:val="4A933DD7"/>
    <w:rsid w:val="4A967184"/>
    <w:rsid w:val="4A9BFC23"/>
    <w:rsid w:val="4AA06650"/>
    <w:rsid w:val="4AA4C15F"/>
    <w:rsid w:val="4AA87781"/>
    <w:rsid w:val="4AAEFAC1"/>
    <w:rsid w:val="4ABA5ED3"/>
    <w:rsid w:val="4AE24048"/>
    <w:rsid w:val="4AE91700"/>
    <w:rsid w:val="4AEA5D57"/>
    <w:rsid w:val="4AF37060"/>
    <w:rsid w:val="4AF46A95"/>
    <w:rsid w:val="4AF65EE0"/>
    <w:rsid w:val="4AFE3814"/>
    <w:rsid w:val="4B046391"/>
    <w:rsid w:val="4B09EC9E"/>
    <w:rsid w:val="4B0D0FDE"/>
    <w:rsid w:val="4B13D673"/>
    <w:rsid w:val="4B17BD15"/>
    <w:rsid w:val="4B1CF23C"/>
    <w:rsid w:val="4B1CF3FF"/>
    <w:rsid w:val="4B1EF913"/>
    <w:rsid w:val="4B29E1AF"/>
    <w:rsid w:val="4B373DE3"/>
    <w:rsid w:val="4B38B168"/>
    <w:rsid w:val="4B3AC5BF"/>
    <w:rsid w:val="4B471198"/>
    <w:rsid w:val="4B4FB410"/>
    <w:rsid w:val="4B50521C"/>
    <w:rsid w:val="4B64A937"/>
    <w:rsid w:val="4B650432"/>
    <w:rsid w:val="4B651A04"/>
    <w:rsid w:val="4B65AC48"/>
    <w:rsid w:val="4B71FFE0"/>
    <w:rsid w:val="4B725EE7"/>
    <w:rsid w:val="4B797C28"/>
    <w:rsid w:val="4BA3088A"/>
    <w:rsid w:val="4BA6CC81"/>
    <w:rsid w:val="4BAD0E66"/>
    <w:rsid w:val="4BAD4A60"/>
    <w:rsid w:val="4BAED3AD"/>
    <w:rsid w:val="4BB3AAA0"/>
    <w:rsid w:val="4BB84FC0"/>
    <w:rsid w:val="4BB98BEE"/>
    <w:rsid w:val="4BC10906"/>
    <w:rsid w:val="4BC141E0"/>
    <w:rsid w:val="4BC2F8EF"/>
    <w:rsid w:val="4BC7AEC1"/>
    <w:rsid w:val="4BCB144D"/>
    <w:rsid w:val="4BEFEA9F"/>
    <w:rsid w:val="4BF110C9"/>
    <w:rsid w:val="4BFF2B39"/>
    <w:rsid w:val="4C0338D3"/>
    <w:rsid w:val="4C0898FD"/>
    <w:rsid w:val="4C089D09"/>
    <w:rsid w:val="4C0A1405"/>
    <w:rsid w:val="4C0E96D0"/>
    <w:rsid w:val="4C1B016D"/>
    <w:rsid w:val="4C1B9D10"/>
    <w:rsid w:val="4C20B00A"/>
    <w:rsid w:val="4C32DCA0"/>
    <w:rsid w:val="4C3CFEED"/>
    <w:rsid w:val="4C490C5A"/>
    <w:rsid w:val="4C5BB2C4"/>
    <w:rsid w:val="4C5BE4C9"/>
    <w:rsid w:val="4C5C90DC"/>
    <w:rsid w:val="4C5ED08C"/>
    <w:rsid w:val="4C5FCF63"/>
    <w:rsid w:val="4C669629"/>
    <w:rsid w:val="4C6E302A"/>
    <w:rsid w:val="4C75D852"/>
    <w:rsid w:val="4C84C360"/>
    <w:rsid w:val="4C876505"/>
    <w:rsid w:val="4C9206D3"/>
    <w:rsid w:val="4C9959A1"/>
    <w:rsid w:val="4CA3FFC7"/>
    <w:rsid w:val="4CA71AB8"/>
    <w:rsid w:val="4CAA7CC3"/>
    <w:rsid w:val="4CAAC72F"/>
    <w:rsid w:val="4CAB2B99"/>
    <w:rsid w:val="4CACAA97"/>
    <w:rsid w:val="4CB0D7FD"/>
    <w:rsid w:val="4CC59B7A"/>
    <w:rsid w:val="4CC74AB4"/>
    <w:rsid w:val="4CD61186"/>
    <w:rsid w:val="4CFC145E"/>
    <w:rsid w:val="4D0E25A4"/>
    <w:rsid w:val="4D0F6898"/>
    <w:rsid w:val="4D1BA35D"/>
    <w:rsid w:val="4D3079DC"/>
    <w:rsid w:val="4D407431"/>
    <w:rsid w:val="4D41C445"/>
    <w:rsid w:val="4D436244"/>
    <w:rsid w:val="4D46A378"/>
    <w:rsid w:val="4D4B5609"/>
    <w:rsid w:val="4D5281AE"/>
    <w:rsid w:val="4D5BD2E4"/>
    <w:rsid w:val="4D7A34C6"/>
    <w:rsid w:val="4D7FE619"/>
    <w:rsid w:val="4D8359E5"/>
    <w:rsid w:val="4D94F2EE"/>
    <w:rsid w:val="4D97F9F7"/>
    <w:rsid w:val="4DA5ABE5"/>
    <w:rsid w:val="4DA7572A"/>
    <w:rsid w:val="4DB36F76"/>
    <w:rsid w:val="4DB456F1"/>
    <w:rsid w:val="4DB91588"/>
    <w:rsid w:val="4DC76FC6"/>
    <w:rsid w:val="4DC91F4B"/>
    <w:rsid w:val="4DCE2381"/>
    <w:rsid w:val="4DD42DC9"/>
    <w:rsid w:val="4DDC4070"/>
    <w:rsid w:val="4DDE99D2"/>
    <w:rsid w:val="4DE0A2A4"/>
    <w:rsid w:val="4DF163F5"/>
    <w:rsid w:val="4DF9ED57"/>
    <w:rsid w:val="4E0FB585"/>
    <w:rsid w:val="4E152EF2"/>
    <w:rsid w:val="4E15C957"/>
    <w:rsid w:val="4E2AF890"/>
    <w:rsid w:val="4E351B70"/>
    <w:rsid w:val="4E3980D8"/>
    <w:rsid w:val="4E411E8E"/>
    <w:rsid w:val="4E4D0586"/>
    <w:rsid w:val="4E4D4FEF"/>
    <w:rsid w:val="4E4EA37E"/>
    <w:rsid w:val="4E521D3D"/>
    <w:rsid w:val="4E567413"/>
    <w:rsid w:val="4E6C29CD"/>
    <w:rsid w:val="4E84119D"/>
    <w:rsid w:val="4E8F9AB7"/>
    <w:rsid w:val="4E92057F"/>
    <w:rsid w:val="4E932952"/>
    <w:rsid w:val="4E9C44D6"/>
    <w:rsid w:val="4E9D9484"/>
    <w:rsid w:val="4EA07CF9"/>
    <w:rsid w:val="4EA270CA"/>
    <w:rsid w:val="4EA389C3"/>
    <w:rsid w:val="4EB19C74"/>
    <w:rsid w:val="4EBEE24C"/>
    <w:rsid w:val="4ED453D9"/>
    <w:rsid w:val="4ED715D9"/>
    <w:rsid w:val="4EDEAF04"/>
    <w:rsid w:val="4EE42008"/>
    <w:rsid w:val="4EEDF36D"/>
    <w:rsid w:val="4EF06338"/>
    <w:rsid w:val="4EF0DF4A"/>
    <w:rsid w:val="4EF5A986"/>
    <w:rsid w:val="4EFB16B8"/>
    <w:rsid w:val="4F027381"/>
    <w:rsid w:val="4F0669EF"/>
    <w:rsid w:val="4F198A57"/>
    <w:rsid w:val="4F222E62"/>
    <w:rsid w:val="4F2A9C6E"/>
    <w:rsid w:val="4F31917D"/>
    <w:rsid w:val="4F47E754"/>
    <w:rsid w:val="4F6DE123"/>
    <w:rsid w:val="4F7A3B67"/>
    <w:rsid w:val="4F7E131F"/>
    <w:rsid w:val="4F8724F1"/>
    <w:rsid w:val="4F96684C"/>
    <w:rsid w:val="4F9AB2CD"/>
    <w:rsid w:val="4F9C9D7F"/>
    <w:rsid w:val="4FA0C3E7"/>
    <w:rsid w:val="4FA31EE2"/>
    <w:rsid w:val="4FA7D8C5"/>
    <w:rsid w:val="4FB2B7F6"/>
    <w:rsid w:val="4FB3970B"/>
    <w:rsid w:val="4FBB8974"/>
    <w:rsid w:val="4FBBF436"/>
    <w:rsid w:val="4FC438F7"/>
    <w:rsid w:val="4FC8849F"/>
    <w:rsid w:val="4FD07F24"/>
    <w:rsid w:val="4FD4BA4E"/>
    <w:rsid w:val="4FD9C6C6"/>
    <w:rsid w:val="4FE8854B"/>
    <w:rsid w:val="4FEBC95A"/>
    <w:rsid w:val="4FF2CBA0"/>
    <w:rsid w:val="4FF84333"/>
    <w:rsid w:val="4FF8A903"/>
    <w:rsid w:val="4FF8CC0E"/>
    <w:rsid w:val="5019FDFA"/>
    <w:rsid w:val="502D6118"/>
    <w:rsid w:val="504F9F24"/>
    <w:rsid w:val="5053CE41"/>
    <w:rsid w:val="5058D251"/>
    <w:rsid w:val="5059AFD9"/>
    <w:rsid w:val="506451F8"/>
    <w:rsid w:val="50706E20"/>
    <w:rsid w:val="50715F86"/>
    <w:rsid w:val="50743B6D"/>
    <w:rsid w:val="5078AB95"/>
    <w:rsid w:val="5079A6C7"/>
    <w:rsid w:val="507EEB2A"/>
    <w:rsid w:val="508F4C16"/>
    <w:rsid w:val="5092D308"/>
    <w:rsid w:val="50963699"/>
    <w:rsid w:val="509AAC9D"/>
    <w:rsid w:val="509E043B"/>
    <w:rsid w:val="50A690AB"/>
    <w:rsid w:val="50A7D1ED"/>
    <w:rsid w:val="50AADC11"/>
    <w:rsid w:val="50AF91ED"/>
    <w:rsid w:val="50B09488"/>
    <w:rsid w:val="50B48A66"/>
    <w:rsid w:val="50B9A79B"/>
    <w:rsid w:val="50BD8D5F"/>
    <w:rsid w:val="50CA9A60"/>
    <w:rsid w:val="50DC8B6F"/>
    <w:rsid w:val="50E881DB"/>
    <w:rsid w:val="50F0DE99"/>
    <w:rsid w:val="511DA387"/>
    <w:rsid w:val="512F533D"/>
    <w:rsid w:val="51346059"/>
    <w:rsid w:val="513A58DC"/>
    <w:rsid w:val="513AA3CD"/>
    <w:rsid w:val="51526A96"/>
    <w:rsid w:val="515831AA"/>
    <w:rsid w:val="516088BF"/>
    <w:rsid w:val="51655C3B"/>
    <w:rsid w:val="517C79D3"/>
    <w:rsid w:val="5185554F"/>
    <w:rsid w:val="51869D9C"/>
    <w:rsid w:val="518BE627"/>
    <w:rsid w:val="5192FE8E"/>
    <w:rsid w:val="51B3FCD1"/>
    <w:rsid w:val="51B7E65F"/>
    <w:rsid w:val="51BCBBA1"/>
    <w:rsid w:val="51C24057"/>
    <w:rsid w:val="51C56129"/>
    <w:rsid w:val="51CDDDF2"/>
    <w:rsid w:val="51D12741"/>
    <w:rsid w:val="51D5D1F0"/>
    <w:rsid w:val="51FBD799"/>
    <w:rsid w:val="51FD5F04"/>
    <w:rsid w:val="5201EDA1"/>
    <w:rsid w:val="5210CDF8"/>
    <w:rsid w:val="521E269D"/>
    <w:rsid w:val="5221F34E"/>
    <w:rsid w:val="5227712B"/>
    <w:rsid w:val="522E2427"/>
    <w:rsid w:val="52343671"/>
    <w:rsid w:val="5235936D"/>
    <w:rsid w:val="524112EA"/>
    <w:rsid w:val="5256CF4A"/>
    <w:rsid w:val="52699080"/>
    <w:rsid w:val="5269C1E1"/>
    <w:rsid w:val="526DEAB0"/>
    <w:rsid w:val="52777DD4"/>
    <w:rsid w:val="528CA6AA"/>
    <w:rsid w:val="52922ED5"/>
    <w:rsid w:val="529426C7"/>
    <w:rsid w:val="5297C4D5"/>
    <w:rsid w:val="529D337C"/>
    <w:rsid w:val="52A0D9DE"/>
    <w:rsid w:val="52BC48E8"/>
    <w:rsid w:val="52C110D4"/>
    <w:rsid w:val="52C340CA"/>
    <w:rsid w:val="52CB5AD1"/>
    <w:rsid w:val="52D68D7F"/>
    <w:rsid w:val="52DB52CB"/>
    <w:rsid w:val="52E34CD3"/>
    <w:rsid w:val="52E72475"/>
    <w:rsid w:val="52EED80B"/>
    <w:rsid w:val="52F05184"/>
    <w:rsid w:val="52F270BF"/>
    <w:rsid w:val="530249DC"/>
    <w:rsid w:val="53070F59"/>
    <w:rsid w:val="530B7838"/>
    <w:rsid w:val="5313892D"/>
    <w:rsid w:val="531A57E6"/>
    <w:rsid w:val="5323A493"/>
    <w:rsid w:val="53245892"/>
    <w:rsid w:val="532FDB91"/>
    <w:rsid w:val="533319D9"/>
    <w:rsid w:val="5338C113"/>
    <w:rsid w:val="533E3473"/>
    <w:rsid w:val="53428940"/>
    <w:rsid w:val="534669C3"/>
    <w:rsid w:val="53471030"/>
    <w:rsid w:val="5347F0B8"/>
    <w:rsid w:val="53502C5D"/>
    <w:rsid w:val="53541E27"/>
    <w:rsid w:val="53637C96"/>
    <w:rsid w:val="53701D94"/>
    <w:rsid w:val="5370E2BB"/>
    <w:rsid w:val="53834B22"/>
    <w:rsid w:val="53849B16"/>
    <w:rsid w:val="5384A3E2"/>
    <w:rsid w:val="5394794B"/>
    <w:rsid w:val="53A771AA"/>
    <w:rsid w:val="53A9C505"/>
    <w:rsid w:val="53ACD85D"/>
    <w:rsid w:val="53AEAA63"/>
    <w:rsid w:val="53B22D21"/>
    <w:rsid w:val="53BA48F2"/>
    <w:rsid w:val="53BD0908"/>
    <w:rsid w:val="53C50865"/>
    <w:rsid w:val="53D001EA"/>
    <w:rsid w:val="53DFC796"/>
    <w:rsid w:val="53E347EB"/>
    <w:rsid w:val="53E6E9A4"/>
    <w:rsid w:val="53E70672"/>
    <w:rsid w:val="53ED86D3"/>
    <w:rsid w:val="53EE44BC"/>
    <w:rsid w:val="53EFFE4F"/>
    <w:rsid w:val="53F67AEC"/>
    <w:rsid w:val="53FA7650"/>
    <w:rsid w:val="54095C8B"/>
    <w:rsid w:val="54098683"/>
    <w:rsid w:val="541571AD"/>
    <w:rsid w:val="54164DF3"/>
    <w:rsid w:val="5420E45A"/>
    <w:rsid w:val="54260233"/>
    <w:rsid w:val="5426C7EB"/>
    <w:rsid w:val="543D215E"/>
    <w:rsid w:val="5443760B"/>
    <w:rsid w:val="544FC525"/>
    <w:rsid w:val="545DA526"/>
    <w:rsid w:val="546E5373"/>
    <w:rsid w:val="5473D300"/>
    <w:rsid w:val="548280E6"/>
    <w:rsid w:val="54A33638"/>
    <w:rsid w:val="54B37B80"/>
    <w:rsid w:val="54B6F340"/>
    <w:rsid w:val="54BB1F0C"/>
    <w:rsid w:val="54BCA123"/>
    <w:rsid w:val="54BF0A12"/>
    <w:rsid w:val="54C9AF9D"/>
    <w:rsid w:val="54DFF77A"/>
    <w:rsid w:val="54E33E95"/>
    <w:rsid w:val="54EC986E"/>
    <w:rsid w:val="54EDF2A2"/>
    <w:rsid w:val="54FDA3F5"/>
    <w:rsid w:val="55018547"/>
    <w:rsid w:val="550FBED3"/>
    <w:rsid w:val="55122D06"/>
    <w:rsid w:val="551879CC"/>
    <w:rsid w:val="551C456F"/>
    <w:rsid w:val="5520A863"/>
    <w:rsid w:val="55228A46"/>
    <w:rsid w:val="552CA1B2"/>
    <w:rsid w:val="5533DB01"/>
    <w:rsid w:val="555FECC7"/>
    <w:rsid w:val="5566B847"/>
    <w:rsid w:val="5569880B"/>
    <w:rsid w:val="55722E7A"/>
    <w:rsid w:val="557390A8"/>
    <w:rsid w:val="5573ED33"/>
    <w:rsid w:val="55770D27"/>
    <w:rsid w:val="5577E8AB"/>
    <w:rsid w:val="5579EC20"/>
    <w:rsid w:val="557CE7B3"/>
    <w:rsid w:val="5591CE28"/>
    <w:rsid w:val="5592A5D2"/>
    <w:rsid w:val="55AB31F5"/>
    <w:rsid w:val="55B54C82"/>
    <w:rsid w:val="55BFC935"/>
    <w:rsid w:val="55CAC212"/>
    <w:rsid w:val="55CB1BF9"/>
    <w:rsid w:val="55CD5F5E"/>
    <w:rsid w:val="55D06E20"/>
    <w:rsid w:val="55D1E241"/>
    <w:rsid w:val="55D40933"/>
    <w:rsid w:val="55DBBD1C"/>
    <w:rsid w:val="55E5AC4A"/>
    <w:rsid w:val="55EE5E50"/>
    <w:rsid w:val="55F4AA5F"/>
    <w:rsid w:val="55F50F46"/>
    <w:rsid w:val="55F8A487"/>
    <w:rsid w:val="55FCDAE7"/>
    <w:rsid w:val="5601C252"/>
    <w:rsid w:val="56051020"/>
    <w:rsid w:val="5618E0E5"/>
    <w:rsid w:val="561B1F21"/>
    <w:rsid w:val="5625290C"/>
    <w:rsid w:val="562E39E1"/>
    <w:rsid w:val="563AFB80"/>
    <w:rsid w:val="564140AD"/>
    <w:rsid w:val="564B3AD8"/>
    <w:rsid w:val="565B4888"/>
    <w:rsid w:val="56622B64"/>
    <w:rsid w:val="566567D6"/>
    <w:rsid w:val="56665FD8"/>
    <w:rsid w:val="56A5D55F"/>
    <w:rsid w:val="56AAC025"/>
    <w:rsid w:val="56ADD686"/>
    <w:rsid w:val="56AE0256"/>
    <w:rsid w:val="56B705D7"/>
    <w:rsid w:val="56B7CD64"/>
    <w:rsid w:val="56D68B50"/>
    <w:rsid w:val="56ED18F0"/>
    <w:rsid w:val="56F71DF8"/>
    <w:rsid w:val="57053DFC"/>
    <w:rsid w:val="570F1950"/>
    <w:rsid w:val="571C4D41"/>
    <w:rsid w:val="57247372"/>
    <w:rsid w:val="572CBDBD"/>
    <w:rsid w:val="5740C724"/>
    <w:rsid w:val="574F45B7"/>
    <w:rsid w:val="5751A99B"/>
    <w:rsid w:val="57548845"/>
    <w:rsid w:val="5769073B"/>
    <w:rsid w:val="576BA623"/>
    <w:rsid w:val="576D8B31"/>
    <w:rsid w:val="577E4F6A"/>
    <w:rsid w:val="57846C17"/>
    <w:rsid w:val="57863B0A"/>
    <w:rsid w:val="5786C4B9"/>
    <w:rsid w:val="579A9485"/>
    <w:rsid w:val="57A3AB22"/>
    <w:rsid w:val="57A5A3CD"/>
    <w:rsid w:val="57AAF0B9"/>
    <w:rsid w:val="57AB78CD"/>
    <w:rsid w:val="57AC8E14"/>
    <w:rsid w:val="57ADCD50"/>
    <w:rsid w:val="57AE9A70"/>
    <w:rsid w:val="57B958C9"/>
    <w:rsid w:val="57BEB304"/>
    <w:rsid w:val="57CDA8CC"/>
    <w:rsid w:val="57D35AB0"/>
    <w:rsid w:val="57EE69DC"/>
    <w:rsid w:val="57F072A4"/>
    <w:rsid w:val="57F30EAC"/>
    <w:rsid w:val="57F4E68E"/>
    <w:rsid w:val="57F62EBE"/>
    <w:rsid w:val="57FC6BFC"/>
    <w:rsid w:val="580DCB41"/>
    <w:rsid w:val="580E3769"/>
    <w:rsid w:val="5813DFB3"/>
    <w:rsid w:val="5817F587"/>
    <w:rsid w:val="581F2B1B"/>
    <w:rsid w:val="58268AB8"/>
    <w:rsid w:val="58275329"/>
    <w:rsid w:val="582BF729"/>
    <w:rsid w:val="582CB970"/>
    <w:rsid w:val="5833EE80"/>
    <w:rsid w:val="583C69B1"/>
    <w:rsid w:val="5840194C"/>
    <w:rsid w:val="58467835"/>
    <w:rsid w:val="584801D0"/>
    <w:rsid w:val="584DFC07"/>
    <w:rsid w:val="5850EC48"/>
    <w:rsid w:val="585ECF27"/>
    <w:rsid w:val="585F5C51"/>
    <w:rsid w:val="58659A68"/>
    <w:rsid w:val="58697189"/>
    <w:rsid w:val="586B15D6"/>
    <w:rsid w:val="586BD75D"/>
    <w:rsid w:val="58734896"/>
    <w:rsid w:val="587E4ADC"/>
    <w:rsid w:val="588742EC"/>
    <w:rsid w:val="588C53B9"/>
    <w:rsid w:val="58B11B57"/>
    <w:rsid w:val="58B33485"/>
    <w:rsid w:val="58B3DB29"/>
    <w:rsid w:val="58BD3CFF"/>
    <w:rsid w:val="58BE642D"/>
    <w:rsid w:val="58C32C74"/>
    <w:rsid w:val="58CA9F3C"/>
    <w:rsid w:val="58CF43D8"/>
    <w:rsid w:val="58D2F7FC"/>
    <w:rsid w:val="58D5FCD2"/>
    <w:rsid w:val="58E1EF1F"/>
    <w:rsid w:val="58FB7B54"/>
    <w:rsid w:val="58FF657D"/>
    <w:rsid w:val="59030126"/>
    <w:rsid w:val="5922C405"/>
    <w:rsid w:val="592A662B"/>
    <w:rsid w:val="5930CD22"/>
    <w:rsid w:val="59339375"/>
    <w:rsid w:val="593ACEF0"/>
    <w:rsid w:val="593F81BF"/>
    <w:rsid w:val="59480980"/>
    <w:rsid w:val="5948B913"/>
    <w:rsid w:val="594D7C79"/>
    <w:rsid w:val="5951C64A"/>
    <w:rsid w:val="5951FDD5"/>
    <w:rsid w:val="5961C8B2"/>
    <w:rsid w:val="59773C88"/>
    <w:rsid w:val="59845A9E"/>
    <w:rsid w:val="5985C7B6"/>
    <w:rsid w:val="59954A11"/>
    <w:rsid w:val="599A4C87"/>
    <w:rsid w:val="599C8D29"/>
    <w:rsid w:val="59AE145D"/>
    <w:rsid w:val="59BE9F1E"/>
    <w:rsid w:val="59CADCC0"/>
    <w:rsid w:val="59D19972"/>
    <w:rsid w:val="59D908EE"/>
    <w:rsid w:val="59DDA7DB"/>
    <w:rsid w:val="59EDB786"/>
    <w:rsid w:val="59EFD5F0"/>
    <w:rsid w:val="59FE8D07"/>
    <w:rsid w:val="5A08B2DB"/>
    <w:rsid w:val="5A19221F"/>
    <w:rsid w:val="5A1BE65C"/>
    <w:rsid w:val="5A20E52D"/>
    <w:rsid w:val="5A2C0B9B"/>
    <w:rsid w:val="5A2EC88F"/>
    <w:rsid w:val="5A2F5E9C"/>
    <w:rsid w:val="5A3888D4"/>
    <w:rsid w:val="5A40D182"/>
    <w:rsid w:val="5A4A8509"/>
    <w:rsid w:val="5A4AE28F"/>
    <w:rsid w:val="5A5F99B3"/>
    <w:rsid w:val="5A64636C"/>
    <w:rsid w:val="5A6E1EC3"/>
    <w:rsid w:val="5A73B0F8"/>
    <w:rsid w:val="5A7B8504"/>
    <w:rsid w:val="5A8209B0"/>
    <w:rsid w:val="5A94B7FC"/>
    <w:rsid w:val="5A986F42"/>
    <w:rsid w:val="5A9CFA4F"/>
    <w:rsid w:val="5A9DE1E2"/>
    <w:rsid w:val="5AA54FE2"/>
    <w:rsid w:val="5AAC7EDC"/>
    <w:rsid w:val="5AAE0396"/>
    <w:rsid w:val="5AB32195"/>
    <w:rsid w:val="5AB57FF7"/>
    <w:rsid w:val="5AB96646"/>
    <w:rsid w:val="5AC4BFA2"/>
    <w:rsid w:val="5ADD7092"/>
    <w:rsid w:val="5ADEA4B9"/>
    <w:rsid w:val="5AE9A6AC"/>
    <w:rsid w:val="5AF1F271"/>
    <w:rsid w:val="5AF492FD"/>
    <w:rsid w:val="5AF84D85"/>
    <w:rsid w:val="5AFF6C09"/>
    <w:rsid w:val="5B020E96"/>
    <w:rsid w:val="5B03AAC4"/>
    <w:rsid w:val="5B04D2CB"/>
    <w:rsid w:val="5B0C7599"/>
    <w:rsid w:val="5B179049"/>
    <w:rsid w:val="5B17F752"/>
    <w:rsid w:val="5B1CF6F8"/>
    <w:rsid w:val="5B2091D4"/>
    <w:rsid w:val="5B21984A"/>
    <w:rsid w:val="5B3C2AC0"/>
    <w:rsid w:val="5B5A4066"/>
    <w:rsid w:val="5B73D588"/>
    <w:rsid w:val="5B7501CD"/>
    <w:rsid w:val="5B80A295"/>
    <w:rsid w:val="5B9AA87A"/>
    <w:rsid w:val="5B9E55D9"/>
    <w:rsid w:val="5BA36CCC"/>
    <w:rsid w:val="5BA708A8"/>
    <w:rsid w:val="5BA7D9A0"/>
    <w:rsid w:val="5BACB592"/>
    <w:rsid w:val="5BB1FC68"/>
    <w:rsid w:val="5BB6A959"/>
    <w:rsid w:val="5BC86863"/>
    <w:rsid w:val="5BD3E4B5"/>
    <w:rsid w:val="5BD7C9F2"/>
    <w:rsid w:val="5BDDF03A"/>
    <w:rsid w:val="5BE090A5"/>
    <w:rsid w:val="5BEABDD1"/>
    <w:rsid w:val="5BED34D3"/>
    <w:rsid w:val="5BF07DD5"/>
    <w:rsid w:val="5BF11E38"/>
    <w:rsid w:val="5BFB702D"/>
    <w:rsid w:val="5C0A2755"/>
    <w:rsid w:val="5C0C3A40"/>
    <w:rsid w:val="5C0CF94B"/>
    <w:rsid w:val="5C16D589"/>
    <w:rsid w:val="5C1D74D8"/>
    <w:rsid w:val="5C30B305"/>
    <w:rsid w:val="5C32AC7F"/>
    <w:rsid w:val="5C3EFB7A"/>
    <w:rsid w:val="5C402C2E"/>
    <w:rsid w:val="5C43D96E"/>
    <w:rsid w:val="5C4CC0AC"/>
    <w:rsid w:val="5C54883E"/>
    <w:rsid w:val="5C55A040"/>
    <w:rsid w:val="5C5A6AA3"/>
    <w:rsid w:val="5C626551"/>
    <w:rsid w:val="5C733F1E"/>
    <w:rsid w:val="5C7A5FF5"/>
    <w:rsid w:val="5C8AF6A4"/>
    <w:rsid w:val="5C8C5752"/>
    <w:rsid w:val="5C8CFEC5"/>
    <w:rsid w:val="5C91CBCA"/>
    <w:rsid w:val="5C9D51BF"/>
    <w:rsid w:val="5CAE8B8E"/>
    <w:rsid w:val="5CB0BA05"/>
    <w:rsid w:val="5CB1975C"/>
    <w:rsid w:val="5CB1DE13"/>
    <w:rsid w:val="5CB43E38"/>
    <w:rsid w:val="5CB5E099"/>
    <w:rsid w:val="5CB7D6AC"/>
    <w:rsid w:val="5CC031BB"/>
    <w:rsid w:val="5CC0D556"/>
    <w:rsid w:val="5CD39BB8"/>
    <w:rsid w:val="5CD844FF"/>
    <w:rsid w:val="5CDAFA82"/>
    <w:rsid w:val="5CDB073B"/>
    <w:rsid w:val="5CE2A757"/>
    <w:rsid w:val="5CEB8A39"/>
    <w:rsid w:val="5D0D2D04"/>
    <w:rsid w:val="5D173C2E"/>
    <w:rsid w:val="5D19CFDC"/>
    <w:rsid w:val="5D25A80A"/>
    <w:rsid w:val="5D2E210F"/>
    <w:rsid w:val="5D3106D8"/>
    <w:rsid w:val="5D3494CF"/>
    <w:rsid w:val="5D387947"/>
    <w:rsid w:val="5D391121"/>
    <w:rsid w:val="5D412487"/>
    <w:rsid w:val="5D4DED73"/>
    <w:rsid w:val="5D54059E"/>
    <w:rsid w:val="5D540FEE"/>
    <w:rsid w:val="5D6A2765"/>
    <w:rsid w:val="5D702778"/>
    <w:rsid w:val="5D79FD30"/>
    <w:rsid w:val="5D7BC5E3"/>
    <w:rsid w:val="5D8436AE"/>
    <w:rsid w:val="5D8A2159"/>
    <w:rsid w:val="5D8C1B03"/>
    <w:rsid w:val="5D9BCB59"/>
    <w:rsid w:val="5D9C2A7F"/>
    <w:rsid w:val="5D9F71E5"/>
    <w:rsid w:val="5DAA9160"/>
    <w:rsid w:val="5DAEB2CA"/>
    <w:rsid w:val="5DBA0603"/>
    <w:rsid w:val="5DC00E77"/>
    <w:rsid w:val="5DC4AD38"/>
    <w:rsid w:val="5DD3B869"/>
    <w:rsid w:val="5DDFBD56"/>
    <w:rsid w:val="5DEE0086"/>
    <w:rsid w:val="5DF3EFF0"/>
    <w:rsid w:val="5DF4EFDB"/>
    <w:rsid w:val="5E0D0F0E"/>
    <w:rsid w:val="5E164AEF"/>
    <w:rsid w:val="5E1818E3"/>
    <w:rsid w:val="5E185F16"/>
    <w:rsid w:val="5E19A7EE"/>
    <w:rsid w:val="5E1B2929"/>
    <w:rsid w:val="5E26FD26"/>
    <w:rsid w:val="5E3073A1"/>
    <w:rsid w:val="5E34DCCF"/>
    <w:rsid w:val="5E494814"/>
    <w:rsid w:val="5E5576F1"/>
    <w:rsid w:val="5E5AB787"/>
    <w:rsid w:val="5E697C30"/>
    <w:rsid w:val="5E6F5509"/>
    <w:rsid w:val="5E805806"/>
    <w:rsid w:val="5E822067"/>
    <w:rsid w:val="5E886098"/>
    <w:rsid w:val="5E948538"/>
    <w:rsid w:val="5E949CEE"/>
    <w:rsid w:val="5E9A7656"/>
    <w:rsid w:val="5E9CC203"/>
    <w:rsid w:val="5E9ECE67"/>
    <w:rsid w:val="5EAAADBF"/>
    <w:rsid w:val="5EAE639E"/>
    <w:rsid w:val="5ECB9216"/>
    <w:rsid w:val="5ED3D20F"/>
    <w:rsid w:val="5ED698B4"/>
    <w:rsid w:val="5ED813FB"/>
    <w:rsid w:val="5ED943D6"/>
    <w:rsid w:val="5EE35CC6"/>
    <w:rsid w:val="5EE91AE6"/>
    <w:rsid w:val="5EF3501E"/>
    <w:rsid w:val="5F0AD96E"/>
    <w:rsid w:val="5F0D4B04"/>
    <w:rsid w:val="5F0E3029"/>
    <w:rsid w:val="5F1268C9"/>
    <w:rsid w:val="5F248E4F"/>
    <w:rsid w:val="5F26C9CB"/>
    <w:rsid w:val="5F2E8490"/>
    <w:rsid w:val="5F3763B5"/>
    <w:rsid w:val="5F410898"/>
    <w:rsid w:val="5F42EE87"/>
    <w:rsid w:val="5F46801C"/>
    <w:rsid w:val="5F4A4826"/>
    <w:rsid w:val="5F57E9DB"/>
    <w:rsid w:val="5F5B2286"/>
    <w:rsid w:val="5F6379B5"/>
    <w:rsid w:val="5F6FFDFE"/>
    <w:rsid w:val="5F7DDD08"/>
    <w:rsid w:val="5F811034"/>
    <w:rsid w:val="5F8591F6"/>
    <w:rsid w:val="5F9B93FF"/>
    <w:rsid w:val="5F9C30EE"/>
    <w:rsid w:val="5F9C8338"/>
    <w:rsid w:val="5FAD2E79"/>
    <w:rsid w:val="5FAFCE2A"/>
    <w:rsid w:val="5FB8B3C4"/>
    <w:rsid w:val="5FC6E8FC"/>
    <w:rsid w:val="5FC898CB"/>
    <w:rsid w:val="5FD736D2"/>
    <w:rsid w:val="5FD7C0E0"/>
    <w:rsid w:val="5FE1E281"/>
    <w:rsid w:val="5FE2D714"/>
    <w:rsid w:val="5FE90435"/>
    <w:rsid w:val="5FEC468C"/>
    <w:rsid w:val="5FF5ABF0"/>
    <w:rsid w:val="5FFAF22A"/>
    <w:rsid w:val="5FFAF7B3"/>
    <w:rsid w:val="600C2C34"/>
    <w:rsid w:val="60141657"/>
    <w:rsid w:val="601A344B"/>
    <w:rsid w:val="601DF620"/>
    <w:rsid w:val="602B8715"/>
    <w:rsid w:val="602EA6BB"/>
    <w:rsid w:val="602F3688"/>
    <w:rsid w:val="602F4F8A"/>
    <w:rsid w:val="603B98EA"/>
    <w:rsid w:val="6044C8B5"/>
    <w:rsid w:val="6060DF55"/>
    <w:rsid w:val="60692633"/>
    <w:rsid w:val="606E00D4"/>
    <w:rsid w:val="6075B67B"/>
    <w:rsid w:val="60769C84"/>
    <w:rsid w:val="608AEC28"/>
    <w:rsid w:val="608C997E"/>
    <w:rsid w:val="608FF9E8"/>
    <w:rsid w:val="609434A0"/>
    <w:rsid w:val="609904F2"/>
    <w:rsid w:val="60A7528B"/>
    <w:rsid w:val="60B05E04"/>
    <w:rsid w:val="60B46CF3"/>
    <w:rsid w:val="60B703C9"/>
    <w:rsid w:val="60BCACDF"/>
    <w:rsid w:val="60BFD20C"/>
    <w:rsid w:val="60D20D2D"/>
    <w:rsid w:val="60D3C074"/>
    <w:rsid w:val="60D46EE0"/>
    <w:rsid w:val="60E654AB"/>
    <w:rsid w:val="60F05539"/>
    <w:rsid w:val="60F083E8"/>
    <w:rsid w:val="60F089C8"/>
    <w:rsid w:val="60FCA92A"/>
    <w:rsid w:val="60FDDC76"/>
    <w:rsid w:val="60FFE4D1"/>
    <w:rsid w:val="610ABD7C"/>
    <w:rsid w:val="6112D24D"/>
    <w:rsid w:val="6112DE56"/>
    <w:rsid w:val="611BA2D9"/>
    <w:rsid w:val="6127B348"/>
    <w:rsid w:val="61423E72"/>
    <w:rsid w:val="614CE8D0"/>
    <w:rsid w:val="6158A479"/>
    <w:rsid w:val="616CF1DD"/>
    <w:rsid w:val="616F008F"/>
    <w:rsid w:val="61714A8C"/>
    <w:rsid w:val="6177144B"/>
    <w:rsid w:val="618C3F38"/>
    <w:rsid w:val="619855EE"/>
    <w:rsid w:val="61B687F5"/>
    <w:rsid w:val="61C3C7AA"/>
    <w:rsid w:val="61C42CD4"/>
    <w:rsid w:val="61D27463"/>
    <w:rsid w:val="61E3C907"/>
    <w:rsid w:val="61E4C44A"/>
    <w:rsid w:val="61E9531A"/>
    <w:rsid w:val="61F4D4A8"/>
    <w:rsid w:val="6201C75F"/>
    <w:rsid w:val="621640CA"/>
    <w:rsid w:val="62214CCB"/>
    <w:rsid w:val="6242542A"/>
    <w:rsid w:val="624B4B15"/>
    <w:rsid w:val="6252ABEB"/>
    <w:rsid w:val="62567E4E"/>
    <w:rsid w:val="6257E080"/>
    <w:rsid w:val="625D009D"/>
    <w:rsid w:val="6276EFA1"/>
    <w:rsid w:val="628B0CC3"/>
    <w:rsid w:val="628FE794"/>
    <w:rsid w:val="62974FF9"/>
    <w:rsid w:val="62A5F52F"/>
    <w:rsid w:val="62A84FE3"/>
    <w:rsid w:val="62B583CC"/>
    <w:rsid w:val="62BB4E9A"/>
    <w:rsid w:val="62CA0525"/>
    <w:rsid w:val="62CF05C8"/>
    <w:rsid w:val="62CFDFA7"/>
    <w:rsid w:val="62D35F5C"/>
    <w:rsid w:val="62D93A54"/>
    <w:rsid w:val="62E83CF6"/>
    <w:rsid w:val="62EAFF5A"/>
    <w:rsid w:val="62F311D0"/>
    <w:rsid w:val="62F45DC2"/>
    <w:rsid w:val="630C1AD0"/>
    <w:rsid w:val="630FE246"/>
    <w:rsid w:val="6312176B"/>
    <w:rsid w:val="631327AC"/>
    <w:rsid w:val="631A0D41"/>
    <w:rsid w:val="631BEB5F"/>
    <w:rsid w:val="6321C7BD"/>
    <w:rsid w:val="63280743"/>
    <w:rsid w:val="632A292C"/>
    <w:rsid w:val="632BBC90"/>
    <w:rsid w:val="632D4063"/>
    <w:rsid w:val="6330C805"/>
    <w:rsid w:val="6330D0A8"/>
    <w:rsid w:val="63336320"/>
    <w:rsid w:val="633AF2D6"/>
    <w:rsid w:val="633C49FD"/>
    <w:rsid w:val="633D5100"/>
    <w:rsid w:val="633F9501"/>
    <w:rsid w:val="63493441"/>
    <w:rsid w:val="634D31EF"/>
    <w:rsid w:val="635BE211"/>
    <w:rsid w:val="63655C0D"/>
    <w:rsid w:val="6375A6D4"/>
    <w:rsid w:val="63765763"/>
    <w:rsid w:val="6376999C"/>
    <w:rsid w:val="6378A3C8"/>
    <w:rsid w:val="637928BD"/>
    <w:rsid w:val="637C5A81"/>
    <w:rsid w:val="6381CE31"/>
    <w:rsid w:val="638A3BC9"/>
    <w:rsid w:val="639B10F9"/>
    <w:rsid w:val="63A50937"/>
    <w:rsid w:val="63A7B8A7"/>
    <w:rsid w:val="63A8957D"/>
    <w:rsid w:val="63ADE0F9"/>
    <w:rsid w:val="63BDDF98"/>
    <w:rsid w:val="63FD3D3E"/>
    <w:rsid w:val="63FE702B"/>
    <w:rsid w:val="6409F668"/>
    <w:rsid w:val="640A51A9"/>
    <w:rsid w:val="6418DD69"/>
    <w:rsid w:val="6426C247"/>
    <w:rsid w:val="64303FF3"/>
    <w:rsid w:val="6431C9AB"/>
    <w:rsid w:val="643735AA"/>
    <w:rsid w:val="6437D247"/>
    <w:rsid w:val="643928CF"/>
    <w:rsid w:val="643FB9B7"/>
    <w:rsid w:val="64442CB5"/>
    <w:rsid w:val="6447A66E"/>
    <w:rsid w:val="64487AC8"/>
    <w:rsid w:val="644B9021"/>
    <w:rsid w:val="6454451B"/>
    <w:rsid w:val="6460A0A7"/>
    <w:rsid w:val="64618F93"/>
    <w:rsid w:val="6470C843"/>
    <w:rsid w:val="647ADB69"/>
    <w:rsid w:val="6485E242"/>
    <w:rsid w:val="6488C3D7"/>
    <w:rsid w:val="64897590"/>
    <w:rsid w:val="648F84D3"/>
    <w:rsid w:val="6491DFE3"/>
    <w:rsid w:val="649AA8AE"/>
    <w:rsid w:val="64A15BBA"/>
    <w:rsid w:val="64A6F9C9"/>
    <w:rsid w:val="64A926AC"/>
    <w:rsid w:val="64A96122"/>
    <w:rsid w:val="64AC2A31"/>
    <w:rsid w:val="64ACF085"/>
    <w:rsid w:val="64B32CE0"/>
    <w:rsid w:val="64C94C9A"/>
    <w:rsid w:val="64CA9B91"/>
    <w:rsid w:val="64CFD54D"/>
    <w:rsid w:val="64D1210F"/>
    <w:rsid w:val="64D6F759"/>
    <w:rsid w:val="64D77328"/>
    <w:rsid w:val="64E41652"/>
    <w:rsid w:val="64F314C5"/>
    <w:rsid w:val="64FA539C"/>
    <w:rsid w:val="64FAF74B"/>
    <w:rsid w:val="64FBF577"/>
    <w:rsid w:val="64FC926F"/>
    <w:rsid w:val="64FDFD2A"/>
    <w:rsid w:val="64FFBB51"/>
    <w:rsid w:val="6502981B"/>
    <w:rsid w:val="65089004"/>
    <w:rsid w:val="6518DE5C"/>
    <w:rsid w:val="651CE4DA"/>
    <w:rsid w:val="651D27E5"/>
    <w:rsid w:val="651DF9DC"/>
    <w:rsid w:val="652B439D"/>
    <w:rsid w:val="65405F40"/>
    <w:rsid w:val="65453F66"/>
    <w:rsid w:val="654592DE"/>
    <w:rsid w:val="65527DF6"/>
    <w:rsid w:val="6559FFD8"/>
    <w:rsid w:val="655C9213"/>
    <w:rsid w:val="655CD691"/>
    <w:rsid w:val="6561EABB"/>
    <w:rsid w:val="65624CE9"/>
    <w:rsid w:val="6564CD63"/>
    <w:rsid w:val="65708E74"/>
    <w:rsid w:val="657303EA"/>
    <w:rsid w:val="6587001B"/>
    <w:rsid w:val="658DE361"/>
    <w:rsid w:val="658EF781"/>
    <w:rsid w:val="658F3E21"/>
    <w:rsid w:val="6597735F"/>
    <w:rsid w:val="659DE048"/>
    <w:rsid w:val="65A3682E"/>
    <w:rsid w:val="65AA031A"/>
    <w:rsid w:val="65AB67EA"/>
    <w:rsid w:val="65B3CD09"/>
    <w:rsid w:val="65D3AFEB"/>
    <w:rsid w:val="65DC39D3"/>
    <w:rsid w:val="65E4DF7C"/>
    <w:rsid w:val="65E853A6"/>
    <w:rsid w:val="65EA2394"/>
    <w:rsid w:val="65ED1D06"/>
    <w:rsid w:val="65EF9D36"/>
    <w:rsid w:val="65F12D9B"/>
    <w:rsid w:val="65F1492A"/>
    <w:rsid w:val="65F8E42F"/>
    <w:rsid w:val="65FA2EC4"/>
    <w:rsid w:val="66003E77"/>
    <w:rsid w:val="66036E03"/>
    <w:rsid w:val="6610447F"/>
    <w:rsid w:val="661192BE"/>
    <w:rsid w:val="6613EBE0"/>
    <w:rsid w:val="6613F9CC"/>
    <w:rsid w:val="661A8B60"/>
    <w:rsid w:val="661CE6C3"/>
    <w:rsid w:val="6621F573"/>
    <w:rsid w:val="6629DC76"/>
    <w:rsid w:val="66399432"/>
    <w:rsid w:val="6653D5CE"/>
    <w:rsid w:val="6654350F"/>
    <w:rsid w:val="66559D58"/>
    <w:rsid w:val="6656F841"/>
    <w:rsid w:val="6658C936"/>
    <w:rsid w:val="665B0A22"/>
    <w:rsid w:val="665B74A6"/>
    <w:rsid w:val="665F9604"/>
    <w:rsid w:val="666329B1"/>
    <w:rsid w:val="666B0897"/>
    <w:rsid w:val="6673CA8E"/>
    <w:rsid w:val="667BF8F8"/>
    <w:rsid w:val="667ED509"/>
    <w:rsid w:val="6685D1F2"/>
    <w:rsid w:val="668FC9F5"/>
    <w:rsid w:val="668FEEC5"/>
    <w:rsid w:val="669155F8"/>
    <w:rsid w:val="6691C6AA"/>
    <w:rsid w:val="6695FB10"/>
    <w:rsid w:val="669DC2A3"/>
    <w:rsid w:val="66A78B63"/>
    <w:rsid w:val="66C27571"/>
    <w:rsid w:val="66CFF6D6"/>
    <w:rsid w:val="66D1B6A4"/>
    <w:rsid w:val="66E1D439"/>
    <w:rsid w:val="66E85FFC"/>
    <w:rsid w:val="66F02DD6"/>
    <w:rsid w:val="66F0B038"/>
    <w:rsid w:val="66F844E5"/>
    <w:rsid w:val="6715C758"/>
    <w:rsid w:val="671A053B"/>
    <w:rsid w:val="671DF970"/>
    <w:rsid w:val="672BD67D"/>
    <w:rsid w:val="672D4D11"/>
    <w:rsid w:val="672D715F"/>
    <w:rsid w:val="673A45AB"/>
    <w:rsid w:val="673FE95A"/>
    <w:rsid w:val="675623D3"/>
    <w:rsid w:val="675B8C71"/>
    <w:rsid w:val="6765BA2F"/>
    <w:rsid w:val="678206C5"/>
    <w:rsid w:val="67869B44"/>
    <w:rsid w:val="67902928"/>
    <w:rsid w:val="6799A4F5"/>
    <w:rsid w:val="679F2FE6"/>
    <w:rsid w:val="67A34390"/>
    <w:rsid w:val="67A7C50F"/>
    <w:rsid w:val="67AFD584"/>
    <w:rsid w:val="67B060C4"/>
    <w:rsid w:val="67B81F40"/>
    <w:rsid w:val="67C70A1C"/>
    <w:rsid w:val="67C74729"/>
    <w:rsid w:val="67CBDDE4"/>
    <w:rsid w:val="67CC7D43"/>
    <w:rsid w:val="67D23904"/>
    <w:rsid w:val="67DBF4FF"/>
    <w:rsid w:val="67DF0FD5"/>
    <w:rsid w:val="67F304EC"/>
    <w:rsid w:val="67F59741"/>
    <w:rsid w:val="680A7A06"/>
    <w:rsid w:val="680DC3D3"/>
    <w:rsid w:val="681164AF"/>
    <w:rsid w:val="68120DAF"/>
    <w:rsid w:val="682AB8C8"/>
    <w:rsid w:val="682ADB73"/>
    <w:rsid w:val="68302A09"/>
    <w:rsid w:val="6832C7D1"/>
    <w:rsid w:val="6839ED89"/>
    <w:rsid w:val="683D0EC7"/>
    <w:rsid w:val="68448681"/>
    <w:rsid w:val="68465540"/>
    <w:rsid w:val="68563538"/>
    <w:rsid w:val="685FBC9D"/>
    <w:rsid w:val="68630705"/>
    <w:rsid w:val="68659DA9"/>
    <w:rsid w:val="6865F074"/>
    <w:rsid w:val="687747E3"/>
    <w:rsid w:val="68797363"/>
    <w:rsid w:val="6887865E"/>
    <w:rsid w:val="688AF3A6"/>
    <w:rsid w:val="688D06EC"/>
    <w:rsid w:val="689009B4"/>
    <w:rsid w:val="6893A41D"/>
    <w:rsid w:val="68A3C939"/>
    <w:rsid w:val="68ADA468"/>
    <w:rsid w:val="68B49703"/>
    <w:rsid w:val="68B924BF"/>
    <w:rsid w:val="68BDDA17"/>
    <w:rsid w:val="68C2FBC1"/>
    <w:rsid w:val="68CA4884"/>
    <w:rsid w:val="68E4D6CA"/>
    <w:rsid w:val="68EBE59E"/>
    <w:rsid w:val="68F6175E"/>
    <w:rsid w:val="68F7CFDA"/>
    <w:rsid w:val="68F90708"/>
    <w:rsid w:val="6903EABD"/>
    <w:rsid w:val="69171A24"/>
    <w:rsid w:val="691E2F8F"/>
    <w:rsid w:val="691E310F"/>
    <w:rsid w:val="692FDD1F"/>
    <w:rsid w:val="6934880C"/>
    <w:rsid w:val="6936D94A"/>
    <w:rsid w:val="693D4953"/>
    <w:rsid w:val="695057E5"/>
    <w:rsid w:val="69554771"/>
    <w:rsid w:val="6960855B"/>
    <w:rsid w:val="696380FE"/>
    <w:rsid w:val="6968FA0F"/>
    <w:rsid w:val="6969BD0D"/>
    <w:rsid w:val="696B480F"/>
    <w:rsid w:val="696CBED6"/>
    <w:rsid w:val="69709885"/>
    <w:rsid w:val="69765EA0"/>
    <w:rsid w:val="697CE1F1"/>
    <w:rsid w:val="698889C1"/>
    <w:rsid w:val="698C2957"/>
    <w:rsid w:val="6994404B"/>
    <w:rsid w:val="699C09F2"/>
    <w:rsid w:val="69A480BE"/>
    <w:rsid w:val="69A6787F"/>
    <w:rsid w:val="69A8F70A"/>
    <w:rsid w:val="69A92E8A"/>
    <w:rsid w:val="69B30ADE"/>
    <w:rsid w:val="69BEA09E"/>
    <w:rsid w:val="69C02A86"/>
    <w:rsid w:val="69C5C389"/>
    <w:rsid w:val="69CC0745"/>
    <w:rsid w:val="69D5C1F5"/>
    <w:rsid w:val="69DAB8D2"/>
    <w:rsid w:val="69E777B9"/>
    <w:rsid w:val="69E880D3"/>
    <w:rsid w:val="69ECE5AF"/>
    <w:rsid w:val="69FD296A"/>
    <w:rsid w:val="6A0C4592"/>
    <w:rsid w:val="6A0EBA7F"/>
    <w:rsid w:val="6A16B655"/>
    <w:rsid w:val="6A1A2445"/>
    <w:rsid w:val="6A1F39E6"/>
    <w:rsid w:val="6A377AFF"/>
    <w:rsid w:val="6A391F70"/>
    <w:rsid w:val="6A407BCA"/>
    <w:rsid w:val="6A4456C4"/>
    <w:rsid w:val="6A4AF7A6"/>
    <w:rsid w:val="6A4B336D"/>
    <w:rsid w:val="6A501AFD"/>
    <w:rsid w:val="6A53FA25"/>
    <w:rsid w:val="6A5981FF"/>
    <w:rsid w:val="6A5AEDBF"/>
    <w:rsid w:val="6A5CFFDF"/>
    <w:rsid w:val="6A628C40"/>
    <w:rsid w:val="6A6853E2"/>
    <w:rsid w:val="6A6C366B"/>
    <w:rsid w:val="6A6D9D8F"/>
    <w:rsid w:val="6A6DDB2B"/>
    <w:rsid w:val="6A763A4B"/>
    <w:rsid w:val="6A7645E8"/>
    <w:rsid w:val="6A798BEB"/>
    <w:rsid w:val="6A7EDCF3"/>
    <w:rsid w:val="6A82BFF0"/>
    <w:rsid w:val="6A86C56D"/>
    <w:rsid w:val="6A90946F"/>
    <w:rsid w:val="6A9577F9"/>
    <w:rsid w:val="6A9A0C58"/>
    <w:rsid w:val="6AA2EFA0"/>
    <w:rsid w:val="6AA4B0C9"/>
    <w:rsid w:val="6AA80844"/>
    <w:rsid w:val="6AB53691"/>
    <w:rsid w:val="6ABCC634"/>
    <w:rsid w:val="6AC47A0D"/>
    <w:rsid w:val="6AC57623"/>
    <w:rsid w:val="6AC85E51"/>
    <w:rsid w:val="6AD0953F"/>
    <w:rsid w:val="6AD0BD58"/>
    <w:rsid w:val="6AD170BF"/>
    <w:rsid w:val="6AF23816"/>
    <w:rsid w:val="6AF2F847"/>
    <w:rsid w:val="6AF4ED1D"/>
    <w:rsid w:val="6AFC7184"/>
    <w:rsid w:val="6AFD65AB"/>
    <w:rsid w:val="6AFE7074"/>
    <w:rsid w:val="6B0C9308"/>
    <w:rsid w:val="6B0D927A"/>
    <w:rsid w:val="6B0E5243"/>
    <w:rsid w:val="6B330B52"/>
    <w:rsid w:val="6B33301C"/>
    <w:rsid w:val="6B339A09"/>
    <w:rsid w:val="6B3560B3"/>
    <w:rsid w:val="6B3DFA2C"/>
    <w:rsid w:val="6B4896C9"/>
    <w:rsid w:val="6B613C19"/>
    <w:rsid w:val="6B6F3641"/>
    <w:rsid w:val="6B71FBF6"/>
    <w:rsid w:val="6B722EAA"/>
    <w:rsid w:val="6B73635E"/>
    <w:rsid w:val="6B743B10"/>
    <w:rsid w:val="6B7E0B1B"/>
    <w:rsid w:val="6B8FC236"/>
    <w:rsid w:val="6B93AB0F"/>
    <w:rsid w:val="6B9529CF"/>
    <w:rsid w:val="6B9D92E6"/>
    <w:rsid w:val="6BA98032"/>
    <w:rsid w:val="6BADB710"/>
    <w:rsid w:val="6BB8C8AB"/>
    <w:rsid w:val="6BBA0C9A"/>
    <w:rsid w:val="6BBB340D"/>
    <w:rsid w:val="6BBF762C"/>
    <w:rsid w:val="6BC1D3BB"/>
    <w:rsid w:val="6BCF0F22"/>
    <w:rsid w:val="6BD2ACB9"/>
    <w:rsid w:val="6BD50D10"/>
    <w:rsid w:val="6BDB7F40"/>
    <w:rsid w:val="6BE9C5B4"/>
    <w:rsid w:val="6BEE40B7"/>
    <w:rsid w:val="6BF405E5"/>
    <w:rsid w:val="6BF845DA"/>
    <w:rsid w:val="6BFAAD5F"/>
    <w:rsid w:val="6C028996"/>
    <w:rsid w:val="6C069748"/>
    <w:rsid w:val="6C0D0CC7"/>
    <w:rsid w:val="6C100AB0"/>
    <w:rsid w:val="6C116233"/>
    <w:rsid w:val="6C1D8C26"/>
    <w:rsid w:val="6C27C579"/>
    <w:rsid w:val="6C2B8E61"/>
    <w:rsid w:val="6C2ECD8E"/>
    <w:rsid w:val="6C346077"/>
    <w:rsid w:val="6C35B449"/>
    <w:rsid w:val="6C4EAEF6"/>
    <w:rsid w:val="6C5BF10E"/>
    <w:rsid w:val="6C600466"/>
    <w:rsid w:val="6C721358"/>
    <w:rsid w:val="6C82F998"/>
    <w:rsid w:val="6C8ADABE"/>
    <w:rsid w:val="6C905D27"/>
    <w:rsid w:val="6C9C44A0"/>
    <w:rsid w:val="6C9CE5EA"/>
    <w:rsid w:val="6C9F27FF"/>
    <w:rsid w:val="6CA688A4"/>
    <w:rsid w:val="6CAB14C9"/>
    <w:rsid w:val="6CB486B7"/>
    <w:rsid w:val="6CC490B0"/>
    <w:rsid w:val="6CC84DD5"/>
    <w:rsid w:val="6CCEC235"/>
    <w:rsid w:val="6CE01E76"/>
    <w:rsid w:val="6CF22E44"/>
    <w:rsid w:val="6CFD4830"/>
    <w:rsid w:val="6D160C92"/>
    <w:rsid w:val="6D243592"/>
    <w:rsid w:val="6D2B698A"/>
    <w:rsid w:val="6D3B1C1D"/>
    <w:rsid w:val="6D464FF0"/>
    <w:rsid w:val="6D47AC1C"/>
    <w:rsid w:val="6D4C28CF"/>
    <w:rsid w:val="6D502093"/>
    <w:rsid w:val="6D54FDC9"/>
    <w:rsid w:val="6D611798"/>
    <w:rsid w:val="6D65BD64"/>
    <w:rsid w:val="6D6DA674"/>
    <w:rsid w:val="6D6EAAF7"/>
    <w:rsid w:val="6D71CB25"/>
    <w:rsid w:val="6D7E5D4A"/>
    <w:rsid w:val="6D85C236"/>
    <w:rsid w:val="6D92EC4D"/>
    <w:rsid w:val="6DA695E5"/>
    <w:rsid w:val="6DAC8FF6"/>
    <w:rsid w:val="6DB0240A"/>
    <w:rsid w:val="6DB1B4BA"/>
    <w:rsid w:val="6DB839CF"/>
    <w:rsid w:val="6DDA04CC"/>
    <w:rsid w:val="6DE29AB3"/>
    <w:rsid w:val="6DED4085"/>
    <w:rsid w:val="6DED529E"/>
    <w:rsid w:val="6DFE5600"/>
    <w:rsid w:val="6E0C7250"/>
    <w:rsid w:val="6E14A5FD"/>
    <w:rsid w:val="6E1DA08D"/>
    <w:rsid w:val="6E1F7705"/>
    <w:rsid w:val="6E1FD0CD"/>
    <w:rsid w:val="6E2EF31A"/>
    <w:rsid w:val="6E3025D2"/>
    <w:rsid w:val="6E3C8965"/>
    <w:rsid w:val="6E4D2E71"/>
    <w:rsid w:val="6E5207CB"/>
    <w:rsid w:val="6E549F3D"/>
    <w:rsid w:val="6E66DF09"/>
    <w:rsid w:val="6E771060"/>
    <w:rsid w:val="6E7818B6"/>
    <w:rsid w:val="6E7C4D6F"/>
    <w:rsid w:val="6E7E670B"/>
    <w:rsid w:val="6E81E642"/>
    <w:rsid w:val="6E88B260"/>
    <w:rsid w:val="6E8F51F6"/>
    <w:rsid w:val="6E97A42C"/>
    <w:rsid w:val="6E986565"/>
    <w:rsid w:val="6E9EB39A"/>
    <w:rsid w:val="6EB2BEB0"/>
    <w:rsid w:val="6EC662A8"/>
    <w:rsid w:val="6ECFDB70"/>
    <w:rsid w:val="6ED04C25"/>
    <w:rsid w:val="6ED661D9"/>
    <w:rsid w:val="6EDA8500"/>
    <w:rsid w:val="6EDFF87D"/>
    <w:rsid w:val="6EE222A5"/>
    <w:rsid w:val="6EE5C367"/>
    <w:rsid w:val="6EEBB93E"/>
    <w:rsid w:val="6EEE8BC6"/>
    <w:rsid w:val="6EF2455E"/>
    <w:rsid w:val="6F171B56"/>
    <w:rsid w:val="6F180524"/>
    <w:rsid w:val="6F22E52A"/>
    <w:rsid w:val="6F2A9D68"/>
    <w:rsid w:val="6F2B6C14"/>
    <w:rsid w:val="6F2F4784"/>
    <w:rsid w:val="6F315583"/>
    <w:rsid w:val="6F31DA3D"/>
    <w:rsid w:val="6F324746"/>
    <w:rsid w:val="6F33923E"/>
    <w:rsid w:val="6F34886B"/>
    <w:rsid w:val="6F363D8F"/>
    <w:rsid w:val="6F3ABA1A"/>
    <w:rsid w:val="6F40717F"/>
    <w:rsid w:val="6F459CD5"/>
    <w:rsid w:val="6F4D74E6"/>
    <w:rsid w:val="6F4FD89C"/>
    <w:rsid w:val="6F5D7421"/>
    <w:rsid w:val="6F5D8581"/>
    <w:rsid w:val="6F6AC889"/>
    <w:rsid w:val="6F7905E4"/>
    <w:rsid w:val="6F79F5B9"/>
    <w:rsid w:val="6F7AC7B7"/>
    <w:rsid w:val="6F7CFFAA"/>
    <w:rsid w:val="6F9576A2"/>
    <w:rsid w:val="6FA3030B"/>
    <w:rsid w:val="6FA7962F"/>
    <w:rsid w:val="6FB51961"/>
    <w:rsid w:val="6FBA9F05"/>
    <w:rsid w:val="6FBBA66A"/>
    <w:rsid w:val="6FCA1638"/>
    <w:rsid w:val="6FCB30A6"/>
    <w:rsid w:val="6FDFC975"/>
    <w:rsid w:val="6FE34E90"/>
    <w:rsid w:val="6FEFBD94"/>
    <w:rsid w:val="6FFAAF47"/>
    <w:rsid w:val="6FFF46CA"/>
    <w:rsid w:val="700529C2"/>
    <w:rsid w:val="7005ACBF"/>
    <w:rsid w:val="700CF30F"/>
    <w:rsid w:val="7015CA07"/>
    <w:rsid w:val="7017B55D"/>
    <w:rsid w:val="7019CD6D"/>
    <w:rsid w:val="703B9803"/>
    <w:rsid w:val="704DFE5D"/>
    <w:rsid w:val="7055C7B7"/>
    <w:rsid w:val="7058626B"/>
    <w:rsid w:val="7059C622"/>
    <w:rsid w:val="706579B9"/>
    <w:rsid w:val="70781071"/>
    <w:rsid w:val="7078A31D"/>
    <w:rsid w:val="7078D9AE"/>
    <w:rsid w:val="707B8A7C"/>
    <w:rsid w:val="70805CD9"/>
    <w:rsid w:val="7080762C"/>
    <w:rsid w:val="7084F816"/>
    <w:rsid w:val="7085F491"/>
    <w:rsid w:val="708770B0"/>
    <w:rsid w:val="7091BEAD"/>
    <w:rsid w:val="70B7CF17"/>
    <w:rsid w:val="70CF1C85"/>
    <w:rsid w:val="70E05C3B"/>
    <w:rsid w:val="70ED1924"/>
    <w:rsid w:val="70F1CF2B"/>
    <w:rsid w:val="70F1DF63"/>
    <w:rsid w:val="70FB0441"/>
    <w:rsid w:val="70FBA9BE"/>
    <w:rsid w:val="70FC5724"/>
    <w:rsid w:val="71121AFC"/>
    <w:rsid w:val="711609F4"/>
    <w:rsid w:val="711AE14A"/>
    <w:rsid w:val="711EE0C9"/>
    <w:rsid w:val="712256BC"/>
    <w:rsid w:val="7123C35F"/>
    <w:rsid w:val="7123F90C"/>
    <w:rsid w:val="712686CB"/>
    <w:rsid w:val="7127A64B"/>
    <w:rsid w:val="712807FA"/>
    <w:rsid w:val="7134CCB8"/>
    <w:rsid w:val="7144DFB9"/>
    <w:rsid w:val="714C8EC9"/>
    <w:rsid w:val="714DE4F9"/>
    <w:rsid w:val="714F9CAB"/>
    <w:rsid w:val="715B96D5"/>
    <w:rsid w:val="715BE9E4"/>
    <w:rsid w:val="7161AFEC"/>
    <w:rsid w:val="7175B422"/>
    <w:rsid w:val="71775D45"/>
    <w:rsid w:val="7178B3DE"/>
    <w:rsid w:val="717C7107"/>
    <w:rsid w:val="718339FE"/>
    <w:rsid w:val="7185B3BB"/>
    <w:rsid w:val="7189039F"/>
    <w:rsid w:val="718ABDAE"/>
    <w:rsid w:val="718C56BF"/>
    <w:rsid w:val="7197B158"/>
    <w:rsid w:val="719D9C0C"/>
    <w:rsid w:val="719E5CEA"/>
    <w:rsid w:val="71AF07D3"/>
    <w:rsid w:val="71B8D9B2"/>
    <w:rsid w:val="71BB4F0E"/>
    <w:rsid w:val="71BFFB56"/>
    <w:rsid w:val="71C55DA1"/>
    <w:rsid w:val="71CF7C7F"/>
    <w:rsid w:val="71D443D4"/>
    <w:rsid w:val="71D6C87A"/>
    <w:rsid w:val="71DACEAF"/>
    <w:rsid w:val="71E987B8"/>
    <w:rsid w:val="71FA303C"/>
    <w:rsid w:val="720ECB0F"/>
    <w:rsid w:val="7211305F"/>
    <w:rsid w:val="7217E36E"/>
    <w:rsid w:val="7226FB99"/>
    <w:rsid w:val="722FB92A"/>
    <w:rsid w:val="7232EAFE"/>
    <w:rsid w:val="72363D4B"/>
    <w:rsid w:val="725E0742"/>
    <w:rsid w:val="7266CE83"/>
    <w:rsid w:val="72679F83"/>
    <w:rsid w:val="72704AF3"/>
    <w:rsid w:val="72720F1D"/>
    <w:rsid w:val="7272489F"/>
    <w:rsid w:val="7290C67D"/>
    <w:rsid w:val="7297BE00"/>
    <w:rsid w:val="72A0DCBB"/>
    <w:rsid w:val="72A3FF98"/>
    <w:rsid w:val="72AF7885"/>
    <w:rsid w:val="72B0AC82"/>
    <w:rsid w:val="72B0B878"/>
    <w:rsid w:val="72B3CBCE"/>
    <w:rsid w:val="72B58168"/>
    <w:rsid w:val="72B63C65"/>
    <w:rsid w:val="72B6B3D1"/>
    <w:rsid w:val="72CF0836"/>
    <w:rsid w:val="72CFAFF3"/>
    <w:rsid w:val="72DB33B9"/>
    <w:rsid w:val="72DBA31B"/>
    <w:rsid w:val="72E3A740"/>
    <w:rsid w:val="72F0F9AC"/>
    <w:rsid w:val="72F938CA"/>
    <w:rsid w:val="72FE2E13"/>
    <w:rsid w:val="73005C4B"/>
    <w:rsid w:val="7335308F"/>
    <w:rsid w:val="733AA568"/>
    <w:rsid w:val="73412338"/>
    <w:rsid w:val="734219ED"/>
    <w:rsid w:val="7343D02F"/>
    <w:rsid w:val="7344E73E"/>
    <w:rsid w:val="7346E871"/>
    <w:rsid w:val="7346E8DE"/>
    <w:rsid w:val="734C066A"/>
    <w:rsid w:val="7362885D"/>
    <w:rsid w:val="736EC302"/>
    <w:rsid w:val="737ED5B7"/>
    <w:rsid w:val="737ED72C"/>
    <w:rsid w:val="7383DA2A"/>
    <w:rsid w:val="738DC853"/>
    <w:rsid w:val="738E89D6"/>
    <w:rsid w:val="73973FAD"/>
    <w:rsid w:val="739F6C1F"/>
    <w:rsid w:val="739F8B23"/>
    <w:rsid w:val="73AC344B"/>
    <w:rsid w:val="73B1A8F9"/>
    <w:rsid w:val="73BA95B8"/>
    <w:rsid w:val="73CC7575"/>
    <w:rsid w:val="73CF89BF"/>
    <w:rsid w:val="73D466A1"/>
    <w:rsid w:val="73DBF7BE"/>
    <w:rsid w:val="73E795E3"/>
    <w:rsid w:val="73F875B9"/>
    <w:rsid w:val="73FFBAB3"/>
    <w:rsid w:val="74002837"/>
    <w:rsid w:val="7403EB1E"/>
    <w:rsid w:val="7405FF1E"/>
    <w:rsid w:val="740B637E"/>
    <w:rsid w:val="74148CDB"/>
    <w:rsid w:val="7419D75C"/>
    <w:rsid w:val="742CE339"/>
    <w:rsid w:val="74334CB4"/>
    <w:rsid w:val="743AB1A5"/>
    <w:rsid w:val="743D347B"/>
    <w:rsid w:val="74628A61"/>
    <w:rsid w:val="746306B1"/>
    <w:rsid w:val="7464D026"/>
    <w:rsid w:val="746EDB9F"/>
    <w:rsid w:val="74724E32"/>
    <w:rsid w:val="749CEBB8"/>
    <w:rsid w:val="74A970DB"/>
    <w:rsid w:val="74B40DB9"/>
    <w:rsid w:val="74B5AB14"/>
    <w:rsid w:val="74B8547B"/>
    <w:rsid w:val="74BBBF73"/>
    <w:rsid w:val="74D51827"/>
    <w:rsid w:val="74D8143D"/>
    <w:rsid w:val="74D8EF1D"/>
    <w:rsid w:val="74DAF51B"/>
    <w:rsid w:val="74E19171"/>
    <w:rsid w:val="74E7640D"/>
    <w:rsid w:val="74E86D28"/>
    <w:rsid w:val="74EBB400"/>
    <w:rsid w:val="74F079CC"/>
    <w:rsid w:val="750349E7"/>
    <w:rsid w:val="7522044D"/>
    <w:rsid w:val="7522770B"/>
    <w:rsid w:val="75247661"/>
    <w:rsid w:val="753D1341"/>
    <w:rsid w:val="75414D4E"/>
    <w:rsid w:val="75419E86"/>
    <w:rsid w:val="7561B092"/>
    <w:rsid w:val="7561EA99"/>
    <w:rsid w:val="75659F39"/>
    <w:rsid w:val="756A7F4A"/>
    <w:rsid w:val="756F2E8A"/>
    <w:rsid w:val="75790C10"/>
    <w:rsid w:val="757C61C2"/>
    <w:rsid w:val="7581C14A"/>
    <w:rsid w:val="759045E1"/>
    <w:rsid w:val="7593E4E4"/>
    <w:rsid w:val="759EC596"/>
    <w:rsid w:val="75A0E61B"/>
    <w:rsid w:val="75A77191"/>
    <w:rsid w:val="75BE16FC"/>
    <w:rsid w:val="75C05DA3"/>
    <w:rsid w:val="75DC7F4A"/>
    <w:rsid w:val="75E2FC72"/>
    <w:rsid w:val="75E82225"/>
    <w:rsid w:val="75F87AE7"/>
    <w:rsid w:val="75FAB06C"/>
    <w:rsid w:val="75FB5DBF"/>
    <w:rsid w:val="75FCB276"/>
    <w:rsid w:val="76079630"/>
    <w:rsid w:val="760E9BA6"/>
    <w:rsid w:val="76103CB5"/>
    <w:rsid w:val="761434EB"/>
    <w:rsid w:val="763472F2"/>
    <w:rsid w:val="76402571"/>
    <w:rsid w:val="765029E7"/>
    <w:rsid w:val="765DAEC4"/>
    <w:rsid w:val="765F2D3F"/>
    <w:rsid w:val="7677E249"/>
    <w:rsid w:val="767F5C0A"/>
    <w:rsid w:val="768316B0"/>
    <w:rsid w:val="76848842"/>
    <w:rsid w:val="769247EF"/>
    <w:rsid w:val="76A03876"/>
    <w:rsid w:val="76A18707"/>
    <w:rsid w:val="76A22ECD"/>
    <w:rsid w:val="76A29796"/>
    <w:rsid w:val="76AF6B4D"/>
    <w:rsid w:val="76B1104F"/>
    <w:rsid w:val="76B18E35"/>
    <w:rsid w:val="76B272CF"/>
    <w:rsid w:val="76BD4708"/>
    <w:rsid w:val="76BEFCE8"/>
    <w:rsid w:val="76CF992A"/>
    <w:rsid w:val="76D3635A"/>
    <w:rsid w:val="76DA564B"/>
    <w:rsid w:val="76E18185"/>
    <w:rsid w:val="76E4DF1B"/>
    <w:rsid w:val="76E6A676"/>
    <w:rsid w:val="76E893C8"/>
    <w:rsid w:val="76E8EE2C"/>
    <w:rsid w:val="76ECC20B"/>
    <w:rsid w:val="770939CC"/>
    <w:rsid w:val="770D762D"/>
    <w:rsid w:val="770DD42B"/>
    <w:rsid w:val="770F7360"/>
    <w:rsid w:val="7713D5E9"/>
    <w:rsid w:val="771435FA"/>
    <w:rsid w:val="7718318B"/>
    <w:rsid w:val="772AC160"/>
    <w:rsid w:val="772D3118"/>
    <w:rsid w:val="77351717"/>
    <w:rsid w:val="773D61B6"/>
    <w:rsid w:val="776022EE"/>
    <w:rsid w:val="7766B933"/>
    <w:rsid w:val="77728187"/>
    <w:rsid w:val="777E5ED9"/>
    <w:rsid w:val="77801F85"/>
    <w:rsid w:val="77996D8E"/>
    <w:rsid w:val="779C183A"/>
    <w:rsid w:val="77B56E94"/>
    <w:rsid w:val="77C2A781"/>
    <w:rsid w:val="77C445D5"/>
    <w:rsid w:val="77CB2037"/>
    <w:rsid w:val="77EF6639"/>
    <w:rsid w:val="77F6BFFE"/>
    <w:rsid w:val="77FB3C61"/>
    <w:rsid w:val="780D9BA6"/>
    <w:rsid w:val="78116490"/>
    <w:rsid w:val="7813BBA9"/>
    <w:rsid w:val="781B6076"/>
    <w:rsid w:val="781EA09F"/>
    <w:rsid w:val="78208ED3"/>
    <w:rsid w:val="7820F441"/>
    <w:rsid w:val="7829CC0A"/>
    <w:rsid w:val="782FB002"/>
    <w:rsid w:val="7833CCAE"/>
    <w:rsid w:val="783E139F"/>
    <w:rsid w:val="783F60AC"/>
    <w:rsid w:val="7840B5BD"/>
    <w:rsid w:val="7842B1CD"/>
    <w:rsid w:val="784DF2B8"/>
    <w:rsid w:val="7852FFF3"/>
    <w:rsid w:val="7853F579"/>
    <w:rsid w:val="785B8D58"/>
    <w:rsid w:val="785DF362"/>
    <w:rsid w:val="7869BEBB"/>
    <w:rsid w:val="786C464E"/>
    <w:rsid w:val="78800E37"/>
    <w:rsid w:val="78825583"/>
    <w:rsid w:val="78999EBB"/>
    <w:rsid w:val="78A0818E"/>
    <w:rsid w:val="78A0D41E"/>
    <w:rsid w:val="78B016AC"/>
    <w:rsid w:val="78B0344E"/>
    <w:rsid w:val="78B8A609"/>
    <w:rsid w:val="78D24B14"/>
    <w:rsid w:val="78E4E109"/>
    <w:rsid w:val="78EC0C8F"/>
    <w:rsid w:val="78EC106E"/>
    <w:rsid w:val="78F529CD"/>
    <w:rsid w:val="78FEFBDB"/>
    <w:rsid w:val="790D99D7"/>
    <w:rsid w:val="790E3B02"/>
    <w:rsid w:val="791109F0"/>
    <w:rsid w:val="79147470"/>
    <w:rsid w:val="791F76C8"/>
    <w:rsid w:val="791FC7F6"/>
    <w:rsid w:val="7920D3EA"/>
    <w:rsid w:val="79214B5C"/>
    <w:rsid w:val="792E6427"/>
    <w:rsid w:val="792F13BA"/>
    <w:rsid w:val="793B3258"/>
    <w:rsid w:val="794F25FE"/>
    <w:rsid w:val="7953A377"/>
    <w:rsid w:val="7956B1D9"/>
    <w:rsid w:val="795741C4"/>
    <w:rsid w:val="7968D61A"/>
    <w:rsid w:val="796C2DA8"/>
    <w:rsid w:val="797EE944"/>
    <w:rsid w:val="7986C1EB"/>
    <w:rsid w:val="7987CF47"/>
    <w:rsid w:val="798923D5"/>
    <w:rsid w:val="7989A3D3"/>
    <w:rsid w:val="798AF0E8"/>
    <w:rsid w:val="799014CD"/>
    <w:rsid w:val="79942763"/>
    <w:rsid w:val="7997B6DA"/>
    <w:rsid w:val="7998FD13"/>
    <w:rsid w:val="79B172D7"/>
    <w:rsid w:val="79B259A7"/>
    <w:rsid w:val="79B47364"/>
    <w:rsid w:val="79C68ED8"/>
    <w:rsid w:val="79D23791"/>
    <w:rsid w:val="79D73754"/>
    <w:rsid w:val="79D9C5F2"/>
    <w:rsid w:val="79DC78A8"/>
    <w:rsid w:val="79E42F8C"/>
    <w:rsid w:val="79E8C377"/>
    <w:rsid w:val="79F342E0"/>
    <w:rsid w:val="79F4770A"/>
    <w:rsid w:val="7A15864B"/>
    <w:rsid w:val="7A208F4A"/>
    <w:rsid w:val="7A24603C"/>
    <w:rsid w:val="7A31F306"/>
    <w:rsid w:val="7A4635F6"/>
    <w:rsid w:val="7A4F0E45"/>
    <w:rsid w:val="7A628932"/>
    <w:rsid w:val="7A72D035"/>
    <w:rsid w:val="7A733040"/>
    <w:rsid w:val="7A7BC4A1"/>
    <w:rsid w:val="7A7FB173"/>
    <w:rsid w:val="7A88FA77"/>
    <w:rsid w:val="7A8DC8F3"/>
    <w:rsid w:val="7A8FC5B9"/>
    <w:rsid w:val="7A940100"/>
    <w:rsid w:val="7A9981C1"/>
    <w:rsid w:val="7A9AEFF2"/>
    <w:rsid w:val="7A9F2E07"/>
    <w:rsid w:val="7AA651F2"/>
    <w:rsid w:val="7AAEB116"/>
    <w:rsid w:val="7AC2FF6F"/>
    <w:rsid w:val="7AC337C2"/>
    <w:rsid w:val="7AC5D6C6"/>
    <w:rsid w:val="7AD53D6F"/>
    <w:rsid w:val="7AE3E99A"/>
    <w:rsid w:val="7AE950C4"/>
    <w:rsid w:val="7AECBE98"/>
    <w:rsid w:val="7AF0178C"/>
    <w:rsid w:val="7AF2333A"/>
    <w:rsid w:val="7AF412A7"/>
    <w:rsid w:val="7AF60FA1"/>
    <w:rsid w:val="7AFBF387"/>
    <w:rsid w:val="7AFDCDFB"/>
    <w:rsid w:val="7B0099AA"/>
    <w:rsid w:val="7B098121"/>
    <w:rsid w:val="7B17BB94"/>
    <w:rsid w:val="7B18FAEC"/>
    <w:rsid w:val="7B2287AF"/>
    <w:rsid w:val="7B244D7C"/>
    <w:rsid w:val="7B2BB418"/>
    <w:rsid w:val="7B316EE4"/>
    <w:rsid w:val="7B32DA0D"/>
    <w:rsid w:val="7B3DBD2B"/>
    <w:rsid w:val="7B421BB3"/>
    <w:rsid w:val="7B481E11"/>
    <w:rsid w:val="7B52A6FB"/>
    <w:rsid w:val="7B644E55"/>
    <w:rsid w:val="7B68683F"/>
    <w:rsid w:val="7B6B0991"/>
    <w:rsid w:val="7B6CE8A3"/>
    <w:rsid w:val="7B7A05FA"/>
    <w:rsid w:val="7B928382"/>
    <w:rsid w:val="7BA0333D"/>
    <w:rsid w:val="7BACD34C"/>
    <w:rsid w:val="7BB35C45"/>
    <w:rsid w:val="7BBE8B16"/>
    <w:rsid w:val="7BC06623"/>
    <w:rsid w:val="7BC1AFE1"/>
    <w:rsid w:val="7BCA3538"/>
    <w:rsid w:val="7BCC5792"/>
    <w:rsid w:val="7BDA4A53"/>
    <w:rsid w:val="7BE22570"/>
    <w:rsid w:val="7BE7488A"/>
    <w:rsid w:val="7BE840E6"/>
    <w:rsid w:val="7BEA467B"/>
    <w:rsid w:val="7BF49689"/>
    <w:rsid w:val="7C3C0A95"/>
    <w:rsid w:val="7C448EED"/>
    <w:rsid w:val="7C50770F"/>
    <w:rsid w:val="7C535C0C"/>
    <w:rsid w:val="7C55F8B8"/>
    <w:rsid w:val="7C60D3AB"/>
    <w:rsid w:val="7C66CC90"/>
    <w:rsid w:val="7C69FC12"/>
    <w:rsid w:val="7C7B2564"/>
    <w:rsid w:val="7C81D1E4"/>
    <w:rsid w:val="7C856141"/>
    <w:rsid w:val="7C8DE68D"/>
    <w:rsid w:val="7C8FB178"/>
    <w:rsid w:val="7C963CA4"/>
    <w:rsid w:val="7CB60149"/>
    <w:rsid w:val="7CB8F9A3"/>
    <w:rsid w:val="7CBA1DFD"/>
    <w:rsid w:val="7CC1268A"/>
    <w:rsid w:val="7CCA53E3"/>
    <w:rsid w:val="7CCAE132"/>
    <w:rsid w:val="7CCF51BF"/>
    <w:rsid w:val="7CE0B96D"/>
    <w:rsid w:val="7CE32760"/>
    <w:rsid w:val="7CEE5D6B"/>
    <w:rsid w:val="7CF30538"/>
    <w:rsid w:val="7D08B23F"/>
    <w:rsid w:val="7D0EB138"/>
    <w:rsid w:val="7D16C01D"/>
    <w:rsid w:val="7D1E4D40"/>
    <w:rsid w:val="7D2275A9"/>
    <w:rsid w:val="7D328CA6"/>
    <w:rsid w:val="7D37A074"/>
    <w:rsid w:val="7D3EBF14"/>
    <w:rsid w:val="7D4B648E"/>
    <w:rsid w:val="7D516EF3"/>
    <w:rsid w:val="7D5B57D8"/>
    <w:rsid w:val="7D5CFDA7"/>
    <w:rsid w:val="7D61D5D9"/>
    <w:rsid w:val="7D62D43F"/>
    <w:rsid w:val="7D677C83"/>
    <w:rsid w:val="7D753551"/>
    <w:rsid w:val="7D78EFB2"/>
    <w:rsid w:val="7D7D920F"/>
    <w:rsid w:val="7D978C04"/>
    <w:rsid w:val="7D9F8742"/>
    <w:rsid w:val="7DA14F97"/>
    <w:rsid w:val="7DAE7C34"/>
    <w:rsid w:val="7DB49AA5"/>
    <w:rsid w:val="7DB99612"/>
    <w:rsid w:val="7DC8082E"/>
    <w:rsid w:val="7DDCD4BA"/>
    <w:rsid w:val="7DE91379"/>
    <w:rsid w:val="7DF7FD80"/>
    <w:rsid w:val="7E053091"/>
    <w:rsid w:val="7E0A9A2A"/>
    <w:rsid w:val="7E0E16B9"/>
    <w:rsid w:val="7E119498"/>
    <w:rsid w:val="7E14CE66"/>
    <w:rsid w:val="7E166FC7"/>
    <w:rsid w:val="7E2022A9"/>
    <w:rsid w:val="7E2C5C43"/>
    <w:rsid w:val="7E2EEA3D"/>
    <w:rsid w:val="7E3174DC"/>
    <w:rsid w:val="7E37F246"/>
    <w:rsid w:val="7E408C0B"/>
    <w:rsid w:val="7E464416"/>
    <w:rsid w:val="7E497599"/>
    <w:rsid w:val="7E50B1E6"/>
    <w:rsid w:val="7E531346"/>
    <w:rsid w:val="7E575590"/>
    <w:rsid w:val="7E5D1BA2"/>
    <w:rsid w:val="7E606F9E"/>
    <w:rsid w:val="7E618A28"/>
    <w:rsid w:val="7E6F2D0B"/>
    <w:rsid w:val="7E839810"/>
    <w:rsid w:val="7E8EAC20"/>
    <w:rsid w:val="7E9242BA"/>
    <w:rsid w:val="7E993673"/>
    <w:rsid w:val="7EA780F8"/>
    <w:rsid w:val="7EB00D14"/>
    <w:rsid w:val="7EB09A11"/>
    <w:rsid w:val="7EB0CCDC"/>
    <w:rsid w:val="7EB201CF"/>
    <w:rsid w:val="7EB62B51"/>
    <w:rsid w:val="7EBB0FB5"/>
    <w:rsid w:val="7EBB190C"/>
    <w:rsid w:val="7EC8CA1C"/>
    <w:rsid w:val="7EC94633"/>
    <w:rsid w:val="7ECA22F0"/>
    <w:rsid w:val="7ED49CE0"/>
    <w:rsid w:val="7EDA4E7E"/>
    <w:rsid w:val="7EDD7457"/>
    <w:rsid w:val="7EE31A4D"/>
    <w:rsid w:val="7EF78A05"/>
    <w:rsid w:val="7EFA03A6"/>
    <w:rsid w:val="7F086A8D"/>
    <w:rsid w:val="7F08BDE1"/>
    <w:rsid w:val="7F0D652C"/>
    <w:rsid w:val="7F17D8A8"/>
    <w:rsid w:val="7F1FE150"/>
    <w:rsid w:val="7F309B77"/>
    <w:rsid w:val="7F315410"/>
    <w:rsid w:val="7F3734DF"/>
    <w:rsid w:val="7F374E38"/>
    <w:rsid w:val="7F457408"/>
    <w:rsid w:val="7F4A7F6F"/>
    <w:rsid w:val="7F4D934E"/>
    <w:rsid w:val="7F579838"/>
    <w:rsid w:val="7F590633"/>
    <w:rsid w:val="7F5B7617"/>
    <w:rsid w:val="7F63863B"/>
    <w:rsid w:val="7F68F1F3"/>
    <w:rsid w:val="7F6A594A"/>
    <w:rsid w:val="7F7F90F7"/>
    <w:rsid w:val="7F8924FA"/>
    <w:rsid w:val="7F9615DA"/>
    <w:rsid w:val="7F967772"/>
    <w:rsid w:val="7F9A7146"/>
    <w:rsid w:val="7FA0093C"/>
    <w:rsid w:val="7FA1B6E0"/>
    <w:rsid w:val="7FA439E6"/>
    <w:rsid w:val="7FABFF28"/>
    <w:rsid w:val="7FB009D5"/>
    <w:rsid w:val="7FB4651D"/>
    <w:rsid w:val="7FB525C7"/>
    <w:rsid w:val="7FB95316"/>
    <w:rsid w:val="7FBF4861"/>
    <w:rsid w:val="7FC66441"/>
    <w:rsid w:val="7FCAEC24"/>
    <w:rsid w:val="7FDE0159"/>
    <w:rsid w:val="7FE31C7D"/>
    <w:rsid w:val="7FEFF0E9"/>
    <w:rsid w:val="7FF0B1DA"/>
    <w:rsid w:val="7FF12444"/>
    <w:rsid w:val="7FFB8D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A1550"/>
  <w15:chartTrackingRefBased/>
  <w15:docId w15:val="{957AA1D5-3C8F-4A05-B814-CCBA0BD4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BA2"/>
    <w:pPr>
      <w:spacing w:after="240" w:line="360" w:lineRule="auto"/>
    </w:pPr>
    <w:rPr>
      <w:rFonts w:ascii="Arial" w:eastAsia="Arial" w:hAnsi="Arial" w:cs="Arial"/>
    </w:rPr>
  </w:style>
  <w:style w:type="paragraph" w:styleId="Heading1">
    <w:name w:val="heading 1"/>
    <w:basedOn w:val="Normal"/>
    <w:next w:val="Normal"/>
    <w:link w:val="Heading1Char"/>
    <w:uiPriority w:val="9"/>
    <w:qFormat/>
    <w:rsid w:val="002779F0"/>
    <w:pPr>
      <w:keepNext/>
      <w:keepLines/>
      <w:spacing w:before="360" w:after="0"/>
      <w:outlineLvl w:val="0"/>
    </w:pPr>
    <w:rPr>
      <w:color w:val="0F4761" w:themeColor="accent1" w:themeShade="BF"/>
      <w:sz w:val="36"/>
      <w:szCs w:val="36"/>
    </w:rPr>
  </w:style>
  <w:style w:type="paragraph" w:styleId="Heading2">
    <w:name w:val="heading 2"/>
    <w:basedOn w:val="Normal"/>
    <w:next w:val="Normal"/>
    <w:link w:val="Heading2Char"/>
    <w:uiPriority w:val="9"/>
    <w:unhideWhenUsed/>
    <w:qFormat/>
    <w:rsid w:val="002779F0"/>
    <w:pPr>
      <w:keepNext/>
      <w:keepLines/>
      <w:spacing w:before="480" w:after="80" w:line="278" w:lineRule="auto"/>
      <w:outlineLvl w:val="1"/>
    </w:pPr>
    <w:rPr>
      <w:color w:val="0F4761" w:themeColor="accent1" w:themeShade="BF"/>
      <w:sz w:val="28"/>
      <w:szCs w:val="28"/>
    </w:rPr>
  </w:style>
  <w:style w:type="paragraph" w:styleId="Heading3">
    <w:name w:val="heading 3"/>
    <w:basedOn w:val="Normal"/>
    <w:next w:val="Normal"/>
    <w:link w:val="Heading3Char"/>
    <w:uiPriority w:val="9"/>
    <w:unhideWhenUsed/>
    <w:qFormat/>
    <w:rsid w:val="776022EE"/>
    <w:pPr>
      <w:keepNext/>
      <w:keepLines/>
      <w:spacing w:before="160" w:after="80"/>
      <w:outlineLvl w:val="2"/>
    </w:pPr>
    <w:rPr>
      <w:color w:val="0F4761" w:themeColor="accent1" w:themeShade="BF"/>
      <w:sz w:val="28"/>
      <w:szCs w:val="28"/>
    </w:rPr>
  </w:style>
  <w:style w:type="paragraph" w:styleId="Heading4">
    <w:name w:val="heading 4"/>
    <w:basedOn w:val="Normal"/>
    <w:next w:val="Normal"/>
    <w:link w:val="Heading4Char"/>
    <w:uiPriority w:val="9"/>
    <w:unhideWhenUsed/>
    <w:qFormat/>
    <w:rsid w:val="4B29E1AF"/>
    <w:pPr>
      <w:keepNext/>
      <w:keepLines/>
      <w:spacing w:before="319" w:after="0"/>
      <w:outlineLvl w:val="3"/>
    </w:pPr>
    <w:rPr>
      <w:rFonts w:asciiTheme="minorHAnsi" w:eastAsiaTheme="majorEastAsia" w:hAnsiTheme="minorHAnsi" w:cstheme="majorBidi"/>
      <w:b/>
      <w:bCs/>
      <w:color w:val="0F4761" w:themeColor="accent1" w:themeShade="BF"/>
    </w:rPr>
  </w:style>
  <w:style w:type="paragraph" w:styleId="Heading5">
    <w:name w:val="heading 5"/>
    <w:basedOn w:val="Normal"/>
    <w:next w:val="Normal"/>
    <w:link w:val="Heading5Char"/>
    <w:uiPriority w:val="9"/>
    <w:unhideWhenUsed/>
    <w:qFormat/>
    <w:rsid w:val="776022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776022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776022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776022EE"/>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776022EE"/>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9F0"/>
    <w:rPr>
      <w:rFonts w:ascii="Arial" w:eastAsia="Arial" w:hAnsi="Arial" w:cs="Arial"/>
      <w:color w:val="0F4761" w:themeColor="accent1" w:themeShade="BF"/>
      <w:sz w:val="36"/>
      <w:szCs w:val="36"/>
    </w:rPr>
  </w:style>
  <w:style w:type="character" w:customStyle="1" w:styleId="Heading2Char">
    <w:name w:val="Heading 2 Char"/>
    <w:basedOn w:val="DefaultParagraphFont"/>
    <w:link w:val="Heading2"/>
    <w:uiPriority w:val="9"/>
    <w:rsid w:val="002779F0"/>
    <w:rPr>
      <w:rFonts w:ascii="Arial" w:eastAsia="Arial" w:hAnsi="Arial" w:cs="Arial"/>
      <w:color w:val="0F4761" w:themeColor="accent1" w:themeShade="BF"/>
      <w:sz w:val="28"/>
      <w:szCs w:val="28"/>
    </w:rPr>
  </w:style>
  <w:style w:type="character" w:customStyle="1" w:styleId="Heading3Char">
    <w:name w:val="Heading 3 Char"/>
    <w:basedOn w:val="DefaultParagraphFont"/>
    <w:link w:val="Heading3"/>
    <w:uiPriority w:val="9"/>
    <w:rsid w:val="776022EE"/>
    <w:rPr>
      <w:rFonts w:ascii="Arial" w:eastAsia="Arial" w:hAnsi="Arial" w:cs="Arial"/>
      <w:color w:val="0F4761" w:themeColor="accent1" w:themeShade="BF"/>
      <w:sz w:val="28"/>
      <w:szCs w:val="28"/>
    </w:rPr>
  </w:style>
  <w:style w:type="character" w:customStyle="1" w:styleId="Heading4Char">
    <w:name w:val="Heading 4 Char"/>
    <w:basedOn w:val="DefaultParagraphFont"/>
    <w:link w:val="Heading4"/>
    <w:uiPriority w:val="9"/>
    <w:rsid w:val="4B29E1AF"/>
    <w:rPr>
      <w:rFonts w:asciiTheme="minorHAnsi" w:eastAsiaTheme="majorEastAsia" w:hAnsiTheme="minorHAnsi" w:cstheme="majorBidi"/>
      <w:b/>
      <w:bCs/>
      <w:i w:val="0"/>
      <w:iCs w:val="0"/>
      <w:noProof w:val="0"/>
      <w:color w:val="0F4761" w:themeColor="accent1" w:themeShade="BF"/>
      <w:sz w:val="24"/>
      <w:szCs w:val="24"/>
      <w:lang w:val="en-US"/>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BA156B"/>
    <w:rPr>
      <w:rFonts w:ascii="Arial" w:eastAsia="Arial" w:hAnsi="Arial" w:cs="Arial"/>
      <w:sz w:val="48"/>
      <w:szCs w:val="48"/>
    </w:rPr>
  </w:style>
  <w:style w:type="paragraph" w:styleId="Title">
    <w:name w:val="Title"/>
    <w:basedOn w:val="Normal"/>
    <w:next w:val="Normal"/>
    <w:link w:val="TitleChar"/>
    <w:uiPriority w:val="10"/>
    <w:qFormat/>
    <w:rsid w:val="00BA156B"/>
    <w:pPr>
      <w:spacing w:after="80" w:line="240" w:lineRule="auto"/>
      <w:contextualSpacing/>
    </w:pPr>
    <w:rPr>
      <w:sz w:val="48"/>
      <w:szCs w:val="4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776022EE"/>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776022EE"/>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776022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uiPriority w:val="99"/>
    <w:unhideWhenUsed/>
    <w:rsid w:val="776022EE"/>
    <w:pPr>
      <w:tabs>
        <w:tab w:val="center" w:pos="4680"/>
        <w:tab w:val="right" w:pos="9360"/>
      </w:tabs>
      <w:spacing w:after="0"/>
    </w:pPr>
  </w:style>
  <w:style w:type="paragraph" w:styleId="Footer">
    <w:name w:val="footer"/>
    <w:basedOn w:val="Normal"/>
    <w:uiPriority w:val="99"/>
    <w:unhideWhenUsed/>
    <w:rsid w:val="776022EE"/>
    <w:pPr>
      <w:tabs>
        <w:tab w:val="center" w:pos="4680"/>
        <w:tab w:val="right" w:pos="9360"/>
      </w:tabs>
      <w:spacing w:after="0"/>
    </w:pPr>
  </w:style>
  <w:style w:type="character" w:styleId="Hyperlink">
    <w:name w:val="Hyperlink"/>
    <w:basedOn w:val="DefaultParagraphFont"/>
    <w:uiPriority w:val="99"/>
    <w:unhideWhenUsed/>
    <w:rsid w:val="776022EE"/>
    <w:rPr>
      <w:color w:val="467886"/>
      <w:u w:val="single"/>
    </w:rPr>
  </w:style>
  <w:style w:type="paragraph" w:customStyle="1" w:styleId="Tablebody">
    <w:name w:val="Table body"/>
    <w:basedOn w:val="Normal"/>
    <w:link w:val="TablebodyChar"/>
    <w:uiPriority w:val="1"/>
    <w:qFormat/>
    <w:rsid w:val="00E516B9"/>
    <w:pPr>
      <w:spacing w:after="0" w:line="240" w:lineRule="auto"/>
    </w:pPr>
    <w:rPr>
      <w:color w:val="333333"/>
      <w:sz w:val="22"/>
      <w:szCs w:val="22"/>
    </w:rPr>
  </w:style>
  <w:style w:type="character" w:customStyle="1" w:styleId="TablebodyChar">
    <w:name w:val="Table body Char"/>
    <w:basedOn w:val="DefaultParagraphFont"/>
    <w:link w:val="Tablebody"/>
    <w:uiPriority w:val="1"/>
    <w:rsid w:val="00E516B9"/>
    <w:rPr>
      <w:rFonts w:ascii="Arial" w:eastAsia="Arial" w:hAnsi="Arial" w:cs="Arial"/>
      <w:color w:val="333333"/>
      <w:sz w:val="22"/>
      <w:szCs w:val="2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3">
    <w:name w:val="Plain Table 3"/>
    <w:basedOn w:val="TableNormal"/>
    <w:uiPriority w:val="43"/>
    <w:rsid w:val="00A46F0A"/>
    <w:pPr>
      <w:spacing w:after="0" w:line="240" w:lineRule="auto"/>
    </w:pPr>
    <w:tblPr>
      <w:tblStyleRowBandSize w:val="1"/>
      <w:tblStyleColBandSize w:val="1"/>
      <w:tblCellMar>
        <w:top w:w="29" w:type="dxa"/>
        <w:bottom w:w="29" w:type="dxa"/>
      </w:tblCellMar>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val="0"/>
      </w:rPr>
      <w:tblPr>
        <w:tblCellMar>
          <w:top w:w="14" w:type="dxa"/>
          <w:left w:w="72" w:type="dxa"/>
          <w:bottom w:w="14" w:type="dxa"/>
          <w:right w:w="72" w:type="dxa"/>
        </w:tblCellMa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LineNumber">
    <w:name w:val="line number"/>
    <w:basedOn w:val="DefaultParagraphFont"/>
    <w:uiPriority w:val="99"/>
    <w:semiHidden/>
    <w:unhideWhenUsed/>
    <w:rsid w:val="000B0EF4"/>
  </w:style>
  <w:style w:type="table" w:styleId="PlainTable2">
    <w:name w:val="Plain Table 2"/>
    <w:basedOn w:val="TableNormal"/>
    <w:uiPriority w:val="42"/>
    <w:rsid w:val="0089707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14" w:type="dxa"/>
        <w:bottom w:w="14"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autoRedefine/>
    <w:uiPriority w:val="35"/>
    <w:unhideWhenUsed/>
    <w:qFormat/>
    <w:rsid w:val="003B4C19"/>
    <w:pPr>
      <w:spacing w:after="200" w:line="240" w:lineRule="auto"/>
    </w:pPr>
  </w:style>
  <w:style w:type="paragraph" w:styleId="NoSpacing">
    <w:name w:val="No Spacing"/>
    <w:uiPriority w:val="1"/>
    <w:qFormat/>
    <w:rsid w:val="00F11BA2"/>
    <w:pPr>
      <w:spacing w:after="0" w:line="240" w:lineRule="auto"/>
    </w:pPr>
    <w:rPr>
      <w:rFonts w:ascii="Arial" w:eastAsia="Arial" w:hAnsi="Arial" w:cs="Arial"/>
    </w:rPr>
  </w:style>
  <w:style w:type="paragraph" w:styleId="FootnoteText">
    <w:name w:val="footnote text"/>
    <w:basedOn w:val="Normal"/>
    <w:link w:val="FootnoteTextChar"/>
    <w:uiPriority w:val="9"/>
    <w:unhideWhenUsed/>
    <w:qFormat/>
    <w:rsid w:val="00D70C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0CF8"/>
    <w:rPr>
      <w:rFonts w:ascii="Arial" w:eastAsia="Arial" w:hAnsi="Arial" w:cs="Arial"/>
      <w:sz w:val="20"/>
      <w:szCs w:val="20"/>
    </w:rPr>
  </w:style>
  <w:style w:type="character" w:styleId="FootnoteReference">
    <w:name w:val="footnote reference"/>
    <w:basedOn w:val="DefaultParagraphFont"/>
    <w:unhideWhenUsed/>
    <w:rsid w:val="00D70CF8"/>
    <w:rPr>
      <w:vertAlign w:val="superscript"/>
    </w:rPr>
  </w:style>
  <w:style w:type="character" w:styleId="UnresolvedMention">
    <w:name w:val="Unresolved Mention"/>
    <w:basedOn w:val="DefaultParagraphFont"/>
    <w:uiPriority w:val="99"/>
    <w:semiHidden/>
    <w:unhideWhenUsed/>
    <w:rsid w:val="00B45BF9"/>
    <w:rPr>
      <w:color w:val="605E5C"/>
      <w:shd w:val="clear" w:color="auto" w:fill="E1DFDD"/>
    </w:rPr>
  </w:style>
  <w:style w:type="paragraph" w:styleId="ListParagraph">
    <w:name w:val="List Paragraph"/>
    <w:basedOn w:val="Normal"/>
    <w:uiPriority w:val="34"/>
    <w:qFormat/>
    <w:rsid w:val="00E8367E"/>
    <w:pPr>
      <w:ind w:left="720"/>
      <w:contextualSpacing/>
    </w:pPr>
  </w:style>
  <w:style w:type="character" w:styleId="CommentReference">
    <w:name w:val="annotation reference"/>
    <w:basedOn w:val="DefaultParagraphFont"/>
    <w:uiPriority w:val="99"/>
    <w:semiHidden/>
    <w:unhideWhenUsed/>
    <w:rsid w:val="002A089F"/>
    <w:rPr>
      <w:sz w:val="16"/>
      <w:szCs w:val="16"/>
    </w:rPr>
  </w:style>
  <w:style w:type="paragraph" w:styleId="CommentText">
    <w:name w:val="annotation text"/>
    <w:basedOn w:val="Normal"/>
    <w:link w:val="CommentTextChar"/>
    <w:uiPriority w:val="99"/>
    <w:unhideWhenUsed/>
    <w:rsid w:val="002A089F"/>
    <w:pPr>
      <w:spacing w:line="240" w:lineRule="auto"/>
    </w:pPr>
    <w:rPr>
      <w:sz w:val="20"/>
      <w:szCs w:val="20"/>
    </w:rPr>
  </w:style>
  <w:style w:type="character" w:customStyle="1" w:styleId="CommentTextChar">
    <w:name w:val="Comment Text Char"/>
    <w:basedOn w:val="DefaultParagraphFont"/>
    <w:link w:val="CommentText"/>
    <w:uiPriority w:val="99"/>
    <w:rsid w:val="002A089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A089F"/>
    <w:rPr>
      <w:b/>
      <w:bCs/>
    </w:rPr>
  </w:style>
  <w:style w:type="character" w:customStyle="1" w:styleId="CommentSubjectChar">
    <w:name w:val="Comment Subject Char"/>
    <w:basedOn w:val="CommentTextChar"/>
    <w:link w:val="CommentSubject"/>
    <w:uiPriority w:val="99"/>
    <w:semiHidden/>
    <w:rsid w:val="002A089F"/>
    <w:rPr>
      <w:rFonts w:ascii="Arial" w:eastAsia="Arial" w:hAnsi="Arial" w:cs="Arial"/>
      <w:b/>
      <w:bCs/>
      <w:sz w:val="20"/>
      <w:szCs w:val="20"/>
    </w:rPr>
  </w:style>
  <w:style w:type="character" w:styleId="PlaceholderText">
    <w:name w:val="Placeholder Text"/>
    <w:basedOn w:val="DefaultParagraphFont"/>
    <w:uiPriority w:val="99"/>
    <w:semiHidden/>
    <w:rsid w:val="5E34DCCF"/>
    <w:rPr>
      <w:color w:val="808080" w:themeColor="background1" w:themeShade="80"/>
    </w:rPr>
  </w:style>
  <w:style w:type="table" w:styleId="PlainTable5">
    <w:name w:val="Plain Table 5"/>
    <w:basedOn w:val="TableNormal"/>
    <w:uiPriority w:val="45"/>
    <w:rsid w:val="00F2639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qFormat/>
    <w:rsid w:val="003067D6"/>
    <w:pPr>
      <w:spacing w:before="180" w:after="180" w:line="240" w:lineRule="auto"/>
    </w:pPr>
    <w:rPr>
      <w:rFonts w:asciiTheme="minorHAnsi" w:eastAsiaTheme="minorHAnsi" w:hAnsiTheme="minorHAnsi" w:cstheme="minorBidi"/>
      <w:lang w:eastAsia="en-US"/>
    </w:rPr>
  </w:style>
  <w:style w:type="character" w:customStyle="1" w:styleId="BodyTextChar">
    <w:name w:val="Body Text Char"/>
    <w:basedOn w:val="DefaultParagraphFont"/>
    <w:link w:val="BodyText"/>
    <w:rsid w:val="003067D6"/>
    <w:rPr>
      <w:rFonts w:eastAsiaTheme="minorHAnsi"/>
      <w:lang w:eastAsia="en-US"/>
    </w:rPr>
  </w:style>
  <w:style w:type="paragraph" w:customStyle="1" w:styleId="FirstParagraph">
    <w:name w:val="First Paragraph"/>
    <w:basedOn w:val="BodyText"/>
    <w:next w:val="BodyText"/>
    <w:qFormat/>
    <w:rsid w:val="003067D6"/>
  </w:style>
  <w:style w:type="paragraph" w:customStyle="1" w:styleId="Compact">
    <w:name w:val="Compact"/>
    <w:basedOn w:val="BodyText"/>
    <w:qFormat/>
    <w:rsid w:val="003067D6"/>
    <w:pPr>
      <w:spacing w:before="36" w:after="36"/>
    </w:pPr>
  </w:style>
  <w:style w:type="table" w:customStyle="1" w:styleId="Table">
    <w:name w:val="Table"/>
    <w:semiHidden/>
    <w:unhideWhenUsed/>
    <w:qFormat/>
    <w:rsid w:val="003067D6"/>
    <w:pPr>
      <w:spacing w:after="200" w:line="240" w:lineRule="auto"/>
    </w:pPr>
    <w:rPr>
      <w:rFonts w:eastAsiaTheme="minorHAnsi"/>
      <w:sz w:val="20"/>
      <w:szCs w:val="20"/>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ImageCaption">
    <w:name w:val="Image Caption"/>
    <w:basedOn w:val="Caption"/>
    <w:rsid w:val="003067D6"/>
    <w:pPr>
      <w:spacing w:after="120"/>
    </w:pPr>
    <w:rPr>
      <w:rFonts w:asciiTheme="minorHAnsi" w:eastAsiaTheme="minorHAnsi" w:hAnsiTheme="minorHAnsi" w:cstheme="minorBidi"/>
      <w:i/>
      <w:lang w:eastAsia="en-US"/>
    </w:rPr>
  </w:style>
  <w:style w:type="paragraph" w:customStyle="1" w:styleId="CaptionedFigure">
    <w:name w:val="Captioned Figure"/>
    <w:basedOn w:val="Normal"/>
    <w:rsid w:val="003067D6"/>
    <w:pPr>
      <w:keepNext/>
      <w:spacing w:after="200" w:line="240" w:lineRule="auto"/>
    </w:pPr>
    <w:rPr>
      <w:rFonts w:asciiTheme="minorHAnsi" w:eastAsiaTheme="minorHAnsi" w:hAnsiTheme="minorHAnsi" w:cstheme="minorBidi"/>
      <w:lang w:eastAsia="en-US"/>
    </w:rPr>
  </w:style>
  <w:style w:type="character" w:customStyle="1" w:styleId="VerbatimChar">
    <w:name w:val="Verbatim Char"/>
    <w:basedOn w:val="DefaultParagraphFont"/>
    <w:link w:val="SourceCode"/>
    <w:rsid w:val="003067D6"/>
    <w:rPr>
      <w:rFonts w:ascii="Consolas" w:hAnsi="Consolas"/>
      <w:sz w:val="22"/>
      <w:shd w:val="clear" w:color="auto" w:fill="F8F8F8"/>
    </w:rPr>
  </w:style>
  <w:style w:type="paragraph" w:customStyle="1" w:styleId="SourceCode">
    <w:name w:val="Source Code"/>
    <w:basedOn w:val="Normal"/>
    <w:link w:val="VerbatimChar"/>
    <w:rsid w:val="003067D6"/>
    <w:pPr>
      <w:shd w:val="clear" w:color="auto" w:fill="F8F8F8"/>
      <w:wordWrap w:val="0"/>
      <w:spacing w:after="200" w:line="240" w:lineRule="auto"/>
    </w:pPr>
    <w:rPr>
      <w:rFonts w:ascii="Consolas" w:eastAsiaTheme="minorEastAsia" w:hAnsi="Consolas" w:cstheme="minorBidi"/>
      <w:sz w:val="22"/>
    </w:rPr>
  </w:style>
  <w:style w:type="paragraph" w:styleId="TOCHeading">
    <w:name w:val="TOC Heading"/>
    <w:basedOn w:val="Heading1"/>
    <w:next w:val="Normal"/>
    <w:uiPriority w:val="39"/>
    <w:unhideWhenUsed/>
    <w:qFormat/>
    <w:rsid w:val="00EE53EC"/>
    <w:pPr>
      <w:spacing w:before="240" w:after="240" w:line="259" w:lineRule="auto"/>
      <w:outlineLvl w:val="9"/>
    </w:pPr>
    <w:rPr>
      <w:rFonts w:eastAsiaTheme="majorEastAsia"/>
      <w:sz w:val="32"/>
      <w:szCs w:val="32"/>
      <w:lang w:eastAsia="en-US"/>
    </w:rPr>
  </w:style>
  <w:style w:type="paragraph" w:styleId="TOC1">
    <w:name w:val="toc 1"/>
    <w:basedOn w:val="Normal"/>
    <w:next w:val="Normal"/>
    <w:autoRedefine/>
    <w:uiPriority w:val="39"/>
    <w:unhideWhenUsed/>
    <w:rsid w:val="003067D6"/>
    <w:pPr>
      <w:spacing w:after="100"/>
    </w:pPr>
  </w:style>
  <w:style w:type="paragraph" w:styleId="TOC2">
    <w:name w:val="toc 2"/>
    <w:basedOn w:val="Normal"/>
    <w:next w:val="Normal"/>
    <w:autoRedefine/>
    <w:uiPriority w:val="39"/>
    <w:unhideWhenUsed/>
    <w:rsid w:val="003067D6"/>
    <w:pPr>
      <w:spacing w:after="100"/>
      <w:ind w:left="240"/>
    </w:pPr>
  </w:style>
  <w:style w:type="paragraph" w:styleId="TableofFigures">
    <w:name w:val="table of figures"/>
    <w:basedOn w:val="Normal"/>
    <w:next w:val="Normal"/>
    <w:uiPriority w:val="99"/>
    <w:unhideWhenUsed/>
    <w:rsid w:val="00A902B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8617">
      <w:marLeft w:val="640"/>
      <w:marRight w:val="0"/>
      <w:marTop w:val="0"/>
      <w:marBottom w:val="0"/>
      <w:divBdr>
        <w:top w:val="none" w:sz="0" w:space="0" w:color="auto"/>
        <w:left w:val="none" w:sz="0" w:space="0" w:color="auto"/>
        <w:bottom w:val="none" w:sz="0" w:space="0" w:color="auto"/>
        <w:right w:val="none" w:sz="0" w:space="0" w:color="auto"/>
      </w:divBdr>
    </w:div>
    <w:div w:id="13003230">
      <w:marLeft w:val="640"/>
      <w:marRight w:val="0"/>
      <w:marTop w:val="0"/>
      <w:marBottom w:val="0"/>
      <w:divBdr>
        <w:top w:val="none" w:sz="0" w:space="0" w:color="auto"/>
        <w:left w:val="none" w:sz="0" w:space="0" w:color="auto"/>
        <w:bottom w:val="none" w:sz="0" w:space="0" w:color="auto"/>
        <w:right w:val="none" w:sz="0" w:space="0" w:color="auto"/>
      </w:divBdr>
    </w:div>
    <w:div w:id="19937927">
      <w:marLeft w:val="640"/>
      <w:marRight w:val="0"/>
      <w:marTop w:val="0"/>
      <w:marBottom w:val="0"/>
      <w:divBdr>
        <w:top w:val="none" w:sz="0" w:space="0" w:color="auto"/>
        <w:left w:val="none" w:sz="0" w:space="0" w:color="auto"/>
        <w:bottom w:val="none" w:sz="0" w:space="0" w:color="auto"/>
        <w:right w:val="none" w:sz="0" w:space="0" w:color="auto"/>
      </w:divBdr>
    </w:div>
    <w:div w:id="39281611">
      <w:marLeft w:val="640"/>
      <w:marRight w:val="0"/>
      <w:marTop w:val="0"/>
      <w:marBottom w:val="0"/>
      <w:divBdr>
        <w:top w:val="none" w:sz="0" w:space="0" w:color="auto"/>
        <w:left w:val="none" w:sz="0" w:space="0" w:color="auto"/>
        <w:bottom w:val="none" w:sz="0" w:space="0" w:color="auto"/>
        <w:right w:val="none" w:sz="0" w:space="0" w:color="auto"/>
      </w:divBdr>
    </w:div>
    <w:div w:id="46953439">
      <w:bodyDiv w:val="1"/>
      <w:marLeft w:val="0"/>
      <w:marRight w:val="0"/>
      <w:marTop w:val="0"/>
      <w:marBottom w:val="0"/>
      <w:divBdr>
        <w:top w:val="none" w:sz="0" w:space="0" w:color="auto"/>
        <w:left w:val="none" w:sz="0" w:space="0" w:color="auto"/>
        <w:bottom w:val="none" w:sz="0" w:space="0" w:color="auto"/>
        <w:right w:val="none" w:sz="0" w:space="0" w:color="auto"/>
      </w:divBdr>
    </w:div>
    <w:div w:id="53966019">
      <w:marLeft w:val="640"/>
      <w:marRight w:val="0"/>
      <w:marTop w:val="0"/>
      <w:marBottom w:val="0"/>
      <w:divBdr>
        <w:top w:val="none" w:sz="0" w:space="0" w:color="auto"/>
        <w:left w:val="none" w:sz="0" w:space="0" w:color="auto"/>
        <w:bottom w:val="none" w:sz="0" w:space="0" w:color="auto"/>
        <w:right w:val="none" w:sz="0" w:space="0" w:color="auto"/>
      </w:divBdr>
    </w:div>
    <w:div w:id="56246385">
      <w:marLeft w:val="640"/>
      <w:marRight w:val="0"/>
      <w:marTop w:val="0"/>
      <w:marBottom w:val="0"/>
      <w:divBdr>
        <w:top w:val="none" w:sz="0" w:space="0" w:color="auto"/>
        <w:left w:val="none" w:sz="0" w:space="0" w:color="auto"/>
        <w:bottom w:val="none" w:sz="0" w:space="0" w:color="auto"/>
        <w:right w:val="none" w:sz="0" w:space="0" w:color="auto"/>
      </w:divBdr>
    </w:div>
    <w:div w:id="57478379">
      <w:bodyDiv w:val="1"/>
      <w:marLeft w:val="0"/>
      <w:marRight w:val="0"/>
      <w:marTop w:val="0"/>
      <w:marBottom w:val="0"/>
      <w:divBdr>
        <w:top w:val="none" w:sz="0" w:space="0" w:color="auto"/>
        <w:left w:val="none" w:sz="0" w:space="0" w:color="auto"/>
        <w:bottom w:val="none" w:sz="0" w:space="0" w:color="auto"/>
        <w:right w:val="none" w:sz="0" w:space="0" w:color="auto"/>
      </w:divBdr>
      <w:divsChild>
        <w:div w:id="701326071">
          <w:marLeft w:val="0"/>
          <w:marRight w:val="0"/>
          <w:marTop w:val="0"/>
          <w:marBottom w:val="0"/>
          <w:divBdr>
            <w:top w:val="none" w:sz="0" w:space="0" w:color="auto"/>
            <w:left w:val="none" w:sz="0" w:space="0" w:color="auto"/>
            <w:bottom w:val="single" w:sz="12" w:space="4" w:color="D3D3D3"/>
            <w:right w:val="none" w:sz="0" w:space="0" w:color="auto"/>
          </w:divBdr>
        </w:div>
      </w:divsChild>
    </w:div>
    <w:div w:id="61759465">
      <w:marLeft w:val="640"/>
      <w:marRight w:val="0"/>
      <w:marTop w:val="0"/>
      <w:marBottom w:val="0"/>
      <w:divBdr>
        <w:top w:val="none" w:sz="0" w:space="0" w:color="auto"/>
        <w:left w:val="none" w:sz="0" w:space="0" w:color="auto"/>
        <w:bottom w:val="none" w:sz="0" w:space="0" w:color="auto"/>
        <w:right w:val="none" w:sz="0" w:space="0" w:color="auto"/>
      </w:divBdr>
    </w:div>
    <w:div w:id="64033609">
      <w:bodyDiv w:val="1"/>
      <w:marLeft w:val="0"/>
      <w:marRight w:val="0"/>
      <w:marTop w:val="0"/>
      <w:marBottom w:val="0"/>
      <w:divBdr>
        <w:top w:val="none" w:sz="0" w:space="0" w:color="auto"/>
        <w:left w:val="none" w:sz="0" w:space="0" w:color="auto"/>
        <w:bottom w:val="none" w:sz="0" w:space="0" w:color="auto"/>
        <w:right w:val="none" w:sz="0" w:space="0" w:color="auto"/>
      </w:divBdr>
      <w:divsChild>
        <w:div w:id="514654577">
          <w:marLeft w:val="0"/>
          <w:marRight w:val="0"/>
          <w:marTop w:val="0"/>
          <w:marBottom w:val="0"/>
          <w:divBdr>
            <w:top w:val="none" w:sz="0" w:space="0" w:color="auto"/>
            <w:left w:val="none" w:sz="0" w:space="0" w:color="auto"/>
            <w:bottom w:val="single" w:sz="12" w:space="4" w:color="D3D3D3"/>
            <w:right w:val="none" w:sz="0" w:space="0" w:color="auto"/>
          </w:divBdr>
        </w:div>
        <w:div w:id="1434353600">
          <w:marLeft w:val="0"/>
          <w:marRight w:val="0"/>
          <w:marTop w:val="0"/>
          <w:marBottom w:val="0"/>
          <w:divBdr>
            <w:top w:val="none" w:sz="0" w:space="0" w:color="auto"/>
            <w:left w:val="none" w:sz="0" w:space="0" w:color="auto"/>
            <w:bottom w:val="single" w:sz="12" w:space="4" w:color="D3D3D3"/>
            <w:right w:val="none" w:sz="0" w:space="0" w:color="auto"/>
          </w:divBdr>
        </w:div>
      </w:divsChild>
    </w:div>
    <w:div w:id="70126175">
      <w:marLeft w:val="640"/>
      <w:marRight w:val="0"/>
      <w:marTop w:val="0"/>
      <w:marBottom w:val="0"/>
      <w:divBdr>
        <w:top w:val="none" w:sz="0" w:space="0" w:color="auto"/>
        <w:left w:val="none" w:sz="0" w:space="0" w:color="auto"/>
        <w:bottom w:val="none" w:sz="0" w:space="0" w:color="auto"/>
        <w:right w:val="none" w:sz="0" w:space="0" w:color="auto"/>
      </w:divBdr>
    </w:div>
    <w:div w:id="72970247">
      <w:marLeft w:val="640"/>
      <w:marRight w:val="0"/>
      <w:marTop w:val="0"/>
      <w:marBottom w:val="0"/>
      <w:divBdr>
        <w:top w:val="none" w:sz="0" w:space="0" w:color="auto"/>
        <w:left w:val="none" w:sz="0" w:space="0" w:color="auto"/>
        <w:bottom w:val="none" w:sz="0" w:space="0" w:color="auto"/>
        <w:right w:val="none" w:sz="0" w:space="0" w:color="auto"/>
      </w:divBdr>
    </w:div>
    <w:div w:id="77482720">
      <w:bodyDiv w:val="1"/>
      <w:marLeft w:val="0"/>
      <w:marRight w:val="0"/>
      <w:marTop w:val="0"/>
      <w:marBottom w:val="0"/>
      <w:divBdr>
        <w:top w:val="none" w:sz="0" w:space="0" w:color="auto"/>
        <w:left w:val="none" w:sz="0" w:space="0" w:color="auto"/>
        <w:bottom w:val="none" w:sz="0" w:space="0" w:color="auto"/>
        <w:right w:val="none" w:sz="0" w:space="0" w:color="auto"/>
      </w:divBdr>
    </w:div>
    <w:div w:id="77795542">
      <w:marLeft w:val="640"/>
      <w:marRight w:val="0"/>
      <w:marTop w:val="0"/>
      <w:marBottom w:val="0"/>
      <w:divBdr>
        <w:top w:val="none" w:sz="0" w:space="0" w:color="auto"/>
        <w:left w:val="none" w:sz="0" w:space="0" w:color="auto"/>
        <w:bottom w:val="none" w:sz="0" w:space="0" w:color="auto"/>
        <w:right w:val="none" w:sz="0" w:space="0" w:color="auto"/>
      </w:divBdr>
    </w:div>
    <w:div w:id="80226777">
      <w:bodyDiv w:val="1"/>
      <w:marLeft w:val="0"/>
      <w:marRight w:val="0"/>
      <w:marTop w:val="0"/>
      <w:marBottom w:val="0"/>
      <w:divBdr>
        <w:top w:val="none" w:sz="0" w:space="0" w:color="auto"/>
        <w:left w:val="none" w:sz="0" w:space="0" w:color="auto"/>
        <w:bottom w:val="none" w:sz="0" w:space="0" w:color="auto"/>
        <w:right w:val="none" w:sz="0" w:space="0" w:color="auto"/>
      </w:divBdr>
      <w:divsChild>
        <w:div w:id="833186959">
          <w:marLeft w:val="0"/>
          <w:marRight w:val="0"/>
          <w:marTop w:val="0"/>
          <w:marBottom w:val="0"/>
          <w:divBdr>
            <w:top w:val="none" w:sz="0" w:space="0" w:color="auto"/>
            <w:left w:val="none" w:sz="0" w:space="0" w:color="auto"/>
            <w:bottom w:val="single" w:sz="12" w:space="4" w:color="D3D3D3"/>
            <w:right w:val="none" w:sz="0" w:space="0" w:color="auto"/>
          </w:divBdr>
        </w:div>
      </w:divsChild>
    </w:div>
    <w:div w:id="80303552">
      <w:marLeft w:val="640"/>
      <w:marRight w:val="0"/>
      <w:marTop w:val="0"/>
      <w:marBottom w:val="0"/>
      <w:divBdr>
        <w:top w:val="none" w:sz="0" w:space="0" w:color="auto"/>
        <w:left w:val="none" w:sz="0" w:space="0" w:color="auto"/>
        <w:bottom w:val="none" w:sz="0" w:space="0" w:color="auto"/>
        <w:right w:val="none" w:sz="0" w:space="0" w:color="auto"/>
      </w:divBdr>
    </w:div>
    <w:div w:id="86850017">
      <w:marLeft w:val="640"/>
      <w:marRight w:val="0"/>
      <w:marTop w:val="0"/>
      <w:marBottom w:val="0"/>
      <w:divBdr>
        <w:top w:val="none" w:sz="0" w:space="0" w:color="auto"/>
        <w:left w:val="none" w:sz="0" w:space="0" w:color="auto"/>
        <w:bottom w:val="none" w:sz="0" w:space="0" w:color="auto"/>
        <w:right w:val="none" w:sz="0" w:space="0" w:color="auto"/>
      </w:divBdr>
    </w:div>
    <w:div w:id="103036088">
      <w:bodyDiv w:val="1"/>
      <w:marLeft w:val="0"/>
      <w:marRight w:val="0"/>
      <w:marTop w:val="0"/>
      <w:marBottom w:val="0"/>
      <w:divBdr>
        <w:top w:val="none" w:sz="0" w:space="0" w:color="auto"/>
        <w:left w:val="none" w:sz="0" w:space="0" w:color="auto"/>
        <w:bottom w:val="none" w:sz="0" w:space="0" w:color="auto"/>
        <w:right w:val="none" w:sz="0" w:space="0" w:color="auto"/>
      </w:divBdr>
      <w:divsChild>
        <w:div w:id="828907759">
          <w:marLeft w:val="640"/>
          <w:marRight w:val="0"/>
          <w:marTop w:val="0"/>
          <w:marBottom w:val="0"/>
          <w:divBdr>
            <w:top w:val="none" w:sz="0" w:space="0" w:color="auto"/>
            <w:left w:val="none" w:sz="0" w:space="0" w:color="auto"/>
            <w:bottom w:val="none" w:sz="0" w:space="0" w:color="auto"/>
            <w:right w:val="none" w:sz="0" w:space="0" w:color="auto"/>
          </w:divBdr>
        </w:div>
        <w:div w:id="836966290">
          <w:marLeft w:val="640"/>
          <w:marRight w:val="0"/>
          <w:marTop w:val="0"/>
          <w:marBottom w:val="0"/>
          <w:divBdr>
            <w:top w:val="none" w:sz="0" w:space="0" w:color="auto"/>
            <w:left w:val="none" w:sz="0" w:space="0" w:color="auto"/>
            <w:bottom w:val="none" w:sz="0" w:space="0" w:color="auto"/>
            <w:right w:val="none" w:sz="0" w:space="0" w:color="auto"/>
          </w:divBdr>
        </w:div>
        <w:div w:id="1135101810">
          <w:marLeft w:val="640"/>
          <w:marRight w:val="0"/>
          <w:marTop w:val="0"/>
          <w:marBottom w:val="0"/>
          <w:divBdr>
            <w:top w:val="none" w:sz="0" w:space="0" w:color="auto"/>
            <w:left w:val="none" w:sz="0" w:space="0" w:color="auto"/>
            <w:bottom w:val="none" w:sz="0" w:space="0" w:color="auto"/>
            <w:right w:val="none" w:sz="0" w:space="0" w:color="auto"/>
          </w:divBdr>
        </w:div>
        <w:div w:id="1626766977">
          <w:marLeft w:val="640"/>
          <w:marRight w:val="0"/>
          <w:marTop w:val="0"/>
          <w:marBottom w:val="0"/>
          <w:divBdr>
            <w:top w:val="none" w:sz="0" w:space="0" w:color="auto"/>
            <w:left w:val="none" w:sz="0" w:space="0" w:color="auto"/>
            <w:bottom w:val="none" w:sz="0" w:space="0" w:color="auto"/>
            <w:right w:val="none" w:sz="0" w:space="0" w:color="auto"/>
          </w:divBdr>
        </w:div>
        <w:div w:id="1878153418">
          <w:marLeft w:val="640"/>
          <w:marRight w:val="0"/>
          <w:marTop w:val="0"/>
          <w:marBottom w:val="0"/>
          <w:divBdr>
            <w:top w:val="none" w:sz="0" w:space="0" w:color="auto"/>
            <w:left w:val="none" w:sz="0" w:space="0" w:color="auto"/>
            <w:bottom w:val="none" w:sz="0" w:space="0" w:color="auto"/>
            <w:right w:val="none" w:sz="0" w:space="0" w:color="auto"/>
          </w:divBdr>
        </w:div>
        <w:div w:id="2028293652">
          <w:marLeft w:val="640"/>
          <w:marRight w:val="0"/>
          <w:marTop w:val="0"/>
          <w:marBottom w:val="0"/>
          <w:divBdr>
            <w:top w:val="none" w:sz="0" w:space="0" w:color="auto"/>
            <w:left w:val="none" w:sz="0" w:space="0" w:color="auto"/>
            <w:bottom w:val="none" w:sz="0" w:space="0" w:color="auto"/>
            <w:right w:val="none" w:sz="0" w:space="0" w:color="auto"/>
          </w:divBdr>
        </w:div>
      </w:divsChild>
    </w:div>
    <w:div w:id="112290686">
      <w:marLeft w:val="640"/>
      <w:marRight w:val="0"/>
      <w:marTop w:val="0"/>
      <w:marBottom w:val="0"/>
      <w:divBdr>
        <w:top w:val="none" w:sz="0" w:space="0" w:color="auto"/>
        <w:left w:val="none" w:sz="0" w:space="0" w:color="auto"/>
        <w:bottom w:val="none" w:sz="0" w:space="0" w:color="auto"/>
        <w:right w:val="none" w:sz="0" w:space="0" w:color="auto"/>
      </w:divBdr>
    </w:div>
    <w:div w:id="113981538">
      <w:bodyDiv w:val="1"/>
      <w:marLeft w:val="0"/>
      <w:marRight w:val="0"/>
      <w:marTop w:val="0"/>
      <w:marBottom w:val="0"/>
      <w:divBdr>
        <w:top w:val="none" w:sz="0" w:space="0" w:color="auto"/>
        <w:left w:val="none" w:sz="0" w:space="0" w:color="auto"/>
        <w:bottom w:val="none" w:sz="0" w:space="0" w:color="auto"/>
        <w:right w:val="none" w:sz="0" w:space="0" w:color="auto"/>
      </w:divBdr>
    </w:div>
    <w:div w:id="122038424">
      <w:marLeft w:val="640"/>
      <w:marRight w:val="0"/>
      <w:marTop w:val="0"/>
      <w:marBottom w:val="0"/>
      <w:divBdr>
        <w:top w:val="none" w:sz="0" w:space="0" w:color="auto"/>
        <w:left w:val="none" w:sz="0" w:space="0" w:color="auto"/>
        <w:bottom w:val="none" w:sz="0" w:space="0" w:color="auto"/>
        <w:right w:val="none" w:sz="0" w:space="0" w:color="auto"/>
      </w:divBdr>
    </w:div>
    <w:div w:id="132212164">
      <w:marLeft w:val="640"/>
      <w:marRight w:val="0"/>
      <w:marTop w:val="0"/>
      <w:marBottom w:val="0"/>
      <w:divBdr>
        <w:top w:val="none" w:sz="0" w:space="0" w:color="auto"/>
        <w:left w:val="none" w:sz="0" w:space="0" w:color="auto"/>
        <w:bottom w:val="none" w:sz="0" w:space="0" w:color="auto"/>
        <w:right w:val="none" w:sz="0" w:space="0" w:color="auto"/>
      </w:divBdr>
    </w:div>
    <w:div w:id="142041975">
      <w:bodyDiv w:val="1"/>
      <w:marLeft w:val="0"/>
      <w:marRight w:val="0"/>
      <w:marTop w:val="0"/>
      <w:marBottom w:val="0"/>
      <w:divBdr>
        <w:top w:val="none" w:sz="0" w:space="0" w:color="auto"/>
        <w:left w:val="none" w:sz="0" w:space="0" w:color="auto"/>
        <w:bottom w:val="none" w:sz="0" w:space="0" w:color="auto"/>
        <w:right w:val="none" w:sz="0" w:space="0" w:color="auto"/>
      </w:divBdr>
    </w:div>
    <w:div w:id="152915434">
      <w:marLeft w:val="640"/>
      <w:marRight w:val="0"/>
      <w:marTop w:val="0"/>
      <w:marBottom w:val="0"/>
      <w:divBdr>
        <w:top w:val="none" w:sz="0" w:space="0" w:color="auto"/>
        <w:left w:val="none" w:sz="0" w:space="0" w:color="auto"/>
        <w:bottom w:val="none" w:sz="0" w:space="0" w:color="auto"/>
        <w:right w:val="none" w:sz="0" w:space="0" w:color="auto"/>
      </w:divBdr>
    </w:div>
    <w:div w:id="164132440">
      <w:marLeft w:val="640"/>
      <w:marRight w:val="0"/>
      <w:marTop w:val="0"/>
      <w:marBottom w:val="0"/>
      <w:divBdr>
        <w:top w:val="none" w:sz="0" w:space="0" w:color="auto"/>
        <w:left w:val="none" w:sz="0" w:space="0" w:color="auto"/>
        <w:bottom w:val="none" w:sz="0" w:space="0" w:color="auto"/>
        <w:right w:val="none" w:sz="0" w:space="0" w:color="auto"/>
      </w:divBdr>
    </w:div>
    <w:div w:id="169217583">
      <w:bodyDiv w:val="1"/>
      <w:marLeft w:val="0"/>
      <w:marRight w:val="0"/>
      <w:marTop w:val="0"/>
      <w:marBottom w:val="0"/>
      <w:divBdr>
        <w:top w:val="none" w:sz="0" w:space="0" w:color="auto"/>
        <w:left w:val="none" w:sz="0" w:space="0" w:color="auto"/>
        <w:bottom w:val="none" w:sz="0" w:space="0" w:color="auto"/>
        <w:right w:val="none" w:sz="0" w:space="0" w:color="auto"/>
      </w:divBdr>
      <w:divsChild>
        <w:div w:id="114063370">
          <w:marLeft w:val="640"/>
          <w:marRight w:val="0"/>
          <w:marTop w:val="0"/>
          <w:marBottom w:val="0"/>
          <w:divBdr>
            <w:top w:val="none" w:sz="0" w:space="0" w:color="auto"/>
            <w:left w:val="none" w:sz="0" w:space="0" w:color="auto"/>
            <w:bottom w:val="none" w:sz="0" w:space="0" w:color="auto"/>
            <w:right w:val="none" w:sz="0" w:space="0" w:color="auto"/>
          </w:divBdr>
        </w:div>
        <w:div w:id="150486616">
          <w:marLeft w:val="640"/>
          <w:marRight w:val="0"/>
          <w:marTop w:val="0"/>
          <w:marBottom w:val="0"/>
          <w:divBdr>
            <w:top w:val="none" w:sz="0" w:space="0" w:color="auto"/>
            <w:left w:val="none" w:sz="0" w:space="0" w:color="auto"/>
            <w:bottom w:val="none" w:sz="0" w:space="0" w:color="auto"/>
            <w:right w:val="none" w:sz="0" w:space="0" w:color="auto"/>
          </w:divBdr>
        </w:div>
        <w:div w:id="522859542">
          <w:marLeft w:val="640"/>
          <w:marRight w:val="0"/>
          <w:marTop w:val="0"/>
          <w:marBottom w:val="0"/>
          <w:divBdr>
            <w:top w:val="none" w:sz="0" w:space="0" w:color="auto"/>
            <w:left w:val="none" w:sz="0" w:space="0" w:color="auto"/>
            <w:bottom w:val="none" w:sz="0" w:space="0" w:color="auto"/>
            <w:right w:val="none" w:sz="0" w:space="0" w:color="auto"/>
          </w:divBdr>
        </w:div>
        <w:div w:id="751199324">
          <w:marLeft w:val="640"/>
          <w:marRight w:val="0"/>
          <w:marTop w:val="0"/>
          <w:marBottom w:val="0"/>
          <w:divBdr>
            <w:top w:val="none" w:sz="0" w:space="0" w:color="auto"/>
            <w:left w:val="none" w:sz="0" w:space="0" w:color="auto"/>
            <w:bottom w:val="none" w:sz="0" w:space="0" w:color="auto"/>
            <w:right w:val="none" w:sz="0" w:space="0" w:color="auto"/>
          </w:divBdr>
        </w:div>
        <w:div w:id="1046027097">
          <w:marLeft w:val="640"/>
          <w:marRight w:val="0"/>
          <w:marTop w:val="0"/>
          <w:marBottom w:val="0"/>
          <w:divBdr>
            <w:top w:val="none" w:sz="0" w:space="0" w:color="auto"/>
            <w:left w:val="none" w:sz="0" w:space="0" w:color="auto"/>
            <w:bottom w:val="none" w:sz="0" w:space="0" w:color="auto"/>
            <w:right w:val="none" w:sz="0" w:space="0" w:color="auto"/>
          </w:divBdr>
        </w:div>
        <w:div w:id="1173303255">
          <w:marLeft w:val="640"/>
          <w:marRight w:val="0"/>
          <w:marTop w:val="0"/>
          <w:marBottom w:val="0"/>
          <w:divBdr>
            <w:top w:val="none" w:sz="0" w:space="0" w:color="auto"/>
            <w:left w:val="none" w:sz="0" w:space="0" w:color="auto"/>
            <w:bottom w:val="none" w:sz="0" w:space="0" w:color="auto"/>
            <w:right w:val="none" w:sz="0" w:space="0" w:color="auto"/>
          </w:divBdr>
        </w:div>
        <w:div w:id="1790977600">
          <w:marLeft w:val="640"/>
          <w:marRight w:val="0"/>
          <w:marTop w:val="0"/>
          <w:marBottom w:val="0"/>
          <w:divBdr>
            <w:top w:val="none" w:sz="0" w:space="0" w:color="auto"/>
            <w:left w:val="none" w:sz="0" w:space="0" w:color="auto"/>
            <w:bottom w:val="none" w:sz="0" w:space="0" w:color="auto"/>
            <w:right w:val="none" w:sz="0" w:space="0" w:color="auto"/>
          </w:divBdr>
        </w:div>
        <w:div w:id="1861429856">
          <w:marLeft w:val="640"/>
          <w:marRight w:val="0"/>
          <w:marTop w:val="0"/>
          <w:marBottom w:val="0"/>
          <w:divBdr>
            <w:top w:val="none" w:sz="0" w:space="0" w:color="auto"/>
            <w:left w:val="none" w:sz="0" w:space="0" w:color="auto"/>
            <w:bottom w:val="none" w:sz="0" w:space="0" w:color="auto"/>
            <w:right w:val="none" w:sz="0" w:space="0" w:color="auto"/>
          </w:divBdr>
        </w:div>
        <w:div w:id="1915385745">
          <w:marLeft w:val="640"/>
          <w:marRight w:val="0"/>
          <w:marTop w:val="0"/>
          <w:marBottom w:val="0"/>
          <w:divBdr>
            <w:top w:val="none" w:sz="0" w:space="0" w:color="auto"/>
            <w:left w:val="none" w:sz="0" w:space="0" w:color="auto"/>
            <w:bottom w:val="none" w:sz="0" w:space="0" w:color="auto"/>
            <w:right w:val="none" w:sz="0" w:space="0" w:color="auto"/>
          </w:divBdr>
        </w:div>
      </w:divsChild>
    </w:div>
    <w:div w:id="173108360">
      <w:bodyDiv w:val="1"/>
      <w:marLeft w:val="0"/>
      <w:marRight w:val="0"/>
      <w:marTop w:val="0"/>
      <w:marBottom w:val="0"/>
      <w:divBdr>
        <w:top w:val="none" w:sz="0" w:space="0" w:color="auto"/>
        <w:left w:val="none" w:sz="0" w:space="0" w:color="auto"/>
        <w:bottom w:val="none" w:sz="0" w:space="0" w:color="auto"/>
        <w:right w:val="none" w:sz="0" w:space="0" w:color="auto"/>
      </w:divBdr>
      <w:divsChild>
        <w:div w:id="1298217568">
          <w:marLeft w:val="0"/>
          <w:marRight w:val="0"/>
          <w:marTop w:val="0"/>
          <w:marBottom w:val="0"/>
          <w:divBdr>
            <w:top w:val="none" w:sz="0" w:space="0" w:color="auto"/>
            <w:left w:val="none" w:sz="0" w:space="0" w:color="auto"/>
            <w:bottom w:val="single" w:sz="12" w:space="4" w:color="D3D3D3"/>
            <w:right w:val="none" w:sz="0" w:space="0" w:color="auto"/>
          </w:divBdr>
        </w:div>
        <w:div w:id="2137947121">
          <w:marLeft w:val="0"/>
          <w:marRight w:val="0"/>
          <w:marTop w:val="0"/>
          <w:marBottom w:val="0"/>
          <w:divBdr>
            <w:top w:val="none" w:sz="0" w:space="0" w:color="auto"/>
            <w:left w:val="none" w:sz="0" w:space="0" w:color="auto"/>
            <w:bottom w:val="single" w:sz="12" w:space="4" w:color="D3D3D3"/>
            <w:right w:val="none" w:sz="0" w:space="0" w:color="auto"/>
          </w:divBdr>
        </w:div>
      </w:divsChild>
    </w:div>
    <w:div w:id="173227317">
      <w:marLeft w:val="640"/>
      <w:marRight w:val="0"/>
      <w:marTop w:val="0"/>
      <w:marBottom w:val="0"/>
      <w:divBdr>
        <w:top w:val="none" w:sz="0" w:space="0" w:color="auto"/>
        <w:left w:val="none" w:sz="0" w:space="0" w:color="auto"/>
        <w:bottom w:val="none" w:sz="0" w:space="0" w:color="auto"/>
        <w:right w:val="none" w:sz="0" w:space="0" w:color="auto"/>
      </w:divBdr>
    </w:div>
    <w:div w:id="184098868">
      <w:bodyDiv w:val="1"/>
      <w:marLeft w:val="0"/>
      <w:marRight w:val="0"/>
      <w:marTop w:val="0"/>
      <w:marBottom w:val="0"/>
      <w:divBdr>
        <w:top w:val="none" w:sz="0" w:space="0" w:color="auto"/>
        <w:left w:val="none" w:sz="0" w:space="0" w:color="auto"/>
        <w:bottom w:val="none" w:sz="0" w:space="0" w:color="auto"/>
        <w:right w:val="none" w:sz="0" w:space="0" w:color="auto"/>
      </w:divBdr>
      <w:divsChild>
        <w:div w:id="1454787194">
          <w:marLeft w:val="0"/>
          <w:marRight w:val="0"/>
          <w:marTop w:val="0"/>
          <w:marBottom w:val="0"/>
          <w:divBdr>
            <w:top w:val="none" w:sz="0" w:space="0" w:color="auto"/>
            <w:left w:val="none" w:sz="0" w:space="0" w:color="auto"/>
            <w:bottom w:val="single" w:sz="12" w:space="4" w:color="D3D3D3"/>
            <w:right w:val="none" w:sz="0" w:space="0" w:color="auto"/>
          </w:divBdr>
        </w:div>
      </w:divsChild>
    </w:div>
    <w:div w:id="188416764">
      <w:bodyDiv w:val="1"/>
      <w:marLeft w:val="0"/>
      <w:marRight w:val="0"/>
      <w:marTop w:val="0"/>
      <w:marBottom w:val="0"/>
      <w:divBdr>
        <w:top w:val="none" w:sz="0" w:space="0" w:color="auto"/>
        <w:left w:val="none" w:sz="0" w:space="0" w:color="auto"/>
        <w:bottom w:val="none" w:sz="0" w:space="0" w:color="auto"/>
        <w:right w:val="none" w:sz="0" w:space="0" w:color="auto"/>
      </w:divBdr>
      <w:divsChild>
        <w:div w:id="1856380447">
          <w:marLeft w:val="0"/>
          <w:marRight w:val="0"/>
          <w:marTop w:val="0"/>
          <w:marBottom w:val="0"/>
          <w:divBdr>
            <w:top w:val="none" w:sz="0" w:space="0" w:color="auto"/>
            <w:left w:val="none" w:sz="0" w:space="0" w:color="auto"/>
            <w:bottom w:val="single" w:sz="12" w:space="4" w:color="D3D3D3"/>
            <w:right w:val="none" w:sz="0" w:space="0" w:color="auto"/>
          </w:divBdr>
        </w:div>
      </w:divsChild>
    </w:div>
    <w:div w:id="200635729">
      <w:marLeft w:val="640"/>
      <w:marRight w:val="0"/>
      <w:marTop w:val="0"/>
      <w:marBottom w:val="0"/>
      <w:divBdr>
        <w:top w:val="none" w:sz="0" w:space="0" w:color="auto"/>
        <w:left w:val="none" w:sz="0" w:space="0" w:color="auto"/>
        <w:bottom w:val="none" w:sz="0" w:space="0" w:color="auto"/>
        <w:right w:val="none" w:sz="0" w:space="0" w:color="auto"/>
      </w:divBdr>
    </w:div>
    <w:div w:id="205677060">
      <w:marLeft w:val="640"/>
      <w:marRight w:val="0"/>
      <w:marTop w:val="0"/>
      <w:marBottom w:val="0"/>
      <w:divBdr>
        <w:top w:val="none" w:sz="0" w:space="0" w:color="auto"/>
        <w:left w:val="none" w:sz="0" w:space="0" w:color="auto"/>
        <w:bottom w:val="none" w:sz="0" w:space="0" w:color="auto"/>
        <w:right w:val="none" w:sz="0" w:space="0" w:color="auto"/>
      </w:divBdr>
    </w:div>
    <w:div w:id="206063316">
      <w:marLeft w:val="640"/>
      <w:marRight w:val="0"/>
      <w:marTop w:val="0"/>
      <w:marBottom w:val="0"/>
      <w:divBdr>
        <w:top w:val="none" w:sz="0" w:space="0" w:color="auto"/>
        <w:left w:val="none" w:sz="0" w:space="0" w:color="auto"/>
        <w:bottom w:val="none" w:sz="0" w:space="0" w:color="auto"/>
        <w:right w:val="none" w:sz="0" w:space="0" w:color="auto"/>
      </w:divBdr>
    </w:div>
    <w:div w:id="207034263">
      <w:bodyDiv w:val="1"/>
      <w:marLeft w:val="0"/>
      <w:marRight w:val="0"/>
      <w:marTop w:val="0"/>
      <w:marBottom w:val="0"/>
      <w:divBdr>
        <w:top w:val="none" w:sz="0" w:space="0" w:color="auto"/>
        <w:left w:val="none" w:sz="0" w:space="0" w:color="auto"/>
        <w:bottom w:val="none" w:sz="0" w:space="0" w:color="auto"/>
        <w:right w:val="none" w:sz="0" w:space="0" w:color="auto"/>
      </w:divBdr>
      <w:divsChild>
        <w:div w:id="131024994">
          <w:marLeft w:val="640"/>
          <w:marRight w:val="0"/>
          <w:marTop w:val="0"/>
          <w:marBottom w:val="0"/>
          <w:divBdr>
            <w:top w:val="none" w:sz="0" w:space="0" w:color="auto"/>
            <w:left w:val="none" w:sz="0" w:space="0" w:color="auto"/>
            <w:bottom w:val="none" w:sz="0" w:space="0" w:color="auto"/>
            <w:right w:val="none" w:sz="0" w:space="0" w:color="auto"/>
          </w:divBdr>
        </w:div>
        <w:div w:id="140999481">
          <w:marLeft w:val="640"/>
          <w:marRight w:val="0"/>
          <w:marTop w:val="0"/>
          <w:marBottom w:val="0"/>
          <w:divBdr>
            <w:top w:val="none" w:sz="0" w:space="0" w:color="auto"/>
            <w:left w:val="none" w:sz="0" w:space="0" w:color="auto"/>
            <w:bottom w:val="none" w:sz="0" w:space="0" w:color="auto"/>
            <w:right w:val="none" w:sz="0" w:space="0" w:color="auto"/>
          </w:divBdr>
        </w:div>
        <w:div w:id="283074390">
          <w:marLeft w:val="640"/>
          <w:marRight w:val="0"/>
          <w:marTop w:val="0"/>
          <w:marBottom w:val="0"/>
          <w:divBdr>
            <w:top w:val="none" w:sz="0" w:space="0" w:color="auto"/>
            <w:left w:val="none" w:sz="0" w:space="0" w:color="auto"/>
            <w:bottom w:val="none" w:sz="0" w:space="0" w:color="auto"/>
            <w:right w:val="none" w:sz="0" w:space="0" w:color="auto"/>
          </w:divBdr>
        </w:div>
        <w:div w:id="298345932">
          <w:marLeft w:val="640"/>
          <w:marRight w:val="0"/>
          <w:marTop w:val="0"/>
          <w:marBottom w:val="0"/>
          <w:divBdr>
            <w:top w:val="none" w:sz="0" w:space="0" w:color="auto"/>
            <w:left w:val="none" w:sz="0" w:space="0" w:color="auto"/>
            <w:bottom w:val="none" w:sz="0" w:space="0" w:color="auto"/>
            <w:right w:val="none" w:sz="0" w:space="0" w:color="auto"/>
          </w:divBdr>
        </w:div>
        <w:div w:id="312956233">
          <w:marLeft w:val="640"/>
          <w:marRight w:val="0"/>
          <w:marTop w:val="0"/>
          <w:marBottom w:val="0"/>
          <w:divBdr>
            <w:top w:val="none" w:sz="0" w:space="0" w:color="auto"/>
            <w:left w:val="none" w:sz="0" w:space="0" w:color="auto"/>
            <w:bottom w:val="none" w:sz="0" w:space="0" w:color="auto"/>
            <w:right w:val="none" w:sz="0" w:space="0" w:color="auto"/>
          </w:divBdr>
        </w:div>
        <w:div w:id="505829594">
          <w:marLeft w:val="640"/>
          <w:marRight w:val="0"/>
          <w:marTop w:val="0"/>
          <w:marBottom w:val="0"/>
          <w:divBdr>
            <w:top w:val="none" w:sz="0" w:space="0" w:color="auto"/>
            <w:left w:val="none" w:sz="0" w:space="0" w:color="auto"/>
            <w:bottom w:val="none" w:sz="0" w:space="0" w:color="auto"/>
            <w:right w:val="none" w:sz="0" w:space="0" w:color="auto"/>
          </w:divBdr>
        </w:div>
        <w:div w:id="682124807">
          <w:marLeft w:val="640"/>
          <w:marRight w:val="0"/>
          <w:marTop w:val="0"/>
          <w:marBottom w:val="0"/>
          <w:divBdr>
            <w:top w:val="none" w:sz="0" w:space="0" w:color="auto"/>
            <w:left w:val="none" w:sz="0" w:space="0" w:color="auto"/>
            <w:bottom w:val="none" w:sz="0" w:space="0" w:color="auto"/>
            <w:right w:val="none" w:sz="0" w:space="0" w:color="auto"/>
          </w:divBdr>
        </w:div>
        <w:div w:id="764502539">
          <w:marLeft w:val="640"/>
          <w:marRight w:val="0"/>
          <w:marTop w:val="0"/>
          <w:marBottom w:val="0"/>
          <w:divBdr>
            <w:top w:val="none" w:sz="0" w:space="0" w:color="auto"/>
            <w:left w:val="none" w:sz="0" w:space="0" w:color="auto"/>
            <w:bottom w:val="none" w:sz="0" w:space="0" w:color="auto"/>
            <w:right w:val="none" w:sz="0" w:space="0" w:color="auto"/>
          </w:divBdr>
        </w:div>
        <w:div w:id="1160317785">
          <w:marLeft w:val="640"/>
          <w:marRight w:val="0"/>
          <w:marTop w:val="0"/>
          <w:marBottom w:val="0"/>
          <w:divBdr>
            <w:top w:val="none" w:sz="0" w:space="0" w:color="auto"/>
            <w:left w:val="none" w:sz="0" w:space="0" w:color="auto"/>
            <w:bottom w:val="none" w:sz="0" w:space="0" w:color="auto"/>
            <w:right w:val="none" w:sz="0" w:space="0" w:color="auto"/>
          </w:divBdr>
        </w:div>
        <w:div w:id="1450975140">
          <w:marLeft w:val="640"/>
          <w:marRight w:val="0"/>
          <w:marTop w:val="0"/>
          <w:marBottom w:val="0"/>
          <w:divBdr>
            <w:top w:val="none" w:sz="0" w:space="0" w:color="auto"/>
            <w:left w:val="none" w:sz="0" w:space="0" w:color="auto"/>
            <w:bottom w:val="none" w:sz="0" w:space="0" w:color="auto"/>
            <w:right w:val="none" w:sz="0" w:space="0" w:color="auto"/>
          </w:divBdr>
        </w:div>
        <w:div w:id="1688365811">
          <w:marLeft w:val="640"/>
          <w:marRight w:val="0"/>
          <w:marTop w:val="0"/>
          <w:marBottom w:val="0"/>
          <w:divBdr>
            <w:top w:val="none" w:sz="0" w:space="0" w:color="auto"/>
            <w:left w:val="none" w:sz="0" w:space="0" w:color="auto"/>
            <w:bottom w:val="none" w:sz="0" w:space="0" w:color="auto"/>
            <w:right w:val="none" w:sz="0" w:space="0" w:color="auto"/>
          </w:divBdr>
        </w:div>
        <w:div w:id="2095860531">
          <w:marLeft w:val="640"/>
          <w:marRight w:val="0"/>
          <w:marTop w:val="0"/>
          <w:marBottom w:val="0"/>
          <w:divBdr>
            <w:top w:val="none" w:sz="0" w:space="0" w:color="auto"/>
            <w:left w:val="none" w:sz="0" w:space="0" w:color="auto"/>
            <w:bottom w:val="none" w:sz="0" w:space="0" w:color="auto"/>
            <w:right w:val="none" w:sz="0" w:space="0" w:color="auto"/>
          </w:divBdr>
        </w:div>
      </w:divsChild>
    </w:div>
    <w:div w:id="218787801">
      <w:marLeft w:val="640"/>
      <w:marRight w:val="0"/>
      <w:marTop w:val="0"/>
      <w:marBottom w:val="0"/>
      <w:divBdr>
        <w:top w:val="none" w:sz="0" w:space="0" w:color="auto"/>
        <w:left w:val="none" w:sz="0" w:space="0" w:color="auto"/>
        <w:bottom w:val="none" w:sz="0" w:space="0" w:color="auto"/>
        <w:right w:val="none" w:sz="0" w:space="0" w:color="auto"/>
      </w:divBdr>
    </w:div>
    <w:div w:id="236786707">
      <w:marLeft w:val="640"/>
      <w:marRight w:val="0"/>
      <w:marTop w:val="0"/>
      <w:marBottom w:val="0"/>
      <w:divBdr>
        <w:top w:val="none" w:sz="0" w:space="0" w:color="auto"/>
        <w:left w:val="none" w:sz="0" w:space="0" w:color="auto"/>
        <w:bottom w:val="none" w:sz="0" w:space="0" w:color="auto"/>
        <w:right w:val="none" w:sz="0" w:space="0" w:color="auto"/>
      </w:divBdr>
    </w:div>
    <w:div w:id="239871047">
      <w:marLeft w:val="640"/>
      <w:marRight w:val="0"/>
      <w:marTop w:val="0"/>
      <w:marBottom w:val="0"/>
      <w:divBdr>
        <w:top w:val="none" w:sz="0" w:space="0" w:color="auto"/>
        <w:left w:val="none" w:sz="0" w:space="0" w:color="auto"/>
        <w:bottom w:val="none" w:sz="0" w:space="0" w:color="auto"/>
        <w:right w:val="none" w:sz="0" w:space="0" w:color="auto"/>
      </w:divBdr>
    </w:div>
    <w:div w:id="244926084">
      <w:bodyDiv w:val="1"/>
      <w:marLeft w:val="0"/>
      <w:marRight w:val="0"/>
      <w:marTop w:val="0"/>
      <w:marBottom w:val="0"/>
      <w:divBdr>
        <w:top w:val="none" w:sz="0" w:space="0" w:color="auto"/>
        <w:left w:val="none" w:sz="0" w:space="0" w:color="auto"/>
        <w:bottom w:val="none" w:sz="0" w:space="0" w:color="auto"/>
        <w:right w:val="none" w:sz="0" w:space="0" w:color="auto"/>
      </w:divBdr>
    </w:div>
    <w:div w:id="259874049">
      <w:marLeft w:val="640"/>
      <w:marRight w:val="0"/>
      <w:marTop w:val="0"/>
      <w:marBottom w:val="0"/>
      <w:divBdr>
        <w:top w:val="none" w:sz="0" w:space="0" w:color="auto"/>
        <w:left w:val="none" w:sz="0" w:space="0" w:color="auto"/>
        <w:bottom w:val="none" w:sz="0" w:space="0" w:color="auto"/>
        <w:right w:val="none" w:sz="0" w:space="0" w:color="auto"/>
      </w:divBdr>
    </w:div>
    <w:div w:id="277493518">
      <w:marLeft w:val="640"/>
      <w:marRight w:val="0"/>
      <w:marTop w:val="0"/>
      <w:marBottom w:val="0"/>
      <w:divBdr>
        <w:top w:val="none" w:sz="0" w:space="0" w:color="auto"/>
        <w:left w:val="none" w:sz="0" w:space="0" w:color="auto"/>
        <w:bottom w:val="none" w:sz="0" w:space="0" w:color="auto"/>
        <w:right w:val="none" w:sz="0" w:space="0" w:color="auto"/>
      </w:divBdr>
    </w:div>
    <w:div w:id="280575042">
      <w:marLeft w:val="640"/>
      <w:marRight w:val="0"/>
      <w:marTop w:val="0"/>
      <w:marBottom w:val="0"/>
      <w:divBdr>
        <w:top w:val="none" w:sz="0" w:space="0" w:color="auto"/>
        <w:left w:val="none" w:sz="0" w:space="0" w:color="auto"/>
        <w:bottom w:val="none" w:sz="0" w:space="0" w:color="auto"/>
        <w:right w:val="none" w:sz="0" w:space="0" w:color="auto"/>
      </w:divBdr>
    </w:div>
    <w:div w:id="285426129">
      <w:marLeft w:val="640"/>
      <w:marRight w:val="0"/>
      <w:marTop w:val="0"/>
      <w:marBottom w:val="0"/>
      <w:divBdr>
        <w:top w:val="none" w:sz="0" w:space="0" w:color="auto"/>
        <w:left w:val="none" w:sz="0" w:space="0" w:color="auto"/>
        <w:bottom w:val="none" w:sz="0" w:space="0" w:color="auto"/>
        <w:right w:val="none" w:sz="0" w:space="0" w:color="auto"/>
      </w:divBdr>
    </w:div>
    <w:div w:id="287518393">
      <w:bodyDiv w:val="1"/>
      <w:marLeft w:val="0"/>
      <w:marRight w:val="0"/>
      <w:marTop w:val="0"/>
      <w:marBottom w:val="0"/>
      <w:divBdr>
        <w:top w:val="none" w:sz="0" w:space="0" w:color="auto"/>
        <w:left w:val="none" w:sz="0" w:space="0" w:color="auto"/>
        <w:bottom w:val="none" w:sz="0" w:space="0" w:color="auto"/>
        <w:right w:val="none" w:sz="0" w:space="0" w:color="auto"/>
      </w:divBdr>
    </w:div>
    <w:div w:id="287664850">
      <w:marLeft w:val="640"/>
      <w:marRight w:val="0"/>
      <w:marTop w:val="0"/>
      <w:marBottom w:val="0"/>
      <w:divBdr>
        <w:top w:val="none" w:sz="0" w:space="0" w:color="auto"/>
        <w:left w:val="none" w:sz="0" w:space="0" w:color="auto"/>
        <w:bottom w:val="none" w:sz="0" w:space="0" w:color="auto"/>
        <w:right w:val="none" w:sz="0" w:space="0" w:color="auto"/>
      </w:divBdr>
    </w:div>
    <w:div w:id="289090004">
      <w:marLeft w:val="640"/>
      <w:marRight w:val="0"/>
      <w:marTop w:val="0"/>
      <w:marBottom w:val="0"/>
      <w:divBdr>
        <w:top w:val="none" w:sz="0" w:space="0" w:color="auto"/>
        <w:left w:val="none" w:sz="0" w:space="0" w:color="auto"/>
        <w:bottom w:val="none" w:sz="0" w:space="0" w:color="auto"/>
        <w:right w:val="none" w:sz="0" w:space="0" w:color="auto"/>
      </w:divBdr>
    </w:div>
    <w:div w:id="291205713">
      <w:marLeft w:val="640"/>
      <w:marRight w:val="0"/>
      <w:marTop w:val="0"/>
      <w:marBottom w:val="0"/>
      <w:divBdr>
        <w:top w:val="none" w:sz="0" w:space="0" w:color="auto"/>
        <w:left w:val="none" w:sz="0" w:space="0" w:color="auto"/>
        <w:bottom w:val="none" w:sz="0" w:space="0" w:color="auto"/>
        <w:right w:val="none" w:sz="0" w:space="0" w:color="auto"/>
      </w:divBdr>
    </w:div>
    <w:div w:id="302348322">
      <w:bodyDiv w:val="1"/>
      <w:marLeft w:val="0"/>
      <w:marRight w:val="0"/>
      <w:marTop w:val="0"/>
      <w:marBottom w:val="0"/>
      <w:divBdr>
        <w:top w:val="none" w:sz="0" w:space="0" w:color="auto"/>
        <w:left w:val="none" w:sz="0" w:space="0" w:color="auto"/>
        <w:bottom w:val="none" w:sz="0" w:space="0" w:color="auto"/>
        <w:right w:val="none" w:sz="0" w:space="0" w:color="auto"/>
      </w:divBdr>
    </w:div>
    <w:div w:id="303856082">
      <w:bodyDiv w:val="1"/>
      <w:marLeft w:val="0"/>
      <w:marRight w:val="0"/>
      <w:marTop w:val="0"/>
      <w:marBottom w:val="0"/>
      <w:divBdr>
        <w:top w:val="none" w:sz="0" w:space="0" w:color="auto"/>
        <w:left w:val="none" w:sz="0" w:space="0" w:color="auto"/>
        <w:bottom w:val="none" w:sz="0" w:space="0" w:color="auto"/>
        <w:right w:val="none" w:sz="0" w:space="0" w:color="auto"/>
      </w:divBdr>
    </w:div>
    <w:div w:id="312567650">
      <w:marLeft w:val="640"/>
      <w:marRight w:val="0"/>
      <w:marTop w:val="0"/>
      <w:marBottom w:val="0"/>
      <w:divBdr>
        <w:top w:val="none" w:sz="0" w:space="0" w:color="auto"/>
        <w:left w:val="none" w:sz="0" w:space="0" w:color="auto"/>
        <w:bottom w:val="none" w:sz="0" w:space="0" w:color="auto"/>
        <w:right w:val="none" w:sz="0" w:space="0" w:color="auto"/>
      </w:divBdr>
    </w:div>
    <w:div w:id="315182591">
      <w:bodyDiv w:val="1"/>
      <w:marLeft w:val="0"/>
      <w:marRight w:val="0"/>
      <w:marTop w:val="0"/>
      <w:marBottom w:val="0"/>
      <w:divBdr>
        <w:top w:val="none" w:sz="0" w:space="0" w:color="auto"/>
        <w:left w:val="none" w:sz="0" w:space="0" w:color="auto"/>
        <w:bottom w:val="none" w:sz="0" w:space="0" w:color="auto"/>
        <w:right w:val="none" w:sz="0" w:space="0" w:color="auto"/>
      </w:divBdr>
    </w:div>
    <w:div w:id="332030231">
      <w:marLeft w:val="640"/>
      <w:marRight w:val="0"/>
      <w:marTop w:val="0"/>
      <w:marBottom w:val="0"/>
      <w:divBdr>
        <w:top w:val="none" w:sz="0" w:space="0" w:color="auto"/>
        <w:left w:val="none" w:sz="0" w:space="0" w:color="auto"/>
        <w:bottom w:val="none" w:sz="0" w:space="0" w:color="auto"/>
        <w:right w:val="none" w:sz="0" w:space="0" w:color="auto"/>
      </w:divBdr>
    </w:div>
    <w:div w:id="333455759">
      <w:marLeft w:val="640"/>
      <w:marRight w:val="0"/>
      <w:marTop w:val="0"/>
      <w:marBottom w:val="0"/>
      <w:divBdr>
        <w:top w:val="none" w:sz="0" w:space="0" w:color="auto"/>
        <w:left w:val="none" w:sz="0" w:space="0" w:color="auto"/>
        <w:bottom w:val="none" w:sz="0" w:space="0" w:color="auto"/>
        <w:right w:val="none" w:sz="0" w:space="0" w:color="auto"/>
      </w:divBdr>
    </w:div>
    <w:div w:id="366493970">
      <w:bodyDiv w:val="1"/>
      <w:marLeft w:val="0"/>
      <w:marRight w:val="0"/>
      <w:marTop w:val="0"/>
      <w:marBottom w:val="0"/>
      <w:divBdr>
        <w:top w:val="none" w:sz="0" w:space="0" w:color="auto"/>
        <w:left w:val="none" w:sz="0" w:space="0" w:color="auto"/>
        <w:bottom w:val="none" w:sz="0" w:space="0" w:color="auto"/>
        <w:right w:val="none" w:sz="0" w:space="0" w:color="auto"/>
      </w:divBdr>
    </w:div>
    <w:div w:id="367218493">
      <w:marLeft w:val="640"/>
      <w:marRight w:val="0"/>
      <w:marTop w:val="0"/>
      <w:marBottom w:val="0"/>
      <w:divBdr>
        <w:top w:val="none" w:sz="0" w:space="0" w:color="auto"/>
        <w:left w:val="none" w:sz="0" w:space="0" w:color="auto"/>
        <w:bottom w:val="none" w:sz="0" w:space="0" w:color="auto"/>
        <w:right w:val="none" w:sz="0" w:space="0" w:color="auto"/>
      </w:divBdr>
    </w:div>
    <w:div w:id="379475349">
      <w:marLeft w:val="640"/>
      <w:marRight w:val="0"/>
      <w:marTop w:val="0"/>
      <w:marBottom w:val="0"/>
      <w:divBdr>
        <w:top w:val="none" w:sz="0" w:space="0" w:color="auto"/>
        <w:left w:val="none" w:sz="0" w:space="0" w:color="auto"/>
        <w:bottom w:val="none" w:sz="0" w:space="0" w:color="auto"/>
        <w:right w:val="none" w:sz="0" w:space="0" w:color="auto"/>
      </w:divBdr>
    </w:div>
    <w:div w:id="379669717">
      <w:bodyDiv w:val="1"/>
      <w:marLeft w:val="0"/>
      <w:marRight w:val="0"/>
      <w:marTop w:val="0"/>
      <w:marBottom w:val="0"/>
      <w:divBdr>
        <w:top w:val="none" w:sz="0" w:space="0" w:color="auto"/>
        <w:left w:val="none" w:sz="0" w:space="0" w:color="auto"/>
        <w:bottom w:val="none" w:sz="0" w:space="0" w:color="auto"/>
        <w:right w:val="none" w:sz="0" w:space="0" w:color="auto"/>
      </w:divBdr>
    </w:div>
    <w:div w:id="384111717">
      <w:bodyDiv w:val="1"/>
      <w:marLeft w:val="0"/>
      <w:marRight w:val="0"/>
      <w:marTop w:val="0"/>
      <w:marBottom w:val="0"/>
      <w:divBdr>
        <w:top w:val="none" w:sz="0" w:space="0" w:color="auto"/>
        <w:left w:val="none" w:sz="0" w:space="0" w:color="auto"/>
        <w:bottom w:val="none" w:sz="0" w:space="0" w:color="auto"/>
        <w:right w:val="none" w:sz="0" w:space="0" w:color="auto"/>
      </w:divBdr>
      <w:divsChild>
        <w:div w:id="16468758">
          <w:marLeft w:val="640"/>
          <w:marRight w:val="0"/>
          <w:marTop w:val="0"/>
          <w:marBottom w:val="0"/>
          <w:divBdr>
            <w:top w:val="none" w:sz="0" w:space="0" w:color="auto"/>
            <w:left w:val="none" w:sz="0" w:space="0" w:color="auto"/>
            <w:bottom w:val="none" w:sz="0" w:space="0" w:color="auto"/>
            <w:right w:val="none" w:sz="0" w:space="0" w:color="auto"/>
          </w:divBdr>
        </w:div>
        <w:div w:id="152114368">
          <w:marLeft w:val="640"/>
          <w:marRight w:val="0"/>
          <w:marTop w:val="0"/>
          <w:marBottom w:val="0"/>
          <w:divBdr>
            <w:top w:val="none" w:sz="0" w:space="0" w:color="auto"/>
            <w:left w:val="none" w:sz="0" w:space="0" w:color="auto"/>
            <w:bottom w:val="none" w:sz="0" w:space="0" w:color="auto"/>
            <w:right w:val="none" w:sz="0" w:space="0" w:color="auto"/>
          </w:divBdr>
        </w:div>
        <w:div w:id="505479283">
          <w:marLeft w:val="640"/>
          <w:marRight w:val="0"/>
          <w:marTop w:val="0"/>
          <w:marBottom w:val="0"/>
          <w:divBdr>
            <w:top w:val="none" w:sz="0" w:space="0" w:color="auto"/>
            <w:left w:val="none" w:sz="0" w:space="0" w:color="auto"/>
            <w:bottom w:val="none" w:sz="0" w:space="0" w:color="auto"/>
            <w:right w:val="none" w:sz="0" w:space="0" w:color="auto"/>
          </w:divBdr>
        </w:div>
        <w:div w:id="1621180189">
          <w:marLeft w:val="640"/>
          <w:marRight w:val="0"/>
          <w:marTop w:val="0"/>
          <w:marBottom w:val="0"/>
          <w:divBdr>
            <w:top w:val="none" w:sz="0" w:space="0" w:color="auto"/>
            <w:left w:val="none" w:sz="0" w:space="0" w:color="auto"/>
            <w:bottom w:val="none" w:sz="0" w:space="0" w:color="auto"/>
            <w:right w:val="none" w:sz="0" w:space="0" w:color="auto"/>
          </w:divBdr>
        </w:div>
        <w:div w:id="1714229648">
          <w:marLeft w:val="640"/>
          <w:marRight w:val="0"/>
          <w:marTop w:val="0"/>
          <w:marBottom w:val="0"/>
          <w:divBdr>
            <w:top w:val="none" w:sz="0" w:space="0" w:color="auto"/>
            <w:left w:val="none" w:sz="0" w:space="0" w:color="auto"/>
            <w:bottom w:val="none" w:sz="0" w:space="0" w:color="auto"/>
            <w:right w:val="none" w:sz="0" w:space="0" w:color="auto"/>
          </w:divBdr>
        </w:div>
        <w:div w:id="2096196484">
          <w:marLeft w:val="640"/>
          <w:marRight w:val="0"/>
          <w:marTop w:val="0"/>
          <w:marBottom w:val="0"/>
          <w:divBdr>
            <w:top w:val="none" w:sz="0" w:space="0" w:color="auto"/>
            <w:left w:val="none" w:sz="0" w:space="0" w:color="auto"/>
            <w:bottom w:val="none" w:sz="0" w:space="0" w:color="auto"/>
            <w:right w:val="none" w:sz="0" w:space="0" w:color="auto"/>
          </w:divBdr>
        </w:div>
      </w:divsChild>
    </w:div>
    <w:div w:id="389620633">
      <w:marLeft w:val="640"/>
      <w:marRight w:val="0"/>
      <w:marTop w:val="0"/>
      <w:marBottom w:val="0"/>
      <w:divBdr>
        <w:top w:val="none" w:sz="0" w:space="0" w:color="auto"/>
        <w:left w:val="none" w:sz="0" w:space="0" w:color="auto"/>
        <w:bottom w:val="none" w:sz="0" w:space="0" w:color="auto"/>
        <w:right w:val="none" w:sz="0" w:space="0" w:color="auto"/>
      </w:divBdr>
    </w:div>
    <w:div w:id="390930671">
      <w:marLeft w:val="640"/>
      <w:marRight w:val="0"/>
      <w:marTop w:val="0"/>
      <w:marBottom w:val="0"/>
      <w:divBdr>
        <w:top w:val="none" w:sz="0" w:space="0" w:color="auto"/>
        <w:left w:val="none" w:sz="0" w:space="0" w:color="auto"/>
        <w:bottom w:val="none" w:sz="0" w:space="0" w:color="auto"/>
        <w:right w:val="none" w:sz="0" w:space="0" w:color="auto"/>
      </w:divBdr>
    </w:div>
    <w:div w:id="398089578">
      <w:marLeft w:val="640"/>
      <w:marRight w:val="0"/>
      <w:marTop w:val="0"/>
      <w:marBottom w:val="0"/>
      <w:divBdr>
        <w:top w:val="none" w:sz="0" w:space="0" w:color="auto"/>
        <w:left w:val="none" w:sz="0" w:space="0" w:color="auto"/>
        <w:bottom w:val="none" w:sz="0" w:space="0" w:color="auto"/>
        <w:right w:val="none" w:sz="0" w:space="0" w:color="auto"/>
      </w:divBdr>
    </w:div>
    <w:div w:id="401491574">
      <w:marLeft w:val="640"/>
      <w:marRight w:val="0"/>
      <w:marTop w:val="0"/>
      <w:marBottom w:val="0"/>
      <w:divBdr>
        <w:top w:val="none" w:sz="0" w:space="0" w:color="auto"/>
        <w:left w:val="none" w:sz="0" w:space="0" w:color="auto"/>
        <w:bottom w:val="none" w:sz="0" w:space="0" w:color="auto"/>
        <w:right w:val="none" w:sz="0" w:space="0" w:color="auto"/>
      </w:divBdr>
    </w:div>
    <w:div w:id="420882532">
      <w:marLeft w:val="640"/>
      <w:marRight w:val="0"/>
      <w:marTop w:val="0"/>
      <w:marBottom w:val="0"/>
      <w:divBdr>
        <w:top w:val="none" w:sz="0" w:space="0" w:color="auto"/>
        <w:left w:val="none" w:sz="0" w:space="0" w:color="auto"/>
        <w:bottom w:val="none" w:sz="0" w:space="0" w:color="auto"/>
        <w:right w:val="none" w:sz="0" w:space="0" w:color="auto"/>
      </w:divBdr>
    </w:div>
    <w:div w:id="423959160">
      <w:marLeft w:val="640"/>
      <w:marRight w:val="0"/>
      <w:marTop w:val="0"/>
      <w:marBottom w:val="0"/>
      <w:divBdr>
        <w:top w:val="none" w:sz="0" w:space="0" w:color="auto"/>
        <w:left w:val="none" w:sz="0" w:space="0" w:color="auto"/>
        <w:bottom w:val="none" w:sz="0" w:space="0" w:color="auto"/>
        <w:right w:val="none" w:sz="0" w:space="0" w:color="auto"/>
      </w:divBdr>
    </w:div>
    <w:div w:id="434906555">
      <w:marLeft w:val="640"/>
      <w:marRight w:val="0"/>
      <w:marTop w:val="0"/>
      <w:marBottom w:val="0"/>
      <w:divBdr>
        <w:top w:val="none" w:sz="0" w:space="0" w:color="auto"/>
        <w:left w:val="none" w:sz="0" w:space="0" w:color="auto"/>
        <w:bottom w:val="none" w:sz="0" w:space="0" w:color="auto"/>
        <w:right w:val="none" w:sz="0" w:space="0" w:color="auto"/>
      </w:divBdr>
    </w:div>
    <w:div w:id="438645245">
      <w:marLeft w:val="640"/>
      <w:marRight w:val="0"/>
      <w:marTop w:val="0"/>
      <w:marBottom w:val="0"/>
      <w:divBdr>
        <w:top w:val="none" w:sz="0" w:space="0" w:color="auto"/>
        <w:left w:val="none" w:sz="0" w:space="0" w:color="auto"/>
        <w:bottom w:val="none" w:sz="0" w:space="0" w:color="auto"/>
        <w:right w:val="none" w:sz="0" w:space="0" w:color="auto"/>
      </w:divBdr>
    </w:div>
    <w:div w:id="438917985">
      <w:marLeft w:val="640"/>
      <w:marRight w:val="0"/>
      <w:marTop w:val="0"/>
      <w:marBottom w:val="0"/>
      <w:divBdr>
        <w:top w:val="none" w:sz="0" w:space="0" w:color="auto"/>
        <w:left w:val="none" w:sz="0" w:space="0" w:color="auto"/>
        <w:bottom w:val="none" w:sz="0" w:space="0" w:color="auto"/>
        <w:right w:val="none" w:sz="0" w:space="0" w:color="auto"/>
      </w:divBdr>
    </w:div>
    <w:div w:id="444429444">
      <w:marLeft w:val="640"/>
      <w:marRight w:val="0"/>
      <w:marTop w:val="0"/>
      <w:marBottom w:val="0"/>
      <w:divBdr>
        <w:top w:val="none" w:sz="0" w:space="0" w:color="auto"/>
        <w:left w:val="none" w:sz="0" w:space="0" w:color="auto"/>
        <w:bottom w:val="none" w:sz="0" w:space="0" w:color="auto"/>
        <w:right w:val="none" w:sz="0" w:space="0" w:color="auto"/>
      </w:divBdr>
    </w:div>
    <w:div w:id="452096097">
      <w:marLeft w:val="640"/>
      <w:marRight w:val="0"/>
      <w:marTop w:val="0"/>
      <w:marBottom w:val="0"/>
      <w:divBdr>
        <w:top w:val="none" w:sz="0" w:space="0" w:color="auto"/>
        <w:left w:val="none" w:sz="0" w:space="0" w:color="auto"/>
        <w:bottom w:val="none" w:sz="0" w:space="0" w:color="auto"/>
        <w:right w:val="none" w:sz="0" w:space="0" w:color="auto"/>
      </w:divBdr>
    </w:div>
    <w:div w:id="455414529">
      <w:marLeft w:val="640"/>
      <w:marRight w:val="0"/>
      <w:marTop w:val="0"/>
      <w:marBottom w:val="0"/>
      <w:divBdr>
        <w:top w:val="none" w:sz="0" w:space="0" w:color="auto"/>
        <w:left w:val="none" w:sz="0" w:space="0" w:color="auto"/>
        <w:bottom w:val="none" w:sz="0" w:space="0" w:color="auto"/>
        <w:right w:val="none" w:sz="0" w:space="0" w:color="auto"/>
      </w:divBdr>
    </w:div>
    <w:div w:id="473791522">
      <w:bodyDiv w:val="1"/>
      <w:marLeft w:val="0"/>
      <w:marRight w:val="0"/>
      <w:marTop w:val="0"/>
      <w:marBottom w:val="0"/>
      <w:divBdr>
        <w:top w:val="none" w:sz="0" w:space="0" w:color="auto"/>
        <w:left w:val="none" w:sz="0" w:space="0" w:color="auto"/>
        <w:bottom w:val="none" w:sz="0" w:space="0" w:color="auto"/>
        <w:right w:val="none" w:sz="0" w:space="0" w:color="auto"/>
      </w:divBdr>
    </w:div>
    <w:div w:id="484199080">
      <w:bodyDiv w:val="1"/>
      <w:marLeft w:val="0"/>
      <w:marRight w:val="0"/>
      <w:marTop w:val="0"/>
      <w:marBottom w:val="0"/>
      <w:divBdr>
        <w:top w:val="none" w:sz="0" w:space="0" w:color="auto"/>
        <w:left w:val="none" w:sz="0" w:space="0" w:color="auto"/>
        <w:bottom w:val="none" w:sz="0" w:space="0" w:color="auto"/>
        <w:right w:val="none" w:sz="0" w:space="0" w:color="auto"/>
      </w:divBdr>
      <w:divsChild>
        <w:div w:id="320083329">
          <w:marLeft w:val="640"/>
          <w:marRight w:val="0"/>
          <w:marTop w:val="0"/>
          <w:marBottom w:val="0"/>
          <w:divBdr>
            <w:top w:val="none" w:sz="0" w:space="0" w:color="auto"/>
            <w:left w:val="none" w:sz="0" w:space="0" w:color="auto"/>
            <w:bottom w:val="none" w:sz="0" w:space="0" w:color="auto"/>
            <w:right w:val="none" w:sz="0" w:space="0" w:color="auto"/>
          </w:divBdr>
        </w:div>
        <w:div w:id="414517283">
          <w:marLeft w:val="640"/>
          <w:marRight w:val="0"/>
          <w:marTop w:val="0"/>
          <w:marBottom w:val="0"/>
          <w:divBdr>
            <w:top w:val="none" w:sz="0" w:space="0" w:color="auto"/>
            <w:left w:val="none" w:sz="0" w:space="0" w:color="auto"/>
            <w:bottom w:val="none" w:sz="0" w:space="0" w:color="auto"/>
            <w:right w:val="none" w:sz="0" w:space="0" w:color="auto"/>
          </w:divBdr>
        </w:div>
        <w:div w:id="666399500">
          <w:marLeft w:val="640"/>
          <w:marRight w:val="0"/>
          <w:marTop w:val="0"/>
          <w:marBottom w:val="0"/>
          <w:divBdr>
            <w:top w:val="none" w:sz="0" w:space="0" w:color="auto"/>
            <w:left w:val="none" w:sz="0" w:space="0" w:color="auto"/>
            <w:bottom w:val="none" w:sz="0" w:space="0" w:color="auto"/>
            <w:right w:val="none" w:sz="0" w:space="0" w:color="auto"/>
          </w:divBdr>
        </w:div>
        <w:div w:id="875045918">
          <w:marLeft w:val="640"/>
          <w:marRight w:val="0"/>
          <w:marTop w:val="0"/>
          <w:marBottom w:val="0"/>
          <w:divBdr>
            <w:top w:val="none" w:sz="0" w:space="0" w:color="auto"/>
            <w:left w:val="none" w:sz="0" w:space="0" w:color="auto"/>
            <w:bottom w:val="none" w:sz="0" w:space="0" w:color="auto"/>
            <w:right w:val="none" w:sz="0" w:space="0" w:color="auto"/>
          </w:divBdr>
        </w:div>
        <w:div w:id="927537106">
          <w:marLeft w:val="640"/>
          <w:marRight w:val="0"/>
          <w:marTop w:val="0"/>
          <w:marBottom w:val="0"/>
          <w:divBdr>
            <w:top w:val="none" w:sz="0" w:space="0" w:color="auto"/>
            <w:left w:val="none" w:sz="0" w:space="0" w:color="auto"/>
            <w:bottom w:val="none" w:sz="0" w:space="0" w:color="auto"/>
            <w:right w:val="none" w:sz="0" w:space="0" w:color="auto"/>
          </w:divBdr>
        </w:div>
        <w:div w:id="1006058659">
          <w:marLeft w:val="640"/>
          <w:marRight w:val="0"/>
          <w:marTop w:val="0"/>
          <w:marBottom w:val="0"/>
          <w:divBdr>
            <w:top w:val="none" w:sz="0" w:space="0" w:color="auto"/>
            <w:left w:val="none" w:sz="0" w:space="0" w:color="auto"/>
            <w:bottom w:val="none" w:sz="0" w:space="0" w:color="auto"/>
            <w:right w:val="none" w:sz="0" w:space="0" w:color="auto"/>
          </w:divBdr>
        </w:div>
        <w:div w:id="1083067633">
          <w:marLeft w:val="640"/>
          <w:marRight w:val="0"/>
          <w:marTop w:val="0"/>
          <w:marBottom w:val="0"/>
          <w:divBdr>
            <w:top w:val="none" w:sz="0" w:space="0" w:color="auto"/>
            <w:left w:val="none" w:sz="0" w:space="0" w:color="auto"/>
            <w:bottom w:val="none" w:sz="0" w:space="0" w:color="auto"/>
            <w:right w:val="none" w:sz="0" w:space="0" w:color="auto"/>
          </w:divBdr>
        </w:div>
        <w:div w:id="1203716131">
          <w:marLeft w:val="640"/>
          <w:marRight w:val="0"/>
          <w:marTop w:val="0"/>
          <w:marBottom w:val="0"/>
          <w:divBdr>
            <w:top w:val="none" w:sz="0" w:space="0" w:color="auto"/>
            <w:left w:val="none" w:sz="0" w:space="0" w:color="auto"/>
            <w:bottom w:val="none" w:sz="0" w:space="0" w:color="auto"/>
            <w:right w:val="none" w:sz="0" w:space="0" w:color="auto"/>
          </w:divBdr>
        </w:div>
        <w:div w:id="1277525144">
          <w:marLeft w:val="640"/>
          <w:marRight w:val="0"/>
          <w:marTop w:val="0"/>
          <w:marBottom w:val="0"/>
          <w:divBdr>
            <w:top w:val="none" w:sz="0" w:space="0" w:color="auto"/>
            <w:left w:val="none" w:sz="0" w:space="0" w:color="auto"/>
            <w:bottom w:val="none" w:sz="0" w:space="0" w:color="auto"/>
            <w:right w:val="none" w:sz="0" w:space="0" w:color="auto"/>
          </w:divBdr>
        </w:div>
        <w:div w:id="1277978968">
          <w:marLeft w:val="640"/>
          <w:marRight w:val="0"/>
          <w:marTop w:val="0"/>
          <w:marBottom w:val="0"/>
          <w:divBdr>
            <w:top w:val="none" w:sz="0" w:space="0" w:color="auto"/>
            <w:left w:val="none" w:sz="0" w:space="0" w:color="auto"/>
            <w:bottom w:val="none" w:sz="0" w:space="0" w:color="auto"/>
            <w:right w:val="none" w:sz="0" w:space="0" w:color="auto"/>
          </w:divBdr>
        </w:div>
        <w:div w:id="1343511234">
          <w:marLeft w:val="640"/>
          <w:marRight w:val="0"/>
          <w:marTop w:val="0"/>
          <w:marBottom w:val="0"/>
          <w:divBdr>
            <w:top w:val="none" w:sz="0" w:space="0" w:color="auto"/>
            <w:left w:val="none" w:sz="0" w:space="0" w:color="auto"/>
            <w:bottom w:val="none" w:sz="0" w:space="0" w:color="auto"/>
            <w:right w:val="none" w:sz="0" w:space="0" w:color="auto"/>
          </w:divBdr>
        </w:div>
        <w:div w:id="1350522157">
          <w:marLeft w:val="640"/>
          <w:marRight w:val="0"/>
          <w:marTop w:val="0"/>
          <w:marBottom w:val="0"/>
          <w:divBdr>
            <w:top w:val="none" w:sz="0" w:space="0" w:color="auto"/>
            <w:left w:val="none" w:sz="0" w:space="0" w:color="auto"/>
            <w:bottom w:val="none" w:sz="0" w:space="0" w:color="auto"/>
            <w:right w:val="none" w:sz="0" w:space="0" w:color="auto"/>
          </w:divBdr>
        </w:div>
        <w:div w:id="1432358594">
          <w:marLeft w:val="640"/>
          <w:marRight w:val="0"/>
          <w:marTop w:val="0"/>
          <w:marBottom w:val="0"/>
          <w:divBdr>
            <w:top w:val="none" w:sz="0" w:space="0" w:color="auto"/>
            <w:left w:val="none" w:sz="0" w:space="0" w:color="auto"/>
            <w:bottom w:val="none" w:sz="0" w:space="0" w:color="auto"/>
            <w:right w:val="none" w:sz="0" w:space="0" w:color="auto"/>
          </w:divBdr>
        </w:div>
        <w:div w:id="1492913859">
          <w:marLeft w:val="640"/>
          <w:marRight w:val="0"/>
          <w:marTop w:val="0"/>
          <w:marBottom w:val="0"/>
          <w:divBdr>
            <w:top w:val="none" w:sz="0" w:space="0" w:color="auto"/>
            <w:left w:val="none" w:sz="0" w:space="0" w:color="auto"/>
            <w:bottom w:val="none" w:sz="0" w:space="0" w:color="auto"/>
            <w:right w:val="none" w:sz="0" w:space="0" w:color="auto"/>
          </w:divBdr>
        </w:div>
        <w:div w:id="1778140587">
          <w:marLeft w:val="640"/>
          <w:marRight w:val="0"/>
          <w:marTop w:val="0"/>
          <w:marBottom w:val="0"/>
          <w:divBdr>
            <w:top w:val="none" w:sz="0" w:space="0" w:color="auto"/>
            <w:left w:val="none" w:sz="0" w:space="0" w:color="auto"/>
            <w:bottom w:val="none" w:sz="0" w:space="0" w:color="auto"/>
            <w:right w:val="none" w:sz="0" w:space="0" w:color="auto"/>
          </w:divBdr>
        </w:div>
        <w:div w:id="1805655237">
          <w:marLeft w:val="640"/>
          <w:marRight w:val="0"/>
          <w:marTop w:val="0"/>
          <w:marBottom w:val="0"/>
          <w:divBdr>
            <w:top w:val="none" w:sz="0" w:space="0" w:color="auto"/>
            <w:left w:val="none" w:sz="0" w:space="0" w:color="auto"/>
            <w:bottom w:val="none" w:sz="0" w:space="0" w:color="auto"/>
            <w:right w:val="none" w:sz="0" w:space="0" w:color="auto"/>
          </w:divBdr>
        </w:div>
      </w:divsChild>
    </w:div>
    <w:div w:id="491920303">
      <w:marLeft w:val="640"/>
      <w:marRight w:val="0"/>
      <w:marTop w:val="0"/>
      <w:marBottom w:val="0"/>
      <w:divBdr>
        <w:top w:val="none" w:sz="0" w:space="0" w:color="auto"/>
        <w:left w:val="none" w:sz="0" w:space="0" w:color="auto"/>
        <w:bottom w:val="none" w:sz="0" w:space="0" w:color="auto"/>
        <w:right w:val="none" w:sz="0" w:space="0" w:color="auto"/>
      </w:divBdr>
    </w:div>
    <w:div w:id="493226363">
      <w:bodyDiv w:val="1"/>
      <w:marLeft w:val="0"/>
      <w:marRight w:val="0"/>
      <w:marTop w:val="0"/>
      <w:marBottom w:val="0"/>
      <w:divBdr>
        <w:top w:val="none" w:sz="0" w:space="0" w:color="auto"/>
        <w:left w:val="none" w:sz="0" w:space="0" w:color="auto"/>
        <w:bottom w:val="none" w:sz="0" w:space="0" w:color="auto"/>
        <w:right w:val="none" w:sz="0" w:space="0" w:color="auto"/>
      </w:divBdr>
    </w:div>
    <w:div w:id="495920301">
      <w:marLeft w:val="640"/>
      <w:marRight w:val="0"/>
      <w:marTop w:val="0"/>
      <w:marBottom w:val="0"/>
      <w:divBdr>
        <w:top w:val="none" w:sz="0" w:space="0" w:color="auto"/>
        <w:left w:val="none" w:sz="0" w:space="0" w:color="auto"/>
        <w:bottom w:val="none" w:sz="0" w:space="0" w:color="auto"/>
        <w:right w:val="none" w:sz="0" w:space="0" w:color="auto"/>
      </w:divBdr>
    </w:div>
    <w:div w:id="500049943">
      <w:marLeft w:val="640"/>
      <w:marRight w:val="0"/>
      <w:marTop w:val="0"/>
      <w:marBottom w:val="0"/>
      <w:divBdr>
        <w:top w:val="none" w:sz="0" w:space="0" w:color="auto"/>
        <w:left w:val="none" w:sz="0" w:space="0" w:color="auto"/>
        <w:bottom w:val="none" w:sz="0" w:space="0" w:color="auto"/>
        <w:right w:val="none" w:sz="0" w:space="0" w:color="auto"/>
      </w:divBdr>
    </w:div>
    <w:div w:id="510414932">
      <w:bodyDiv w:val="1"/>
      <w:marLeft w:val="0"/>
      <w:marRight w:val="0"/>
      <w:marTop w:val="0"/>
      <w:marBottom w:val="0"/>
      <w:divBdr>
        <w:top w:val="none" w:sz="0" w:space="0" w:color="auto"/>
        <w:left w:val="none" w:sz="0" w:space="0" w:color="auto"/>
        <w:bottom w:val="none" w:sz="0" w:space="0" w:color="auto"/>
        <w:right w:val="none" w:sz="0" w:space="0" w:color="auto"/>
      </w:divBdr>
    </w:div>
    <w:div w:id="514882194">
      <w:marLeft w:val="640"/>
      <w:marRight w:val="0"/>
      <w:marTop w:val="0"/>
      <w:marBottom w:val="0"/>
      <w:divBdr>
        <w:top w:val="none" w:sz="0" w:space="0" w:color="auto"/>
        <w:left w:val="none" w:sz="0" w:space="0" w:color="auto"/>
        <w:bottom w:val="none" w:sz="0" w:space="0" w:color="auto"/>
        <w:right w:val="none" w:sz="0" w:space="0" w:color="auto"/>
      </w:divBdr>
    </w:div>
    <w:div w:id="521555174">
      <w:marLeft w:val="640"/>
      <w:marRight w:val="0"/>
      <w:marTop w:val="0"/>
      <w:marBottom w:val="0"/>
      <w:divBdr>
        <w:top w:val="none" w:sz="0" w:space="0" w:color="auto"/>
        <w:left w:val="none" w:sz="0" w:space="0" w:color="auto"/>
        <w:bottom w:val="none" w:sz="0" w:space="0" w:color="auto"/>
        <w:right w:val="none" w:sz="0" w:space="0" w:color="auto"/>
      </w:divBdr>
    </w:div>
    <w:div w:id="547110042">
      <w:marLeft w:val="640"/>
      <w:marRight w:val="0"/>
      <w:marTop w:val="0"/>
      <w:marBottom w:val="0"/>
      <w:divBdr>
        <w:top w:val="none" w:sz="0" w:space="0" w:color="auto"/>
        <w:left w:val="none" w:sz="0" w:space="0" w:color="auto"/>
        <w:bottom w:val="none" w:sz="0" w:space="0" w:color="auto"/>
        <w:right w:val="none" w:sz="0" w:space="0" w:color="auto"/>
      </w:divBdr>
    </w:div>
    <w:div w:id="549463662">
      <w:marLeft w:val="640"/>
      <w:marRight w:val="0"/>
      <w:marTop w:val="0"/>
      <w:marBottom w:val="0"/>
      <w:divBdr>
        <w:top w:val="none" w:sz="0" w:space="0" w:color="auto"/>
        <w:left w:val="none" w:sz="0" w:space="0" w:color="auto"/>
        <w:bottom w:val="none" w:sz="0" w:space="0" w:color="auto"/>
        <w:right w:val="none" w:sz="0" w:space="0" w:color="auto"/>
      </w:divBdr>
    </w:div>
    <w:div w:id="552886186">
      <w:bodyDiv w:val="1"/>
      <w:marLeft w:val="0"/>
      <w:marRight w:val="0"/>
      <w:marTop w:val="0"/>
      <w:marBottom w:val="0"/>
      <w:divBdr>
        <w:top w:val="none" w:sz="0" w:space="0" w:color="auto"/>
        <w:left w:val="none" w:sz="0" w:space="0" w:color="auto"/>
        <w:bottom w:val="none" w:sz="0" w:space="0" w:color="auto"/>
        <w:right w:val="none" w:sz="0" w:space="0" w:color="auto"/>
      </w:divBdr>
      <w:divsChild>
        <w:div w:id="274336952">
          <w:marLeft w:val="0"/>
          <w:marRight w:val="0"/>
          <w:marTop w:val="0"/>
          <w:marBottom w:val="0"/>
          <w:divBdr>
            <w:top w:val="none" w:sz="0" w:space="0" w:color="auto"/>
            <w:left w:val="none" w:sz="0" w:space="0" w:color="auto"/>
            <w:bottom w:val="single" w:sz="12" w:space="4" w:color="D3D3D3"/>
            <w:right w:val="none" w:sz="0" w:space="0" w:color="auto"/>
          </w:divBdr>
        </w:div>
      </w:divsChild>
    </w:div>
    <w:div w:id="557790297">
      <w:marLeft w:val="640"/>
      <w:marRight w:val="0"/>
      <w:marTop w:val="0"/>
      <w:marBottom w:val="0"/>
      <w:divBdr>
        <w:top w:val="none" w:sz="0" w:space="0" w:color="auto"/>
        <w:left w:val="none" w:sz="0" w:space="0" w:color="auto"/>
        <w:bottom w:val="none" w:sz="0" w:space="0" w:color="auto"/>
        <w:right w:val="none" w:sz="0" w:space="0" w:color="auto"/>
      </w:divBdr>
    </w:div>
    <w:div w:id="569921112">
      <w:marLeft w:val="640"/>
      <w:marRight w:val="0"/>
      <w:marTop w:val="0"/>
      <w:marBottom w:val="0"/>
      <w:divBdr>
        <w:top w:val="none" w:sz="0" w:space="0" w:color="auto"/>
        <w:left w:val="none" w:sz="0" w:space="0" w:color="auto"/>
        <w:bottom w:val="none" w:sz="0" w:space="0" w:color="auto"/>
        <w:right w:val="none" w:sz="0" w:space="0" w:color="auto"/>
      </w:divBdr>
    </w:div>
    <w:div w:id="571427109">
      <w:bodyDiv w:val="1"/>
      <w:marLeft w:val="0"/>
      <w:marRight w:val="0"/>
      <w:marTop w:val="0"/>
      <w:marBottom w:val="0"/>
      <w:divBdr>
        <w:top w:val="none" w:sz="0" w:space="0" w:color="auto"/>
        <w:left w:val="none" w:sz="0" w:space="0" w:color="auto"/>
        <w:bottom w:val="none" w:sz="0" w:space="0" w:color="auto"/>
        <w:right w:val="none" w:sz="0" w:space="0" w:color="auto"/>
      </w:divBdr>
      <w:divsChild>
        <w:div w:id="396363644">
          <w:marLeft w:val="640"/>
          <w:marRight w:val="0"/>
          <w:marTop w:val="0"/>
          <w:marBottom w:val="0"/>
          <w:divBdr>
            <w:top w:val="none" w:sz="0" w:space="0" w:color="auto"/>
            <w:left w:val="none" w:sz="0" w:space="0" w:color="auto"/>
            <w:bottom w:val="none" w:sz="0" w:space="0" w:color="auto"/>
            <w:right w:val="none" w:sz="0" w:space="0" w:color="auto"/>
          </w:divBdr>
        </w:div>
        <w:div w:id="609632827">
          <w:marLeft w:val="640"/>
          <w:marRight w:val="0"/>
          <w:marTop w:val="0"/>
          <w:marBottom w:val="0"/>
          <w:divBdr>
            <w:top w:val="none" w:sz="0" w:space="0" w:color="auto"/>
            <w:left w:val="none" w:sz="0" w:space="0" w:color="auto"/>
            <w:bottom w:val="none" w:sz="0" w:space="0" w:color="auto"/>
            <w:right w:val="none" w:sz="0" w:space="0" w:color="auto"/>
          </w:divBdr>
        </w:div>
        <w:div w:id="673342133">
          <w:marLeft w:val="640"/>
          <w:marRight w:val="0"/>
          <w:marTop w:val="0"/>
          <w:marBottom w:val="0"/>
          <w:divBdr>
            <w:top w:val="none" w:sz="0" w:space="0" w:color="auto"/>
            <w:left w:val="none" w:sz="0" w:space="0" w:color="auto"/>
            <w:bottom w:val="none" w:sz="0" w:space="0" w:color="auto"/>
            <w:right w:val="none" w:sz="0" w:space="0" w:color="auto"/>
          </w:divBdr>
        </w:div>
        <w:div w:id="935940752">
          <w:marLeft w:val="640"/>
          <w:marRight w:val="0"/>
          <w:marTop w:val="0"/>
          <w:marBottom w:val="0"/>
          <w:divBdr>
            <w:top w:val="none" w:sz="0" w:space="0" w:color="auto"/>
            <w:left w:val="none" w:sz="0" w:space="0" w:color="auto"/>
            <w:bottom w:val="none" w:sz="0" w:space="0" w:color="auto"/>
            <w:right w:val="none" w:sz="0" w:space="0" w:color="auto"/>
          </w:divBdr>
        </w:div>
        <w:div w:id="1315062801">
          <w:marLeft w:val="640"/>
          <w:marRight w:val="0"/>
          <w:marTop w:val="0"/>
          <w:marBottom w:val="0"/>
          <w:divBdr>
            <w:top w:val="none" w:sz="0" w:space="0" w:color="auto"/>
            <w:left w:val="none" w:sz="0" w:space="0" w:color="auto"/>
            <w:bottom w:val="none" w:sz="0" w:space="0" w:color="auto"/>
            <w:right w:val="none" w:sz="0" w:space="0" w:color="auto"/>
          </w:divBdr>
        </w:div>
        <w:div w:id="1451586109">
          <w:marLeft w:val="640"/>
          <w:marRight w:val="0"/>
          <w:marTop w:val="0"/>
          <w:marBottom w:val="0"/>
          <w:divBdr>
            <w:top w:val="none" w:sz="0" w:space="0" w:color="auto"/>
            <w:left w:val="none" w:sz="0" w:space="0" w:color="auto"/>
            <w:bottom w:val="none" w:sz="0" w:space="0" w:color="auto"/>
            <w:right w:val="none" w:sz="0" w:space="0" w:color="auto"/>
          </w:divBdr>
        </w:div>
      </w:divsChild>
    </w:div>
    <w:div w:id="596714818">
      <w:bodyDiv w:val="1"/>
      <w:marLeft w:val="0"/>
      <w:marRight w:val="0"/>
      <w:marTop w:val="0"/>
      <w:marBottom w:val="0"/>
      <w:divBdr>
        <w:top w:val="none" w:sz="0" w:space="0" w:color="auto"/>
        <w:left w:val="none" w:sz="0" w:space="0" w:color="auto"/>
        <w:bottom w:val="none" w:sz="0" w:space="0" w:color="auto"/>
        <w:right w:val="none" w:sz="0" w:space="0" w:color="auto"/>
      </w:divBdr>
    </w:div>
    <w:div w:id="626008476">
      <w:marLeft w:val="640"/>
      <w:marRight w:val="0"/>
      <w:marTop w:val="0"/>
      <w:marBottom w:val="0"/>
      <w:divBdr>
        <w:top w:val="none" w:sz="0" w:space="0" w:color="auto"/>
        <w:left w:val="none" w:sz="0" w:space="0" w:color="auto"/>
        <w:bottom w:val="none" w:sz="0" w:space="0" w:color="auto"/>
        <w:right w:val="none" w:sz="0" w:space="0" w:color="auto"/>
      </w:divBdr>
    </w:div>
    <w:div w:id="629750976">
      <w:marLeft w:val="640"/>
      <w:marRight w:val="0"/>
      <w:marTop w:val="0"/>
      <w:marBottom w:val="0"/>
      <w:divBdr>
        <w:top w:val="none" w:sz="0" w:space="0" w:color="auto"/>
        <w:left w:val="none" w:sz="0" w:space="0" w:color="auto"/>
        <w:bottom w:val="none" w:sz="0" w:space="0" w:color="auto"/>
        <w:right w:val="none" w:sz="0" w:space="0" w:color="auto"/>
      </w:divBdr>
    </w:div>
    <w:div w:id="630403004">
      <w:bodyDiv w:val="1"/>
      <w:marLeft w:val="0"/>
      <w:marRight w:val="0"/>
      <w:marTop w:val="0"/>
      <w:marBottom w:val="0"/>
      <w:divBdr>
        <w:top w:val="none" w:sz="0" w:space="0" w:color="auto"/>
        <w:left w:val="none" w:sz="0" w:space="0" w:color="auto"/>
        <w:bottom w:val="none" w:sz="0" w:space="0" w:color="auto"/>
        <w:right w:val="none" w:sz="0" w:space="0" w:color="auto"/>
      </w:divBdr>
      <w:divsChild>
        <w:div w:id="78912182">
          <w:marLeft w:val="640"/>
          <w:marRight w:val="0"/>
          <w:marTop w:val="0"/>
          <w:marBottom w:val="0"/>
          <w:divBdr>
            <w:top w:val="none" w:sz="0" w:space="0" w:color="auto"/>
            <w:left w:val="none" w:sz="0" w:space="0" w:color="auto"/>
            <w:bottom w:val="none" w:sz="0" w:space="0" w:color="auto"/>
            <w:right w:val="none" w:sz="0" w:space="0" w:color="auto"/>
          </w:divBdr>
        </w:div>
        <w:div w:id="107244075">
          <w:marLeft w:val="640"/>
          <w:marRight w:val="0"/>
          <w:marTop w:val="0"/>
          <w:marBottom w:val="0"/>
          <w:divBdr>
            <w:top w:val="none" w:sz="0" w:space="0" w:color="auto"/>
            <w:left w:val="none" w:sz="0" w:space="0" w:color="auto"/>
            <w:bottom w:val="none" w:sz="0" w:space="0" w:color="auto"/>
            <w:right w:val="none" w:sz="0" w:space="0" w:color="auto"/>
          </w:divBdr>
        </w:div>
        <w:div w:id="762147700">
          <w:marLeft w:val="640"/>
          <w:marRight w:val="0"/>
          <w:marTop w:val="0"/>
          <w:marBottom w:val="0"/>
          <w:divBdr>
            <w:top w:val="none" w:sz="0" w:space="0" w:color="auto"/>
            <w:left w:val="none" w:sz="0" w:space="0" w:color="auto"/>
            <w:bottom w:val="none" w:sz="0" w:space="0" w:color="auto"/>
            <w:right w:val="none" w:sz="0" w:space="0" w:color="auto"/>
          </w:divBdr>
        </w:div>
        <w:div w:id="772357500">
          <w:marLeft w:val="640"/>
          <w:marRight w:val="0"/>
          <w:marTop w:val="0"/>
          <w:marBottom w:val="0"/>
          <w:divBdr>
            <w:top w:val="none" w:sz="0" w:space="0" w:color="auto"/>
            <w:left w:val="none" w:sz="0" w:space="0" w:color="auto"/>
            <w:bottom w:val="none" w:sz="0" w:space="0" w:color="auto"/>
            <w:right w:val="none" w:sz="0" w:space="0" w:color="auto"/>
          </w:divBdr>
        </w:div>
        <w:div w:id="1243371723">
          <w:marLeft w:val="640"/>
          <w:marRight w:val="0"/>
          <w:marTop w:val="0"/>
          <w:marBottom w:val="0"/>
          <w:divBdr>
            <w:top w:val="none" w:sz="0" w:space="0" w:color="auto"/>
            <w:left w:val="none" w:sz="0" w:space="0" w:color="auto"/>
            <w:bottom w:val="none" w:sz="0" w:space="0" w:color="auto"/>
            <w:right w:val="none" w:sz="0" w:space="0" w:color="auto"/>
          </w:divBdr>
        </w:div>
        <w:div w:id="1259798659">
          <w:marLeft w:val="640"/>
          <w:marRight w:val="0"/>
          <w:marTop w:val="0"/>
          <w:marBottom w:val="0"/>
          <w:divBdr>
            <w:top w:val="none" w:sz="0" w:space="0" w:color="auto"/>
            <w:left w:val="none" w:sz="0" w:space="0" w:color="auto"/>
            <w:bottom w:val="none" w:sz="0" w:space="0" w:color="auto"/>
            <w:right w:val="none" w:sz="0" w:space="0" w:color="auto"/>
          </w:divBdr>
        </w:div>
        <w:div w:id="1305814413">
          <w:marLeft w:val="640"/>
          <w:marRight w:val="0"/>
          <w:marTop w:val="0"/>
          <w:marBottom w:val="0"/>
          <w:divBdr>
            <w:top w:val="none" w:sz="0" w:space="0" w:color="auto"/>
            <w:left w:val="none" w:sz="0" w:space="0" w:color="auto"/>
            <w:bottom w:val="none" w:sz="0" w:space="0" w:color="auto"/>
            <w:right w:val="none" w:sz="0" w:space="0" w:color="auto"/>
          </w:divBdr>
        </w:div>
        <w:div w:id="1390228495">
          <w:marLeft w:val="640"/>
          <w:marRight w:val="0"/>
          <w:marTop w:val="0"/>
          <w:marBottom w:val="0"/>
          <w:divBdr>
            <w:top w:val="none" w:sz="0" w:space="0" w:color="auto"/>
            <w:left w:val="none" w:sz="0" w:space="0" w:color="auto"/>
            <w:bottom w:val="none" w:sz="0" w:space="0" w:color="auto"/>
            <w:right w:val="none" w:sz="0" w:space="0" w:color="auto"/>
          </w:divBdr>
        </w:div>
        <w:div w:id="1390302295">
          <w:marLeft w:val="640"/>
          <w:marRight w:val="0"/>
          <w:marTop w:val="0"/>
          <w:marBottom w:val="0"/>
          <w:divBdr>
            <w:top w:val="none" w:sz="0" w:space="0" w:color="auto"/>
            <w:left w:val="none" w:sz="0" w:space="0" w:color="auto"/>
            <w:bottom w:val="none" w:sz="0" w:space="0" w:color="auto"/>
            <w:right w:val="none" w:sz="0" w:space="0" w:color="auto"/>
          </w:divBdr>
        </w:div>
        <w:div w:id="1558709585">
          <w:marLeft w:val="640"/>
          <w:marRight w:val="0"/>
          <w:marTop w:val="0"/>
          <w:marBottom w:val="0"/>
          <w:divBdr>
            <w:top w:val="none" w:sz="0" w:space="0" w:color="auto"/>
            <w:left w:val="none" w:sz="0" w:space="0" w:color="auto"/>
            <w:bottom w:val="none" w:sz="0" w:space="0" w:color="auto"/>
            <w:right w:val="none" w:sz="0" w:space="0" w:color="auto"/>
          </w:divBdr>
        </w:div>
        <w:div w:id="1650549723">
          <w:marLeft w:val="640"/>
          <w:marRight w:val="0"/>
          <w:marTop w:val="0"/>
          <w:marBottom w:val="0"/>
          <w:divBdr>
            <w:top w:val="none" w:sz="0" w:space="0" w:color="auto"/>
            <w:left w:val="none" w:sz="0" w:space="0" w:color="auto"/>
            <w:bottom w:val="none" w:sz="0" w:space="0" w:color="auto"/>
            <w:right w:val="none" w:sz="0" w:space="0" w:color="auto"/>
          </w:divBdr>
        </w:div>
        <w:div w:id="1710909877">
          <w:marLeft w:val="640"/>
          <w:marRight w:val="0"/>
          <w:marTop w:val="0"/>
          <w:marBottom w:val="0"/>
          <w:divBdr>
            <w:top w:val="none" w:sz="0" w:space="0" w:color="auto"/>
            <w:left w:val="none" w:sz="0" w:space="0" w:color="auto"/>
            <w:bottom w:val="none" w:sz="0" w:space="0" w:color="auto"/>
            <w:right w:val="none" w:sz="0" w:space="0" w:color="auto"/>
          </w:divBdr>
        </w:div>
        <w:div w:id="1749687451">
          <w:marLeft w:val="640"/>
          <w:marRight w:val="0"/>
          <w:marTop w:val="0"/>
          <w:marBottom w:val="0"/>
          <w:divBdr>
            <w:top w:val="none" w:sz="0" w:space="0" w:color="auto"/>
            <w:left w:val="none" w:sz="0" w:space="0" w:color="auto"/>
            <w:bottom w:val="none" w:sz="0" w:space="0" w:color="auto"/>
            <w:right w:val="none" w:sz="0" w:space="0" w:color="auto"/>
          </w:divBdr>
        </w:div>
        <w:div w:id="1886409507">
          <w:marLeft w:val="640"/>
          <w:marRight w:val="0"/>
          <w:marTop w:val="0"/>
          <w:marBottom w:val="0"/>
          <w:divBdr>
            <w:top w:val="none" w:sz="0" w:space="0" w:color="auto"/>
            <w:left w:val="none" w:sz="0" w:space="0" w:color="auto"/>
            <w:bottom w:val="none" w:sz="0" w:space="0" w:color="auto"/>
            <w:right w:val="none" w:sz="0" w:space="0" w:color="auto"/>
          </w:divBdr>
        </w:div>
        <w:div w:id="2024815667">
          <w:marLeft w:val="640"/>
          <w:marRight w:val="0"/>
          <w:marTop w:val="0"/>
          <w:marBottom w:val="0"/>
          <w:divBdr>
            <w:top w:val="none" w:sz="0" w:space="0" w:color="auto"/>
            <w:left w:val="none" w:sz="0" w:space="0" w:color="auto"/>
            <w:bottom w:val="none" w:sz="0" w:space="0" w:color="auto"/>
            <w:right w:val="none" w:sz="0" w:space="0" w:color="auto"/>
          </w:divBdr>
        </w:div>
        <w:div w:id="2116439277">
          <w:marLeft w:val="640"/>
          <w:marRight w:val="0"/>
          <w:marTop w:val="0"/>
          <w:marBottom w:val="0"/>
          <w:divBdr>
            <w:top w:val="none" w:sz="0" w:space="0" w:color="auto"/>
            <w:left w:val="none" w:sz="0" w:space="0" w:color="auto"/>
            <w:bottom w:val="none" w:sz="0" w:space="0" w:color="auto"/>
            <w:right w:val="none" w:sz="0" w:space="0" w:color="auto"/>
          </w:divBdr>
        </w:div>
      </w:divsChild>
    </w:div>
    <w:div w:id="631329585">
      <w:bodyDiv w:val="1"/>
      <w:marLeft w:val="0"/>
      <w:marRight w:val="0"/>
      <w:marTop w:val="0"/>
      <w:marBottom w:val="0"/>
      <w:divBdr>
        <w:top w:val="none" w:sz="0" w:space="0" w:color="auto"/>
        <w:left w:val="none" w:sz="0" w:space="0" w:color="auto"/>
        <w:bottom w:val="none" w:sz="0" w:space="0" w:color="auto"/>
        <w:right w:val="none" w:sz="0" w:space="0" w:color="auto"/>
      </w:divBdr>
      <w:divsChild>
        <w:div w:id="1620259037">
          <w:marLeft w:val="0"/>
          <w:marRight w:val="0"/>
          <w:marTop w:val="0"/>
          <w:marBottom w:val="0"/>
          <w:divBdr>
            <w:top w:val="none" w:sz="0" w:space="0" w:color="auto"/>
            <w:left w:val="none" w:sz="0" w:space="0" w:color="auto"/>
            <w:bottom w:val="single" w:sz="12" w:space="4" w:color="D3D3D3"/>
            <w:right w:val="none" w:sz="0" w:space="0" w:color="auto"/>
          </w:divBdr>
        </w:div>
      </w:divsChild>
    </w:div>
    <w:div w:id="645283006">
      <w:marLeft w:val="640"/>
      <w:marRight w:val="0"/>
      <w:marTop w:val="0"/>
      <w:marBottom w:val="0"/>
      <w:divBdr>
        <w:top w:val="none" w:sz="0" w:space="0" w:color="auto"/>
        <w:left w:val="none" w:sz="0" w:space="0" w:color="auto"/>
        <w:bottom w:val="none" w:sz="0" w:space="0" w:color="auto"/>
        <w:right w:val="none" w:sz="0" w:space="0" w:color="auto"/>
      </w:divBdr>
    </w:div>
    <w:div w:id="655183118">
      <w:marLeft w:val="640"/>
      <w:marRight w:val="0"/>
      <w:marTop w:val="0"/>
      <w:marBottom w:val="0"/>
      <w:divBdr>
        <w:top w:val="none" w:sz="0" w:space="0" w:color="auto"/>
        <w:left w:val="none" w:sz="0" w:space="0" w:color="auto"/>
        <w:bottom w:val="none" w:sz="0" w:space="0" w:color="auto"/>
        <w:right w:val="none" w:sz="0" w:space="0" w:color="auto"/>
      </w:divBdr>
    </w:div>
    <w:div w:id="672143321">
      <w:bodyDiv w:val="1"/>
      <w:marLeft w:val="0"/>
      <w:marRight w:val="0"/>
      <w:marTop w:val="0"/>
      <w:marBottom w:val="0"/>
      <w:divBdr>
        <w:top w:val="none" w:sz="0" w:space="0" w:color="auto"/>
        <w:left w:val="none" w:sz="0" w:space="0" w:color="auto"/>
        <w:bottom w:val="none" w:sz="0" w:space="0" w:color="auto"/>
        <w:right w:val="none" w:sz="0" w:space="0" w:color="auto"/>
      </w:divBdr>
      <w:divsChild>
        <w:div w:id="16778054">
          <w:marLeft w:val="640"/>
          <w:marRight w:val="0"/>
          <w:marTop w:val="0"/>
          <w:marBottom w:val="0"/>
          <w:divBdr>
            <w:top w:val="none" w:sz="0" w:space="0" w:color="auto"/>
            <w:left w:val="none" w:sz="0" w:space="0" w:color="auto"/>
            <w:bottom w:val="none" w:sz="0" w:space="0" w:color="auto"/>
            <w:right w:val="none" w:sz="0" w:space="0" w:color="auto"/>
          </w:divBdr>
        </w:div>
        <w:div w:id="196309957">
          <w:marLeft w:val="640"/>
          <w:marRight w:val="0"/>
          <w:marTop w:val="0"/>
          <w:marBottom w:val="0"/>
          <w:divBdr>
            <w:top w:val="none" w:sz="0" w:space="0" w:color="auto"/>
            <w:left w:val="none" w:sz="0" w:space="0" w:color="auto"/>
            <w:bottom w:val="none" w:sz="0" w:space="0" w:color="auto"/>
            <w:right w:val="none" w:sz="0" w:space="0" w:color="auto"/>
          </w:divBdr>
        </w:div>
        <w:div w:id="242567176">
          <w:marLeft w:val="640"/>
          <w:marRight w:val="0"/>
          <w:marTop w:val="0"/>
          <w:marBottom w:val="0"/>
          <w:divBdr>
            <w:top w:val="none" w:sz="0" w:space="0" w:color="auto"/>
            <w:left w:val="none" w:sz="0" w:space="0" w:color="auto"/>
            <w:bottom w:val="none" w:sz="0" w:space="0" w:color="auto"/>
            <w:right w:val="none" w:sz="0" w:space="0" w:color="auto"/>
          </w:divBdr>
        </w:div>
        <w:div w:id="317073442">
          <w:marLeft w:val="640"/>
          <w:marRight w:val="0"/>
          <w:marTop w:val="0"/>
          <w:marBottom w:val="0"/>
          <w:divBdr>
            <w:top w:val="none" w:sz="0" w:space="0" w:color="auto"/>
            <w:left w:val="none" w:sz="0" w:space="0" w:color="auto"/>
            <w:bottom w:val="none" w:sz="0" w:space="0" w:color="auto"/>
            <w:right w:val="none" w:sz="0" w:space="0" w:color="auto"/>
          </w:divBdr>
        </w:div>
        <w:div w:id="448865530">
          <w:marLeft w:val="640"/>
          <w:marRight w:val="0"/>
          <w:marTop w:val="0"/>
          <w:marBottom w:val="0"/>
          <w:divBdr>
            <w:top w:val="none" w:sz="0" w:space="0" w:color="auto"/>
            <w:left w:val="none" w:sz="0" w:space="0" w:color="auto"/>
            <w:bottom w:val="none" w:sz="0" w:space="0" w:color="auto"/>
            <w:right w:val="none" w:sz="0" w:space="0" w:color="auto"/>
          </w:divBdr>
        </w:div>
        <w:div w:id="568031112">
          <w:marLeft w:val="640"/>
          <w:marRight w:val="0"/>
          <w:marTop w:val="0"/>
          <w:marBottom w:val="0"/>
          <w:divBdr>
            <w:top w:val="none" w:sz="0" w:space="0" w:color="auto"/>
            <w:left w:val="none" w:sz="0" w:space="0" w:color="auto"/>
            <w:bottom w:val="none" w:sz="0" w:space="0" w:color="auto"/>
            <w:right w:val="none" w:sz="0" w:space="0" w:color="auto"/>
          </w:divBdr>
        </w:div>
        <w:div w:id="1151679762">
          <w:marLeft w:val="640"/>
          <w:marRight w:val="0"/>
          <w:marTop w:val="0"/>
          <w:marBottom w:val="0"/>
          <w:divBdr>
            <w:top w:val="none" w:sz="0" w:space="0" w:color="auto"/>
            <w:left w:val="none" w:sz="0" w:space="0" w:color="auto"/>
            <w:bottom w:val="none" w:sz="0" w:space="0" w:color="auto"/>
            <w:right w:val="none" w:sz="0" w:space="0" w:color="auto"/>
          </w:divBdr>
        </w:div>
        <w:div w:id="1294285235">
          <w:marLeft w:val="640"/>
          <w:marRight w:val="0"/>
          <w:marTop w:val="0"/>
          <w:marBottom w:val="0"/>
          <w:divBdr>
            <w:top w:val="none" w:sz="0" w:space="0" w:color="auto"/>
            <w:left w:val="none" w:sz="0" w:space="0" w:color="auto"/>
            <w:bottom w:val="none" w:sz="0" w:space="0" w:color="auto"/>
            <w:right w:val="none" w:sz="0" w:space="0" w:color="auto"/>
          </w:divBdr>
        </w:div>
        <w:div w:id="1453011274">
          <w:marLeft w:val="640"/>
          <w:marRight w:val="0"/>
          <w:marTop w:val="0"/>
          <w:marBottom w:val="0"/>
          <w:divBdr>
            <w:top w:val="none" w:sz="0" w:space="0" w:color="auto"/>
            <w:left w:val="none" w:sz="0" w:space="0" w:color="auto"/>
            <w:bottom w:val="none" w:sz="0" w:space="0" w:color="auto"/>
            <w:right w:val="none" w:sz="0" w:space="0" w:color="auto"/>
          </w:divBdr>
        </w:div>
        <w:div w:id="1534339887">
          <w:marLeft w:val="640"/>
          <w:marRight w:val="0"/>
          <w:marTop w:val="0"/>
          <w:marBottom w:val="0"/>
          <w:divBdr>
            <w:top w:val="none" w:sz="0" w:space="0" w:color="auto"/>
            <w:left w:val="none" w:sz="0" w:space="0" w:color="auto"/>
            <w:bottom w:val="none" w:sz="0" w:space="0" w:color="auto"/>
            <w:right w:val="none" w:sz="0" w:space="0" w:color="auto"/>
          </w:divBdr>
        </w:div>
        <w:div w:id="1571840673">
          <w:marLeft w:val="640"/>
          <w:marRight w:val="0"/>
          <w:marTop w:val="0"/>
          <w:marBottom w:val="0"/>
          <w:divBdr>
            <w:top w:val="none" w:sz="0" w:space="0" w:color="auto"/>
            <w:left w:val="none" w:sz="0" w:space="0" w:color="auto"/>
            <w:bottom w:val="none" w:sz="0" w:space="0" w:color="auto"/>
            <w:right w:val="none" w:sz="0" w:space="0" w:color="auto"/>
          </w:divBdr>
        </w:div>
        <w:div w:id="1600335299">
          <w:marLeft w:val="640"/>
          <w:marRight w:val="0"/>
          <w:marTop w:val="0"/>
          <w:marBottom w:val="0"/>
          <w:divBdr>
            <w:top w:val="none" w:sz="0" w:space="0" w:color="auto"/>
            <w:left w:val="none" w:sz="0" w:space="0" w:color="auto"/>
            <w:bottom w:val="none" w:sz="0" w:space="0" w:color="auto"/>
            <w:right w:val="none" w:sz="0" w:space="0" w:color="auto"/>
          </w:divBdr>
        </w:div>
        <w:div w:id="1662003616">
          <w:marLeft w:val="640"/>
          <w:marRight w:val="0"/>
          <w:marTop w:val="0"/>
          <w:marBottom w:val="0"/>
          <w:divBdr>
            <w:top w:val="none" w:sz="0" w:space="0" w:color="auto"/>
            <w:left w:val="none" w:sz="0" w:space="0" w:color="auto"/>
            <w:bottom w:val="none" w:sz="0" w:space="0" w:color="auto"/>
            <w:right w:val="none" w:sz="0" w:space="0" w:color="auto"/>
          </w:divBdr>
        </w:div>
        <w:div w:id="1920013984">
          <w:marLeft w:val="640"/>
          <w:marRight w:val="0"/>
          <w:marTop w:val="0"/>
          <w:marBottom w:val="0"/>
          <w:divBdr>
            <w:top w:val="none" w:sz="0" w:space="0" w:color="auto"/>
            <w:left w:val="none" w:sz="0" w:space="0" w:color="auto"/>
            <w:bottom w:val="none" w:sz="0" w:space="0" w:color="auto"/>
            <w:right w:val="none" w:sz="0" w:space="0" w:color="auto"/>
          </w:divBdr>
        </w:div>
        <w:div w:id="2011130659">
          <w:marLeft w:val="640"/>
          <w:marRight w:val="0"/>
          <w:marTop w:val="0"/>
          <w:marBottom w:val="0"/>
          <w:divBdr>
            <w:top w:val="none" w:sz="0" w:space="0" w:color="auto"/>
            <w:left w:val="none" w:sz="0" w:space="0" w:color="auto"/>
            <w:bottom w:val="none" w:sz="0" w:space="0" w:color="auto"/>
            <w:right w:val="none" w:sz="0" w:space="0" w:color="auto"/>
          </w:divBdr>
        </w:div>
      </w:divsChild>
    </w:div>
    <w:div w:id="676466653">
      <w:marLeft w:val="640"/>
      <w:marRight w:val="0"/>
      <w:marTop w:val="0"/>
      <w:marBottom w:val="0"/>
      <w:divBdr>
        <w:top w:val="none" w:sz="0" w:space="0" w:color="auto"/>
        <w:left w:val="none" w:sz="0" w:space="0" w:color="auto"/>
        <w:bottom w:val="none" w:sz="0" w:space="0" w:color="auto"/>
        <w:right w:val="none" w:sz="0" w:space="0" w:color="auto"/>
      </w:divBdr>
    </w:div>
    <w:div w:id="678699116">
      <w:marLeft w:val="640"/>
      <w:marRight w:val="0"/>
      <w:marTop w:val="0"/>
      <w:marBottom w:val="0"/>
      <w:divBdr>
        <w:top w:val="none" w:sz="0" w:space="0" w:color="auto"/>
        <w:left w:val="none" w:sz="0" w:space="0" w:color="auto"/>
        <w:bottom w:val="none" w:sz="0" w:space="0" w:color="auto"/>
        <w:right w:val="none" w:sz="0" w:space="0" w:color="auto"/>
      </w:divBdr>
    </w:div>
    <w:div w:id="681977605">
      <w:bodyDiv w:val="1"/>
      <w:marLeft w:val="0"/>
      <w:marRight w:val="0"/>
      <w:marTop w:val="0"/>
      <w:marBottom w:val="0"/>
      <w:divBdr>
        <w:top w:val="none" w:sz="0" w:space="0" w:color="auto"/>
        <w:left w:val="none" w:sz="0" w:space="0" w:color="auto"/>
        <w:bottom w:val="none" w:sz="0" w:space="0" w:color="auto"/>
        <w:right w:val="none" w:sz="0" w:space="0" w:color="auto"/>
      </w:divBdr>
      <w:divsChild>
        <w:div w:id="39287058">
          <w:marLeft w:val="640"/>
          <w:marRight w:val="0"/>
          <w:marTop w:val="0"/>
          <w:marBottom w:val="0"/>
          <w:divBdr>
            <w:top w:val="none" w:sz="0" w:space="0" w:color="auto"/>
            <w:left w:val="none" w:sz="0" w:space="0" w:color="auto"/>
            <w:bottom w:val="none" w:sz="0" w:space="0" w:color="auto"/>
            <w:right w:val="none" w:sz="0" w:space="0" w:color="auto"/>
          </w:divBdr>
        </w:div>
        <w:div w:id="128715299">
          <w:marLeft w:val="640"/>
          <w:marRight w:val="0"/>
          <w:marTop w:val="0"/>
          <w:marBottom w:val="0"/>
          <w:divBdr>
            <w:top w:val="none" w:sz="0" w:space="0" w:color="auto"/>
            <w:left w:val="none" w:sz="0" w:space="0" w:color="auto"/>
            <w:bottom w:val="none" w:sz="0" w:space="0" w:color="auto"/>
            <w:right w:val="none" w:sz="0" w:space="0" w:color="auto"/>
          </w:divBdr>
        </w:div>
        <w:div w:id="170224846">
          <w:marLeft w:val="640"/>
          <w:marRight w:val="0"/>
          <w:marTop w:val="0"/>
          <w:marBottom w:val="0"/>
          <w:divBdr>
            <w:top w:val="none" w:sz="0" w:space="0" w:color="auto"/>
            <w:left w:val="none" w:sz="0" w:space="0" w:color="auto"/>
            <w:bottom w:val="none" w:sz="0" w:space="0" w:color="auto"/>
            <w:right w:val="none" w:sz="0" w:space="0" w:color="auto"/>
          </w:divBdr>
        </w:div>
        <w:div w:id="319890066">
          <w:marLeft w:val="640"/>
          <w:marRight w:val="0"/>
          <w:marTop w:val="0"/>
          <w:marBottom w:val="0"/>
          <w:divBdr>
            <w:top w:val="none" w:sz="0" w:space="0" w:color="auto"/>
            <w:left w:val="none" w:sz="0" w:space="0" w:color="auto"/>
            <w:bottom w:val="none" w:sz="0" w:space="0" w:color="auto"/>
            <w:right w:val="none" w:sz="0" w:space="0" w:color="auto"/>
          </w:divBdr>
        </w:div>
        <w:div w:id="383068418">
          <w:marLeft w:val="640"/>
          <w:marRight w:val="0"/>
          <w:marTop w:val="0"/>
          <w:marBottom w:val="0"/>
          <w:divBdr>
            <w:top w:val="none" w:sz="0" w:space="0" w:color="auto"/>
            <w:left w:val="none" w:sz="0" w:space="0" w:color="auto"/>
            <w:bottom w:val="none" w:sz="0" w:space="0" w:color="auto"/>
            <w:right w:val="none" w:sz="0" w:space="0" w:color="auto"/>
          </w:divBdr>
        </w:div>
        <w:div w:id="426313674">
          <w:marLeft w:val="640"/>
          <w:marRight w:val="0"/>
          <w:marTop w:val="0"/>
          <w:marBottom w:val="0"/>
          <w:divBdr>
            <w:top w:val="none" w:sz="0" w:space="0" w:color="auto"/>
            <w:left w:val="none" w:sz="0" w:space="0" w:color="auto"/>
            <w:bottom w:val="none" w:sz="0" w:space="0" w:color="auto"/>
            <w:right w:val="none" w:sz="0" w:space="0" w:color="auto"/>
          </w:divBdr>
        </w:div>
        <w:div w:id="508760083">
          <w:marLeft w:val="640"/>
          <w:marRight w:val="0"/>
          <w:marTop w:val="0"/>
          <w:marBottom w:val="0"/>
          <w:divBdr>
            <w:top w:val="none" w:sz="0" w:space="0" w:color="auto"/>
            <w:left w:val="none" w:sz="0" w:space="0" w:color="auto"/>
            <w:bottom w:val="none" w:sz="0" w:space="0" w:color="auto"/>
            <w:right w:val="none" w:sz="0" w:space="0" w:color="auto"/>
          </w:divBdr>
        </w:div>
        <w:div w:id="877624293">
          <w:marLeft w:val="640"/>
          <w:marRight w:val="0"/>
          <w:marTop w:val="0"/>
          <w:marBottom w:val="0"/>
          <w:divBdr>
            <w:top w:val="none" w:sz="0" w:space="0" w:color="auto"/>
            <w:left w:val="none" w:sz="0" w:space="0" w:color="auto"/>
            <w:bottom w:val="none" w:sz="0" w:space="0" w:color="auto"/>
            <w:right w:val="none" w:sz="0" w:space="0" w:color="auto"/>
          </w:divBdr>
        </w:div>
        <w:div w:id="958603822">
          <w:marLeft w:val="640"/>
          <w:marRight w:val="0"/>
          <w:marTop w:val="0"/>
          <w:marBottom w:val="0"/>
          <w:divBdr>
            <w:top w:val="none" w:sz="0" w:space="0" w:color="auto"/>
            <w:left w:val="none" w:sz="0" w:space="0" w:color="auto"/>
            <w:bottom w:val="none" w:sz="0" w:space="0" w:color="auto"/>
            <w:right w:val="none" w:sz="0" w:space="0" w:color="auto"/>
          </w:divBdr>
        </w:div>
        <w:div w:id="1368335099">
          <w:marLeft w:val="640"/>
          <w:marRight w:val="0"/>
          <w:marTop w:val="0"/>
          <w:marBottom w:val="0"/>
          <w:divBdr>
            <w:top w:val="none" w:sz="0" w:space="0" w:color="auto"/>
            <w:left w:val="none" w:sz="0" w:space="0" w:color="auto"/>
            <w:bottom w:val="none" w:sz="0" w:space="0" w:color="auto"/>
            <w:right w:val="none" w:sz="0" w:space="0" w:color="auto"/>
          </w:divBdr>
        </w:div>
        <w:div w:id="1580409300">
          <w:marLeft w:val="640"/>
          <w:marRight w:val="0"/>
          <w:marTop w:val="0"/>
          <w:marBottom w:val="0"/>
          <w:divBdr>
            <w:top w:val="none" w:sz="0" w:space="0" w:color="auto"/>
            <w:left w:val="none" w:sz="0" w:space="0" w:color="auto"/>
            <w:bottom w:val="none" w:sz="0" w:space="0" w:color="auto"/>
            <w:right w:val="none" w:sz="0" w:space="0" w:color="auto"/>
          </w:divBdr>
        </w:div>
        <w:div w:id="1644894153">
          <w:marLeft w:val="640"/>
          <w:marRight w:val="0"/>
          <w:marTop w:val="0"/>
          <w:marBottom w:val="0"/>
          <w:divBdr>
            <w:top w:val="none" w:sz="0" w:space="0" w:color="auto"/>
            <w:left w:val="none" w:sz="0" w:space="0" w:color="auto"/>
            <w:bottom w:val="none" w:sz="0" w:space="0" w:color="auto"/>
            <w:right w:val="none" w:sz="0" w:space="0" w:color="auto"/>
          </w:divBdr>
        </w:div>
        <w:div w:id="1788500661">
          <w:marLeft w:val="640"/>
          <w:marRight w:val="0"/>
          <w:marTop w:val="0"/>
          <w:marBottom w:val="0"/>
          <w:divBdr>
            <w:top w:val="none" w:sz="0" w:space="0" w:color="auto"/>
            <w:left w:val="none" w:sz="0" w:space="0" w:color="auto"/>
            <w:bottom w:val="none" w:sz="0" w:space="0" w:color="auto"/>
            <w:right w:val="none" w:sz="0" w:space="0" w:color="auto"/>
          </w:divBdr>
        </w:div>
        <w:div w:id="1901473505">
          <w:marLeft w:val="640"/>
          <w:marRight w:val="0"/>
          <w:marTop w:val="0"/>
          <w:marBottom w:val="0"/>
          <w:divBdr>
            <w:top w:val="none" w:sz="0" w:space="0" w:color="auto"/>
            <w:left w:val="none" w:sz="0" w:space="0" w:color="auto"/>
            <w:bottom w:val="none" w:sz="0" w:space="0" w:color="auto"/>
            <w:right w:val="none" w:sz="0" w:space="0" w:color="auto"/>
          </w:divBdr>
        </w:div>
        <w:div w:id="1951206669">
          <w:marLeft w:val="640"/>
          <w:marRight w:val="0"/>
          <w:marTop w:val="0"/>
          <w:marBottom w:val="0"/>
          <w:divBdr>
            <w:top w:val="none" w:sz="0" w:space="0" w:color="auto"/>
            <w:left w:val="none" w:sz="0" w:space="0" w:color="auto"/>
            <w:bottom w:val="none" w:sz="0" w:space="0" w:color="auto"/>
            <w:right w:val="none" w:sz="0" w:space="0" w:color="auto"/>
          </w:divBdr>
        </w:div>
      </w:divsChild>
    </w:div>
    <w:div w:id="689379337">
      <w:marLeft w:val="640"/>
      <w:marRight w:val="0"/>
      <w:marTop w:val="0"/>
      <w:marBottom w:val="0"/>
      <w:divBdr>
        <w:top w:val="none" w:sz="0" w:space="0" w:color="auto"/>
        <w:left w:val="none" w:sz="0" w:space="0" w:color="auto"/>
        <w:bottom w:val="none" w:sz="0" w:space="0" w:color="auto"/>
        <w:right w:val="none" w:sz="0" w:space="0" w:color="auto"/>
      </w:divBdr>
    </w:div>
    <w:div w:id="701512150">
      <w:marLeft w:val="640"/>
      <w:marRight w:val="0"/>
      <w:marTop w:val="0"/>
      <w:marBottom w:val="0"/>
      <w:divBdr>
        <w:top w:val="none" w:sz="0" w:space="0" w:color="auto"/>
        <w:left w:val="none" w:sz="0" w:space="0" w:color="auto"/>
        <w:bottom w:val="none" w:sz="0" w:space="0" w:color="auto"/>
        <w:right w:val="none" w:sz="0" w:space="0" w:color="auto"/>
      </w:divBdr>
    </w:div>
    <w:div w:id="702367027">
      <w:bodyDiv w:val="1"/>
      <w:marLeft w:val="0"/>
      <w:marRight w:val="0"/>
      <w:marTop w:val="0"/>
      <w:marBottom w:val="0"/>
      <w:divBdr>
        <w:top w:val="none" w:sz="0" w:space="0" w:color="auto"/>
        <w:left w:val="none" w:sz="0" w:space="0" w:color="auto"/>
        <w:bottom w:val="none" w:sz="0" w:space="0" w:color="auto"/>
        <w:right w:val="none" w:sz="0" w:space="0" w:color="auto"/>
      </w:divBdr>
    </w:div>
    <w:div w:id="705183500">
      <w:bodyDiv w:val="1"/>
      <w:marLeft w:val="0"/>
      <w:marRight w:val="0"/>
      <w:marTop w:val="0"/>
      <w:marBottom w:val="0"/>
      <w:divBdr>
        <w:top w:val="none" w:sz="0" w:space="0" w:color="auto"/>
        <w:left w:val="none" w:sz="0" w:space="0" w:color="auto"/>
        <w:bottom w:val="none" w:sz="0" w:space="0" w:color="auto"/>
        <w:right w:val="none" w:sz="0" w:space="0" w:color="auto"/>
      </w:divBdr>
      <w:divsChild>
        <w:div w:id="546140541">
          <w:marLeft w:val="640"/>
          <w:marRight w:val="0"/>
          <w:marTop w:val="0"/>
          <w:marBottom w:val="0"/>
          <w:divBdr>
            <w:top w:val="none" w:sz="0" w:space="0" w:color="auto"/>
            <w:left w:val="none" w:sz="0" w:space="0" w:color="auto"/>
            <w:bottom w:val="none" w:sz="0" w:space="0" w:color="auto"/>
            <w:right w:val="none" w:sz="0" w:space="0" w:color="auto"/>
          </w:divBdr>
        </w:div>
        <w:div w:id="594090773">
          <w:marLeft w:val="640"/>
          <w:marRight w:val="0"/>
          <w:marTop w:val="0"/>
          <w:marBottom w:val="0"/>
          <w:divBdr>
            <w:top w:val="none" w:sz="0" w:space="0" w:color="auto"/>
            <w:left w:val="none" w:sz="0" w:space="0" w:color="auto"/>
            <w:bottom w:val="none" w:sz="0" w:space="0" w:color="auto"/>
            <w:right w:val="none" w:sz="0" w:space="0" w:color="auto"/>
          </w:divBdr>
        </w:div>
        <w:div w:id="1083525226">
          <w:marLeft w:val="640"/>
          <w:marRight w:val="0"/>
          <w:marTop w:val="0"/>
          <w:marBottom w:val="0"/>
          <w:divBdr>
            <w:top w:val="none" w:sz="0" w:space="0" w:color="auto"/>
            <w:left w:val="none" w:sz="0" w:space="0" w:color="auto"/>
            <w:bottom w:val="none" w:sz="0" w:space="0" w:color="auto"/>
            <w:right w:val="none" w:sz="0" w:space="0" w:color="auto"/>
          </w:divBdr>
        </w:div>
        <w:div w:id="1593779464">
          <w:marLeft w:val="640"/>
          <w:marRight w:val="0"/>
          <w:marTop w:val="0"/>
          <w:marBottom w:val="0"/>
          <w:divBdr>
            <w:top w:val="none" w:sz="0" w:space="0" w:color="auto"/>
            <w:left w:val="none" w:sz="0" w:space="0" w:color="auto"/>
            <w:bottom w:val="none" w:sz="0" w:space="0" w:color="auto"/>
            <w:right w:val="none" w:sz="0" w:space="0" w:color="auto"/>
          </w:divBdr>
        </w:div>
        <w:div w:id="1652827212">
          <w:marLeft w:val="640"/>
          <w:marRight w:val="0"/>
          <w:marTop w:val="0"/>
          <w:marBottom w:val="0"/>
          <w:divBdr>
            <w:top w:val="none" w:sz="0" w:space="0" w:color="auto"/>
            <w:left w:val="none" w:sz="0" w:space="0" w:color="auto"/>
            <w:bottom w:val="none" w:sz="0" w:space="0" w:color="auto"/>
            <w:right w:val="none" w:sz="0" w:space="0" w:color="auto"/>
          </w:divBdr>
        </w:div>
        <w:div w:id="1939605580">
          <w:marLeft w:val="640"/>
          <w:marRight w:val="0"/>
          <w:marTop w:val="0"/>
          <w:marBottom w:val="0"/>
          <w:divBdr>
            <w:top w:val="none" w:sz="0" w:space="0" w:color="auto"/>
            <w:left w:val="none" w:sz="0" w:space="0" w:color="auto"/>
            <w:bottom w:val="none" w:sz="0" w:space="0" w:color="auto"/>
            <w:right w:val="none" w:sz="0" w:space="0" w:color="auto"/>
          </w:divBdr>
        </w:div>
        <w:div w:id="1975983815">
          <w:marLeft w:val="640"/>
          <w:marRight w:val="0"/>
          <w:marTop w:val="0"/>
          <w:marBottom w:val="0"/>
          <w:divBdr>
            <w:top w:val="none" w:sz="0" w:space="0" w:color="auto"/>
            <w:left w:val="none" w:sz="0" w:space="0" w:color="auto"/>
            <w:bottom w:val="none" w:sz="0" w:space="0" w:color="auto"/>
            <w:right w:val="none" w:sz="0" w:space="0" w:color="auto"/>
          </w:divBdr>
        </w:div>
        <w:div w:id="2025129947">
          <w:marLeft w:val="640"/>
          <w:marRight w:val="0"/>
          <w:marTop w:val="0"/>
          <w:marBottom w:val="0"/>
          <w:divBdr>
            <w:top w:val="none" w:sz="0" w:space="0" w:color="auto"/>
            <w:left w:val="none" w:sz="0" w:space="0" w:color="auto"/>
            <w:bottom w:val="none" w:sz="0" w:space="0" w:color="auto"/>
            <w:right w:val="none" w:sz="0" w:space="0" w:color="auto"/>
          </w:divBdr>
        </w:div>
        <w:div w:id="2031173847">
          <w:marLeft w:val="640"/>
          <w:marRight w:val="0"/>
          <w:marTop w:val="0"/>
          <w:marBottom w:val="0"/>
          <w:divBdr>
            <w:top w:val="none" w:sz="0" w:space="0" w:color="auto"/>
            <w:left w:val="none" w:sz="0" w:space="0" w:color="auto"/>
            <w:bottom w:val="none" w:sz="0" w:space="0" w:color="auto"/>
            <w:right w:val="none" w:sz="0" w:space="0" w:color="auto"/>
          </w:divBdr>
        </w:div>
        <w:div w:id="2044860837">
          <w:marLeft w:val="640"/>
          <w:marRight w:val="0"/>
          <w:marTop w:val="0"/>
          <w:marBottom w:val="0"/>
          <w:divBdr>
            <w:top w:val="none" w:sz="0" w:space="0" w:color="auto"/>
            <w:left w:val="none" w:sz="0" w:space="0" w:color="auto"/>
            <w:bottom w:val="none" w:sz="0" w:space="0" w:color="auto"/>
            <w:right w:val="none" w:sz="0" w:space="0" w:color="auto"/>
          </w:divBdr>
        </w:div>
      </w:divsChild>
    </w:div>
    <w:div w:id="714162950">
      <w:bodyDiv w:val="1"/>
      <w:marLeft w:val="0"/>
      <w:marRight w:val="0"/>
      <w:marTop w:val="0"/>
      <w:marBottom w:val="0"/>
      <w:divBdr>
        <w:top w:val="none" w:sz="0" w:space="0" w:color="auto"/>
        <w:left w:val="none" w:sz="0" w:space="0" w:color="auto"/>
        <w:bottom w:val="none" w:sz="0" w:space="0" w:color="auto"/>
        <w:right w:val="none" w:sz="0" w:space="0" w:color="auto"/>
      </w:divBdr>
      <w:divsChild>
        <w:div w:id="1821115790">
          <w:marLeft w:val="0"/>
          <w:marRight w:val="0"/>
          <w:marTop w:val="0"/>
          <w:marBottom w:val="0"/>
          <w:divBdr>
            <w:top w:val="none" w:sz="0" w:space="0" w:color="auto"/>
            <w:left w:val="none" w:sz="0" w:space="0" w:color="auto"/>
            <w:bottom w:val="single" w:sz="12" w:space="4" w:color="D3D3D3"/>
            <w:right w:val="none" w:sz="0" w:space="0" w:color="auto"/>
          </w:divBdr>
        </w:div>
      </w:divsChild>
    </w:div>
    <w:div w:id="720517111">
      <w:bodyDiv w:val="1"/>
      <w:marLeft w:val="0"/>
      <w:marRight w:val="0"/>
      <w:marTop w:val="0"/>
      <w:marBottom w:val="0"/>
      <w:divBdr>
        <w:top w:val="none" w:sz="0" w:space="0" w:color="auto"/>
        <w:left w:val="none" w:sz="0" w:space="0" w:color="auto"/>
        <w:bottom w:val="none" w:sz="0" w:space="0" w:color="auto"/>
        <w:right w:val="none" w:sz="0" w:space="0" w:color="auto"/>
      </w:divBdr>
    </w:div>
    <w:div w:id="727337875">
      <w:marLeft w:val="640"/>
      <w:marRight w:val="0"/>
      <w:marTop w:val="0"/>
      <w:marBottom w:val="0"/>
      <w:divBdr>
        <w:top w:val="none" w:sz="0" w:space="0" w:color="auto"/>
        <w:left w:val="none" w:sz="0" w:space="0" w:color="auto"/>
        <w:bottom w:val="none" w:sz="0" w:space="0" w:color="auto"/>
        <w:right w:val="none" w:sz="0" w:space="0" w:color="auto"/>
      </w:divBdr>
    </w:div>
    <w:div w:id="729154623">
      <w:bodyDiv w:val="1"/>
      <w:marLeft w:val="0"/>
      <w:marRight w:val="0"/>
      <w:marTop w:val="0"/>
      <w:marBottom w:val="0"/>
      <w:divBdr>
        <w:top w:val="none" w:sz="0" w:space="0" w:color="auto"/>
        <w:left w:val="none" w:sz="0" w:space="0" w:color="auto"/>
        <w:bottom w:val="none" w:sz="0" w:space="0" w:color="auto"/>
        <w:right w:val="none" w:sz="0" w:space="0" w:color="auto"/>
      </w:divBdr>
    </w:div>
    <w:div w:id="733818011">
      <w:marLeft w:val="640"/>
      <w:marRight w:val="0"/>
      <w:marTop w:val="0"/>
      <w:marBottom w:val="0"/>
      <w:divBdr>
        <w:top w:val="none" w:sz="0" w:space="0" w:color="auto"/>
        <w:left w:val="none" w:sz="0" w:space="0" w:color="auto"/>
        <w:bottom w:val="none" w:sz="0" w:space="0" w:color="auto"/>
        <w:right w:val="none" w:sz="0" w:space="0" w:color="auto"/>
      </w:divBdr>
    </w:div>
    <w:div w:id="740761899">
      <w:bodyDiv w:val="1"/>
      <w:marLeft w:val="0"/>
      <w:marRight w:val="0"/>
      <w:marTop w:val="0"/>
      <w:marBottom w:val="0"/>
      <w:divBdr>
        <w:top w:val="none" w:sz="0" w:space="0" w:color="auto"/>
        <w:left w:val="none" w:sz="0" w:space="0" w:color="auto"/>
        <w:bottom w:val="none" w:sz="0" w:space="0" w:color="auto"/>
        <w:right w:val="none" w:sz="0" w:space="0" w:color="auto"/>
      </w:divBdr>
    </w:div>
    <w:div w:id="749815586">
      <w:marLeft w:val="640"/>
      <w:marRight w:val="0"/>
      <w:marTop w:val="0"/>
      <w:marBottom w:val="0"/>
      <w:divBdr>
        <w:top w:val="none" w:sz="0" w:space="0" w:color="auto"/>
        <w:left w:val="none" w:sz="0" w:space="0" w:color="auto"/>
        <w:bottom w:val="none" w:sz="0" w:space="0" w:color="auto"/>
        <w:right w:val="none" w:sz="0" w:space="0" w:color="auto"/>
      </w:divBdr>
    </w:div>
    <w:div w:id="749886615">
      <w:marLeft w:val="640"/>
      <w:marRight w:val="0"/>
      <w:marTop w:val="0"/>
      <w:marBottom w:val="0"/>
      <w:divBdr>
        <w:top w:val="none" w:sz="0" w:space="0" w:color="auto"/>
        <w:left w:val="none" w:sz="0" w:space="0" w:color="auto"/>
        <w:bottom w:val="none" w:sz="0" w:space="0" w:color="auto"/>
        <w:right w:val="none" w:sz="0" w:space="0" w:color="auto"/>
      </w:divBdr>
    </w:div>
    <w:div w:id="761292718">
      <w:bodyDiv w:val="1"/>
      <w:marLeft w:val="0"/>
      <w:marRight w:val="0"/>
      <w:marTop w:val="0"/>
      <w:marBottom w:val="0"/>
      <w:divBdr>
        <w:top w:val="none" w:sz="0" w:space="0" w:color="auto"/>
        <w:left w:val="none" w:sz="0" w:space="0" w:color="auto"/>
        <w:bottom w:val="none" w:sz="0" w:space="0" w:color="auto"/>
        <w:right w:val="none" w:sz="0" w:space="0" w:color="auto"/>
      </w:divBdr>
      <w:divsChild>
        <w:div w:id="66921228">
          <w:marLeft w:val="640"/>
          <w:marRight w:val="0"/>
          <w:marTop w:val="0"/>
          <w:marBottom w:val="0"/>
          <w:divBdr>
            <w:top w:val="none" w:sz="0" w:space="0" w:color="auto"/>
            <w:left w:val="none" w:sz="0" w:space="0" w:color="auto"/>
            <w:bottom w:val="none" w:sz="0" w:space="0" w:color="auto"/>
            <w:right w:val="none" w:sz="0" w:space="0" w:color="auto"/>
          </w:divBdr>
        </w:div>
        <w:div w:id="849491353">
          <w:marLeft w:val="640"/>
          <w:marRight w:val="0"/>
          <w:marTop w:val="0"/>
          <w:marBottom w:val="0"/>
          <w:divBdr>
            <w:top w:val="none" w:sz="0" w:space="0" w:color="auto"/>
            <w:left w:val="none" w:sz="0" w:space="0" w:color="auto"/>
            <w:bottom w:val="none" w:sz="0" w:space="0" w:color="auto"/>
            <w:right w:val="none" w:sz="0" w:space="0" w:color="auto"/>
          </w:divBdr>
        </w:div>
        <w:div w:id="919755764">
          <w:marLeft w:val="640"/>
          <w:marRight w:val="0"/>
          <w:marTop w:val="0"/>
          <w:marBottom w:val="0"/>
          <w:divBdr>
            <w:top w:val="none" w:sz="0" w:space="0" w:color="auto"/>
            <w:left w:val="none" w:sz="0" w:space="0" w:color="auto"/>
            <w:bottom w:val="none" w:sz="0" w:space="0" w:color="auto"/>
            <w:right w:val="none" w:sz="0" w:space="0" w:color="auto"/>
          </w:divBdr>
        </w:div>
        <w:div w:id="1109619990">
          <w:marLeft w:val="640"/>
          <w:marRight w:val="0"/>
          <w:marTop w:val="0"/>
          <w:marBottom w:val="0"/>
          <w:divBdr>
            <w:top w:val="none" w:sz="0" w:space="0" w:color="auto"/>
            <w:left w:val="none" w:sz="0" w:space="0" w:color="auto"/>
            <w:bottom w:val="none" w:sz="0" w:space="0" w:color="auto"/>
            <w:right w:val="none" w:sz="0" w:space="0" w:color="auto"/>
          </w:divBdr>
        </w:div>
        <w:div w:id="1214732898">
          <w:marLeft w:val="640"/>
          <w:marRight w:val="0"/>
          <w:marTop w:val="0"/>
          <w:marBottom w:val="0"/>
          <w:divBdr>
            <w:top w:val="none" w:sz="0" w:space="0" w:color="auto"/>
            <w:left w:val="none" w:sz="0" w:space="0" w:color="auto"/>
            <w:bottom w:val="none" w:sz="0" w:space="0" w:color="auto"/>
            <w:right w:val="none" w:sz="0" w:space="0" w:color="auto"/>
          </w:divBdr>
        </w:div>
        <w:div w:id="1254975528">
          <w:marLeft w:val="640"/>
          <w:marRight w:val="0"/>
          <w:marTop w:val="0"/>
          <w:marBottom w:val="0"/>
          <w:divBdr>
            <w:top w:val="none" w:sz="0" w:space="0" w:color="auto"/>
            <w:left w:val="none" w:sz="0" w:space="0" w:color="auto"/>
            <w:bottom w:val="none" w:sz="0" w:space="0" w:color="auto"/>
            <w:right w:val="none" w:sz="0" w:space="0" w:color="auto"/>
          </w:divBdr>
        </w:div>
        <w:div w:id="1701852717">
          <w:marLeft w:val="640"/>
          <w:marRight w:val="0"/>
          <w:marTop w:val="0"/>
          <w:marBottom w:val="0"/>
          <w:divBdr>
            <w:top w:val="none" w:sz="0" w:space="0" w:color="auto"/>
            <w:left w:val="none" w:sz="0" w:space="0" w:color="auto"/>
            <w:bottom w:val="none" w:sz="0" w:space="0" w:color="auto"/>
            <w:right w:val="none" w:sz="0" w:space="0" w:color="auto"/>
          </w:divBdr>
        </w:div>
        <w:div w:id="1789658292">
          <w:marLeft w:val="640"/>
          <w:marRight w:val="0"/>
          <w:marTop w:val="0"/>
          <w:marBottom w:val="0"/>
          <w:divBdr>
            <w:top w:val="none" w:sz="0" w:space="0" w:color="auto"/>
            <w:left w:val="none" w:sz="0" w:space="0" w:color="auto"/>
            <w:bottom w:val="none" w:sz="0" w:space="0" w:color="auto"/>
            <w:right w:val="none" w:sz="0" w:space="0" w:color="auto"/>
          </w:divBdr>
        </w:div>
        <w:div w:id="1889609212">
          <w:marLeft w:val="640"/>
          <w:marRight w:val="0"/>
          <w:marTop w:val="0"/>
          <w:marBottom w:val="0"/>
          <w:divBdr>
            <w:top w:val="none" w:sz="0" w:space="0" w:color="auto"/>
            <w:left w:val="none" w:sz="0" w:space="0" w:color="auto"/>
            <w:bottom w:val="none" w:sz="0" w:space="0" w:color="auto"/>
            <w:right w:val="none" w:sz="0" w:space="0" w:color="auto"/>
          </w:divBdr>
        </w:div>
        <w:div w:id="1942564012">
          <w:marLeft w:val="640"/>
          <w:marRight w:val="0"/>
          <w:marTop w:val="0"/>
          <w:marBottom w:val="0"/>
          <w:divBdr>
            <w:top w:val="none" w:sz="0" w:space="0" w:color="auto"/>
            <w:left w:val="none" w:sz="0" w:space="0" w:color="auto"/>
            <w:bottom w:val="none" w:sz="0" w:space="0" w:color="auto"/>
            <w:right w:val="none" w:sz="0" w:space="0" w:color="auto"/>
          </w:divBdr>
        </w:div>
        <w:div w:id="2056612224">
          <w:marLeft w:val="640"/>
          <w:marRight w:val="0"/>
          <w:marTop w:val="0"/>
          <w:marBottom w:val="0"/>
          <w:divBdr>
            <w:top w:val="none" w:sz="0" w:space="0" w:color="auto"/>
            <w:left w:val="none" w:sz="0" w:space="0" w:color="auto"/>
            <w:bottom w:val="none" w:sz="0" w:space="0" w:color="auto"/>
            <w:right w:val="none" w:sz="0" w:space="0" w:color="auto"/>
          </w:divBdr>
        </w:div>
        <w:div w:id="2069643788">
          <w:marLeft w:val="640"/>
          <w:marRight w:val="0"/>
          <w:marTop w:val="0"/>
          <w:marBottom w:val="0"/>
          <w:divBdr>
            <w:top w:val="none" w:sz="0" w:space="0" w:color="auto"/>
            <w:left w:val="none" w:sz="0" w:space="0" w:color="auto"/>
            <w:bottom w:val="none" w:sz="0" w:space="0" w:color="auto"/>
            <w:right w:val="none" w:sz="0" w:space="0" w:color="auto"/>
          </w:divBdr>
        </w:div>
        <w:div w:id="2112510756">
          <w:marLeft w:val="640"/>
          <w:marRight w:val="0"/>
          <w:marTop w:val="0"/>
          <w:marBottom w:val="0"/>
          <w:divBdr>
            <w:top w:val="none" w:sz="0" w:space="0" w:color="auto"/>
            <w:left w:val="none" w:sz="0" w:space="0" w:color="auto"/>
            <w:bottom w:val="none" w:sz="0" w:space="0" w:color="auto"/>
            <w:right w:val="none" w:sz="0" w:space="0" w:color="auto"/>
          </w:divBdr>
        </w:div>
        <w:div w:id="2128621482">
          <w:marLeft w:val="640"/>
          <w:marRight w:val="0"/>
          <w:marTop w:val="0"/>
          <w:marBottom w:val="0"/>
          <w:divBdr>
            <w:top w:val="none" w:sz="0" w:space="0" w:color="auto"/>
            <w:left w:val="none" w:sz="0" w:space="0" w:color="auto"/>
            <w:bottom w:val="none" w:sz="0" w:space="0" w:color="auto"/>
            <w:right w:val="none" w:sz="0" w:space="0" w:color="auto"/>
          </w:divBdr>
        </w:div>
      </w:divsChild>
    </w:div>
    <w:div w:id="773675431">
      <w:marLeft w:val="640"/>
      <w:marRight w:val="0"/>
      <w:marTop w:val="0"/>
      <w:marBottom w:val="0"/>
      <w:divBdr>
        <w:top w:val="none" w:sz="0" w:space="0" w:color="auto"/>
        <w:left w:val="none" w:sz="0" w:space="0" w:color="auto"/>
        <w:bottom w:val="none" w:sz="0" w:space="0" w:color="auto"/>
        <w:right w:val="none" w:sz="0" w:space="0" w:color="auto"/>
      </w:divBdr>
    </w:div>
    <w:div w:id="780689949">
      <w:bodyDiv w:val="1"/>
      <w:marLeft w:val="0"/>
      <w:marRight w:val="0"/>
      <w:marTop w:val="0"/>
      <w:marBottom w:val="0"/>
      <w:divBdr>
        <w:top w:val="none" w:sz="0" w:space="0" w:color="auto"/>
        <w:left w:val="none" w:sz="0" w:space="0" w:color="auto"/>
        <w:bottom w:val="none" w:sz="0" w:space="0" w:color="auto"/>
        <w:right w:val="none" w:sz="0" w:space="0" w:color="auto"/>
      </w:divBdr>
    </w:div>
    <w:div w:id="791872121">
      <w:marLeft w:val="640"/>
      <w:marRight w:val="0"/>
      <w:marTop w:val="0"/>
      <w:marBottom w:val="0"/>
      <w:divBdr>
        <w:top w:val="none" w:sz="0" w:space="0" w:color="auto"/>
        <w:left w:val="none" w:sz="0" w:space="0" w:color="auto"/>
        <w:bottom w:val="none" w:sz="0" w:space="0" w:color="auto"/>
        <w:right w:val="none" w:sz="0" w:space="0" w:color="auto"/>
      </w:divBdr>
    </w:div>
    <w:div w:id="794836013">
      <w:marLeft w:val="640"/>
      <w:marRight w:val="0"/>
      <w:marTop w:val="0"/>
      <w:marBottom w:val="0"/>
      <w:divBdr>
        <w:top w:val="none" w:sz="0" w:space="0" w:color="auto"/>
        <w:left w:val="none" w:sz="0" w:space="0" w:color="auto"/>
        <w:bottom w:val="none" w:sz="0" w:space="0" w:color="auto"/>
        <w:right w:val="none" w:sz="0" w:space="0" w:color="auto"/>
      </w:divBdr>
    </w:div>
    <w:div w:id="799416110">
      <w:marLeft w:val="640"/>
      <w:marRight w:val="0"/>
      <w:marTop w:val="0"/>
      <w:marBottom w:val="0"/>
      <w:divBdr>
        <w:top w:val="none" w:sz="0" w:space="0" w:color="auto"/>
        <w:left w:val="none" w:sz="0" w:space="0" w:color="auto"/>
        <w:bottom w:val="none" w:sz="0" w:space="0" w:color="auto"/>
        <w:right w:val="none" w:sz="0" w:space="0" w:color="auto"/>
      </w:divBdr>
    </w:div>
    <w:div w:id="813259918">
      <w:bodyDiv w:val="1"/>
      <w:marLeft w:val="0"/>
      <w:marRight w:val="0"/>
      <w:marTop w:val="0"/>
      <w:marBottom w:val="0"/>
      <w:divBdr>
        <w:top w:val="none" w:sz="0" w:space="0" w:color="auto"/>
        <w:left w:val="none" w:sz="0" w:space="0" w:color="auto"/>
        <w:bottom w:val="none" w:sz="0" w:space="0" w:color="auto"/>
        <w:right w:val="none" w:sz="0" w:space="0" w:color="auto"/>
      </w:divBdr>
    </w:div>
    <w:div w:id="826629078">
      <w:bodyDiv w:val="1"/>
      <w:marLeft w:val="0"/>
      <w:marRight w:val="0"/>
      <w:marTop w:val="0"/>
      <w:marBottom w:val="0"/>
      <w:divBdr>
        <w:top w:val="none" w:sz="0" w:space="0" w:color="auto"/>
        <w:left w:val="none" w:sz="0" w:space="0" w:color="auto"/>
        <w:bottom w:val="none" w:sz="0" w:space="0" w:color="auto"/>
        <w:right w:val="none" w:sz="0" w:space="0" w:color="auto"/>
      </w:divBdr>
    </w:div>
    <w:div w:id="832256885">
      <w:marLeft w:val="640"/>
      <w:marRight w:val="0"/>
      <w:marTop w:val="0"/>
      <w:marBottom w:val="0"/>
      <w:divBdr>
        <w:top w:val="none" w:sz="0" w:space="0" w:color="auto"/>
        <w:left w:val="none" w:sz="0" w:space="0" w:color="auto"/>
        <w:bottom w:val="none" w:sz="0" w:space="0" w:color="auto"/>
        <w:right w:val="none" w:sz="0" w:space="0" w:color="auto"/>
      </w:divBdr>
    </w:div>
    <w:div w:id="834691687">
      <w:bodyDiv w:val="1"/>
      <w:marLeft w:val="0"/>
      <w:marRight w:val="0"/>
      <w:marTop w:val="0"/>
      <w:marBottom w:val="0"/>
      <w:divBdr>
        <w:top w:val="none" w:sz="0" w:space="0" w:color="auto"/>
        <w:left w:val="none" w:sz="0" w:space="0" w:color="auto"/>
        <w:bottom w:val="none" w:sz="0" w:space="0" w:color="auto"/>
        <w:right w:val="none" w:sz="0" w:space="0" w:color="auto"/>
      </w:divBdr>
      <w:divsChild>
        <w:div w:id="53823219">
          <w:marLeft w:val="640"/>
          <w:marRight w:val="0"/>
          <w:marTop w:val="0"/>
          <w:marBottom w:val="0"/>
          <w:divBdr>
            <w:top w:val="none" w:sz="0" w:space="0" w:color="auto"/>
            <w:left w:val="none" w:sz="0" w:space="0" w:color="auto"/>
            <w:bottom w:val="none" w:sz="0" w:space="0" w:color="auto"/>
            <w:right w:val="none" w:sz="0" w:space="0" w:color="auto"/>
          </w:divBdr>
        </w:div>
        <w:div w:id="96564455">
          <w:marLeft w:val="640"/>
          <w:marRight w:val="0"/>
          <w:marTop w:val="0"/>
          <w:marBottom w:val="0"/>
          <w:divBdr>
            <w:top w:val="none" w:sz="0" w:space="0" w:color="auto"/>
            <w:left w:val="none" w:sz="0" w:space="0" w:color="auto"/>
            <w:bottom w:val="none" w:sz="0" w:space="0" w:color="auto"/>
            <w:right w:val="none" w:sz="0" w:space="0" w:color="auto"/>
          </w:divBdr>
        </w:div>
        <w:div w:id="450637852">
          <w:marLeft w:val="640"/>
          <w:marRight w:val="0"/>
          <w:marTop w:val="0"/>
          <w:marBottom w:val="0"/>
          <w:divBdr>
            <w:top w:val="none" w:sz="0" w:space="0" w:color="auto"/>
            <w:left w:val="none" w:sz="0" w:space="0" w:color="auto"/>
            <w:bottom w:val="none" w:sz="0" w:space="0" w:color="auto"/>
            <w:right w:val="none" w:sz="0" w:space="0" w:color="auto"/>
          </w:divBdr>
        </w:div>
        <w:div w:id="561061758">
          <w:marLeft w:val="640"/>
          <w:marRight w:val="0"/>
          <w:marTop w:val="0"/>
          <w:marBottom w:val="0"/>
          <w:divBdr>
            <w:top w:val="none" w:sz="0" w:space="0" w:color="auto"/>
            <w:left w:val="none" w:sz="0" w:space="0" w:color="auto"/>
            <w:bottom w:val="none" w:sz="0" w:space="0" w:color="auto"/>
            <w:right w:val="none" w:sz="0" w:space="0" w:color="auto"/>
          </w:divBdr>
        </w:div>
        <w:div w:id="791900399">
          <w:marLeft w:val="640"/>
          <w:marRight w:val="0"/>
          <w:marTop w:val="0"/>
          <w:marBottom w:val="0"/>
          <w:divBdr>
            <w:top w:val="none" w:sz="0" w:space="0" w:color="auto"/>
            <w:left w:val="none" w:sz="0" w:space="0" w:color="auto"/>
            <w:bottom w:val="none" w:sz="0" w:space="0" w:color="auto"/>
            <w:right w:val="none" w:sz="0" w:space="0" w:color="auto"/>
          </w:divBdr>
        </w:div>
        <w:div w:id="1108160746">
          <w:marLeft w:val="640"/>
          <w:marRight w:val="0"/>
          <w:marTop w:val="0"/>
          <w:marBottom w:val="0"/>
          <w:divBdr>
            <w:top w:val="none" w:sz="0" w:space="0" w:color="auto"/>
            <w:left w:val="none" w:sz="0" w:space="0" w:color="auto"/>
            <w:bottom w:val="none" w:sz="0" w:space="0" w:color="auto"/>
            <w:right w:val="none" w:sz="0" w:space="0" w:color="auto"/>
          </w:divBdr>
        </w:div>
        <w:div w:id="1608584517">
          <w:marLeft w:val="640"/>
          <w:marRight w:val="0"/>
          <w:marTop w:val="0"/>
          <w:marBottom w:val="0"/>
          <w:divBdr>
            <w:top w:val="none" w:sz="0" w:space="0" w:color="auto"/>
            <w:left w:val="none" w:sz="0" w:space="0" w:color="auto"/>
            <w:bottom w:val="none" w:sz="0" w:space="0" w:color="auto"/>
            <w:right w:val="none" w:sz="0" w:space="0" w:color="auto"/>
          </w:divBdr>
        </w:div>
        <w:div w:id="1738017112">
          <w:marLeft w:val="640"/>
          <w:marRight w:val="0"/>
          <w:marTop w:val="0"/>
          <w:marBottom w:val="0"/>
          <w:divBdr>
            <w:top w:val="none" w:sz="0" w:space="0" w:color="auto"/>
            <w:left w:val="none" w:sz="0" w:space="0" w:color="auto"/>
            <w:bottom w:val="none" w:sz="0" w:space="0" w:color="auto"/>
            <w:right w:val="none" w:sz="0" w:space="0" w:color="auto"/>
          </w:divBdr>
        </w:div>
        <w:div w:id="1818716318">
          <w:marLeft w:val="640"/>
          <w:marRight w:val="0"/>
          <w:marTop w:val="0"/>
          <w:marBottom w:val="0"/>
          <w:divBdr>
            <w:top w:val="none" w:sz="0" w:space="0" w:color="auto"/>
            <w:left w:val="none" w:sz="0" w:space="0" w:color="auto"/>
            <w:bottom w:val="none" w:sz="0" w:space="0" w:color="auto"/>
            <w:right w:val="none" w:sz="0" w:space="0" w:color="auto"/>
          </w:divBdr>
        </w:div>
        <w:div w:id="1942686543">
          <w:marLeft w:val="640"/>
          <w:marRight w:val="0"/>
          <w:marTop w:val="0"/>
          <w:marBottom w:val="0"/>
          <w:divBdr>
            <w:top w:val="none" w:sz="0" w:space="0" w:color="auto"/>
            <w:left w:val="none" w:sz="0" w:space="0" w:color="auto"/>
            <w:bottom w:val="none" w:sz="0" w:space="0" w:color="auto"/>
            <w:right w:val="none" w:sz="0" w:space="0" w:color="auto"/>
          </w:divBdr>
        </w:div>
      </w:divsChild>
    </w:div>
    <w:div w:id="837501606">
      <w:marLeft w:val="640"/>
      <w:marRight w:val="0"/>
      <w:marTop w:val="0"/>
      <w:marBottom w:val="0"/>
      <w:divBdr>
        <w:top w:val="none" w:sz="0" w:space="0" w:color="auto"/>
        <w:left w:val="none" w:sz="0" w:space="0" w:color="auto"/>
        <w:bottom w:val="none" w:sz="0" w:space="0" w:color="auto"/>
        <w:right w:val="none" w:sz="0" w:space="0" w:color="auto"/>
      </w:divBdr>
    </w:div>
    <w:div w:id="842280321">
      <w:bodyDiv w:val="1"/>
      <w:marLeft w:val="0"/>
      <w:marRight w:val="0"/>
      <w:marTop w:val="0"/>
      <w:marBottom w:val="0"/>
      <w:divBdr>
        <w:top w:val="none" w:sz="0" w:space="0" w:color="auto"/>
        <w:left w:val="none" w:sz="0" w:space="0" w:color="auto"/>
        <w:bottom w:val="none" w:sz="0" w:space="0" w:color="auto"/>
        <w:right w:val="none" w:sz="0" w:space="0" w:color="auto"/>
      </w:divBdr>
    </w:div>
    <w:div w:id="843545648">
      <w:marLeft w:val="640"/>
      <w:marRight w:val="0"/>
      <w:marTop w:val="0"/>
      <w:marBottom w:val="0"/>
      <w:divBdr>
        <w:top w:val="none" w:sz="0" w:space="0" w:color="auto"/>
        <w:left w:val="none" w:sz="0" w:space="0" w:color="auto"/>
        <w:bottom w:val="none" w:sz="0" w:space="0" w:color="auto"/>
        <w:right w:val="none" w:sz="0" w:space="0" w:color="auto"/>
      </w:divBdr>
    </w:div>
    <w:div w:id="847520767">
      <w:marLeft w:val="640"/>
      <w:marRight w:val="0"/>
      <w:marTop w:val="0"/>
      <w:marBottom w:val="0"/>
      <w:divBdr>
        <w:top w:val="none" w:sz="0" w:space="0" w:color="auto"/>
        <w:left w:val="none" w:sz="0" w:space="0" w:color="auto"/>
        <w:bottom w:val="none" w:sz="0" w:space="0" w:color="auto"/>
        <w:right w:val="none" w:sz="0" w:space="0" w:color="auto"/>
      </w:divBdr>
    </w:div>
    <w:div w:id="855535656">
      <w:bodyDiv w:val="1"/>
      <w:marLeft w:val="0"/>
      <w:marRight w:val="0"/>
      <w:marTop w:val="0"/>
      <w:marBottom w:val="0"/>
      <w:divBdr>
        <w:top w:val="none" w:sz="0" w:space="0" w:color="auto"/>
        <w:left w:val="none" w:sz="0" w:space="0" w:color="auto"/>
        <w:bottom w:val="none" w:sz="0" w:space="0" w:color="auto"/>
        <w:right w:val="none" w:sz="0" w:space="0" w:color="auto"/>
      </w:divBdr>
    </w:div>
    <w:div w:id="876166129">
      <w:marLeft w:val="640"/>
      <w:marRight w:val="0"/>
      <w:marTop w:val="0"/>
      <w:marBottom w:val="0"/>
      <w:divBdr>
        <w:top w:val="none" w:sz="0" w:space="0" w:color="auto"/>
        <w:left w:val="none" w:sz="0" w:space="0" w:color="auto"/>
        <w:bottom w:val="none" w:sz="0" w:space="0" w:color="auto"/>
        <w:right w:val="none" w:sz="0" w:space="0" w:color="auto"/>
      </w:divBdr>
    </w:div>
    <w:div w:id="889222626">
      <w:marLeft w:val="640"/>
      <w:marRight w:val="0"/>
      <w:marTop w:val="0"/>
      <w:marBottom w:val="0"/>
      <w:divBdr>
        <w:top w:val="none" w:sz="0" w:space="0" w:color="auto"/>
        <w:left w:val="none" w:sz="0" w:space="0" w:color="auto"/>
        <w:bottom w:val="none" w:sz="0" w:space="0" w:color="auto"/>
        <w:right w:val="none" w:sz="0" w:space="0" w:color="auto"/>
      </w:divBdr>
    </w:div>
    <w:div w:id="891502958">
      <w:marLeft w:val="640"/>
      <w:marRight w:val="0"/>
      <w:marTop w:val="0"/>
      <w:marBottom w:val="0"/>
      <w:divBdr>
        <w:top w:val="none" w:sz="0" w:space="0" w:color="auto"/>
        <w:left w:val="none" w:sz="0" w:space="0" w:color="auto"/>
        <w:bottom w:val="none" w:sz="0" w:space="0" w:color="auto"/>
        <w:right w:val="none" w:sz="0" w:space="0" w:color="auto"/>
      </w:divBdr>
    </w:div>
    <w:div w:id="894270593">
      <w:marLeft w:val="640"/>
      <w:marRight w:val="0"/>
      <w:marTop w:val="0"/>
      <w:marBottom w:val="0"/>
      <w:divBdr>
        <w:top w:val="none" w:sz="0" w:space="0" w:color="auto"/>
        <w:left w:val="none" w:sz="0" w:space="0" w:color="auto"/>
        <w:bottom w:val="none" w:sz="0" w:space="0" w:color="auto"/>
        <w:right w:val="none" w:sz="0" w:space="0" w:color="auto"/>
      </w:divBdr>
    </w:div>
    <w:div w:id="902914445">
      <w:bodyDiv w:val="1"/>
      <w:marLeft w:val="0"/>
      <w:marRight w:val="0"/>
      <w:marTop w:val="0"/>
      <w:marBottom w:val="0"/>
      <w:divBdr>
        <w:top w:val="none" w:sz="0" w:space="0" w:color="auto"/>
        <w:left w:val="none" w:sz="0" w:space="0" w:color="auto"/>
        <w:bottom w:val="none" w:sz="0" w:space="0" w:color="auto"/>
        <w:right w:val="none" w:sz="0" w:space="0" w:color="auto"/>
      </w:divBdr>
    </w:div>
    <w:div w:id="904100110">
      <w:bodyDiv w:val="1"/>
      <w:marLeft w:val="0"/>
      <w:marRight w:val="0"/>
      <w:marTop w:val="0"/>
      <w:marBottom w:val="0"/>
      <w:divBdr>
        <w:top w:val="none" w:sz="0" w:space="0" w:color="auto"/>
        <w:left w:val="none" w:sz="0" w:space="0" w:color="auto"/>
        <w:bottom w:val="none" w:sz="0" w:space="0" w:color="auto"/>
        <w:right w:val="none" w:sz="0" w:space="0" w:color="auto"/>
      </w:divBdr>
      <w:divsChild>
        <w:div w:id="16588060">
          <w:marLeft w:val="640"/>
          <w:marRight w:val="0"/>
          <w:marTop w:val="0"/>
          <w:marBottom w:val="0"/>
          <w:divBdr>
            <w:top w:val="none" w:sz="0" w:space="0" w:color="auto"/>
            <w:left w:val="none" w:sz="0" w:space="0" w:color="auto"/>
            <w:bottom w:val="none" w:sz="0" w:space="0" w:color="auto"/>
            <w:right w:val="none" w:sz="0" w:space="0" w:color="auto"/>
          </w:divBdr>
        </w:div>
        <w:div w:id="125898549">
          <w:marLeft w:val="640"/>
          <w:marRight w:val="0"/>
          <w:marTop w:val="0"/>
          <w:marBottom w:val="0"/>
          <w:divBdr>
            <w:top w:val="none" w:sz="0" w:space="0" w:color="auto"/>
            <w:left w:val="none" w:sz="0" w:space="0" w:color="auto"/>
            <w:bottom w:val="none" w:sz="0" w:space="0" w:color="auto"/>
            <w:right w:val="none" w:sz="0" w:space="0" w:color="auto"/>
          </w:divBdr>
        </w:div>
        <w:div w:id="529996484">
          <w:marLeft w:val="640"/>
          <w:marRight w:val="0"/>
          <w:marTop w:val="0"/>
          <w:marBottom w:val="0"/>
          <w:divBdr>
            <w:top w:val="none" w:sz="0" w:space="0" w:color="auto"/>
            <w:left w:val="none" w:sz="0" w:space="0" w:color="auto"/>
            <w:bottom w:val="none" w:sz="0" w:space="0" w:color="auto"/>
            <w:right w:val="none" w:sz="0" w:space="0" w:color="auto"/>
          </w:divBdr>
        </w:div>
        <w:div w:id="671836842">
          <w:marLeft w:val="640"/>
          <w:marRight w:val="0"/>
          <w:marTop w:val="0"/>
          <w:marBottom w:val="0"/>
          <w:divBdr>
            <w:top w:val="none" w:sz="0" w:space="0" w:color="auto"/>
            <w:left w:val="none" w:sz="0" w:space="0" w:color="auto"/>
            <w:bottom w:val="none" w:sz="0" w:space="0" w:color="auto"/>
            <w:right w:val="none" w:sz="0" w:space="0" w:color="auto"/>
          </w:divBdr>
        </w:div>
        <w:div w:id="727457646">
          <w:marLeft w:val="640"/>
          <w:marRight w:val="0"/>
          <w:marTop w:val="0"/>
          <w:marBottom w:val="0"/>
          <w:divBdr>
            <w:top w:val="none" w:sz="0" w:space="0" w:color="auto"/>
            <w:left w:val="none" w:sz="0" w:space="0" w:color="auto"/>
            <w:bottom w:val="none" w:sz="0" w:space="0" w:color="auto"/>
            <w:right w:val="none" w:sz="0" w:space="0" w:color="auto"/>
          </w:divBdr>
        </w:div>
        <w:div w:id="920263386">
          <w:marLeft w:val="640"/>
          <w:marRight w:val="0"/>
          <w:marTop w:val="0"/>
          <w:marBottom w:val="0"/>
          <w:divBdr>
            <w:top w:val="none" w:sz="0" w:space="0" w:color="auto"/>
            <w:left w:val="none" w:sz="0" w:space="0" w:color="auto"/>
            <w:bottom w:val="none" w:sz="0" w:space="0" w:color="auto"/>
            <w:right w:val="none" w:sz="0" w:space="0" w:color="auto"/>
          </w:divBdr>
        </w:div>
        <w:div w:id="985473298">
          <w:marLeft w:val="640"/>
          <w:marRight w:val="0"/>
          <w:marTop w:val="0"/>
          <w:marBottom w:val="0"/>
          <w:divBdr>
            <w:top w:val="none" w:sz="0" w:space="0" w:color="auto"/>
            <w:left w:val="none" w:sz="0" w:space="0" w:color="auto"/>
            <w:bottom w:val="none" w:sz="0" w:space="0" w:color="auto"/>
            <w:right w:val="none" w:sz="0" w:space="0" w:color="auto"/>
          </w:divBdr>
        </w:div>
        <w:div w:id="1745252065">
          <w:marLeft w:val="640"/>
          <w:marRight w:val="0"/>
          <w:marTop w:val="0"/>
          <w:marBottom w:val="0"/>
          <w:divBdr>
            <w:top w:val="none" w:sz="0" w:space="0" w:color="auto"/>
            <w:left w:val="none" w:sz="0" w:space="0" w:color="auto"/>
            <w:bottom w:val="none" w:sz="0" w:space="0" w:color="auto"/>
            <w:right w:val="none" w:sz="0" w:space="0" w:color="auto"/>
          </w:divBdr>
        </w:div>
        <w:div w:id="1812164267">
          <w:marLeft w:val="640"/>
          <w:marRight w:val="0"/>
          <w:marTop w:val="0"/>
          <w:marBottom w:val="0"/>
          <w:divBdr>
            <w:top w:val="none" w:sz="0" w:space="0" w:color="auto"/>
            <w:left w:val="none" w:sz="0" w:space="0" w:color="auto"/>
            <w:bottom w:val="none" w:sz="0" w:space="0" w:color="auto"/>
            <w:right w:val="none" w:sz="0" w:space="0" w:color="auto"/>
          </w:divBdr>
        </w:div>
      </w:divsChild>
    </w:div>
    <w:div w:id="908078612">
      <w:bodyDiv w:val="1"/>
      <w:marLeft w:val="0"/>
      <w:marRight w:val="0"/>
      <w:marTop w:val="0"/>
      <w:marBottom w:val="0"/>
      <w:divBdr>
        <w:top w:val="none" w:sz="0" w:space="0" w:color="auto"/>
        <w:left w:val="none" w:sz="0" w:space="0" w:color="auto"/>
        <w:bottom w:val="none" w:sz="0" w:space="0" w:color="auto"/>
        <w:right w:val="none" w:sz="0" w:space="0" w:color="auto"/>
      </w:divBdr>
    </w:div>
    <w:div w:id="908534468">
      <w:bodyDiv w:val="1"/>
      <w:marLeft w:val="0"/>
      <w:marRight w:val="0"/>
      <w:marTop w:val="0"/>
      <w:marBottom w:val="0"/>
      <w:divBdr>
        <w:top w:val="none" w:sz="0" w:space="0" w:color="auto"/>
        <w:left w:val="none" w:sz="0" w:space="0" w:color="auto"/>
        <w:bottom w:val="none" w:sz="0" w:space="0" w:color="auto"/>
        <w:right w:val="none" w:sz="0" w:space="0" w:color="auto"/>
      </w:divBdr>
      <w:divsChild>
        <w:div w:id="33315906">
          <w:marLeft w:val="640"/>
          <w:marRight w:val="0"/>
          <w:marTop w:val="0"/>
          <w:marBottom w:val="0"/>
          <w:divBdr>
            <w:top w:val="none" w:sz="0" w:space="0" w:color="auto"/>
            <w:left w:val="none" w:sz="0" w:space="0" w:color="auto"/>
            <w:bottom w:val="none" w:sz="0" w:space="0" w:color="auto"/>
            <w:right w:val="none" w:sz="0" w:space="0" w:color="auto"/>
          </w:divBdr>
        </w:div>
        <w:div w:id="69697406">
          <w:marLeft w:val="640"/>
          <w:marRight w:val="0"/>
          <w:marTop w:val="0"/>
          <w:marBottom w:val="0"/>
          <w:divBdr>
            <w:top w:val="none" w:sz="0" w:space="0" w:color="auto"/>
            <w:left w:val="none" w:sz="0" w:space="0" w:color="auto"/>
            <w:bottom w:val="none" w:sz="0" w:space="0" w:color="auto"/>
            <w:right w:val="none" w:sz="0" w:space="0" w:color="auto"/>
          </w:divBdr>
        </w:div>
        <w:div w:id="110250781">
          <w:marLeft w:val="640"/>
          <w:marRight w:val="0"/>
          <w:marTop w:val="0"/>
          <w:marBottom w:val="0"/>
          <w:divBdr>
            <w:top w:val="none" w:sz="0" w:space="0" w:color="auto"/>
            <w:left w:val="none" w:sz="0" w:space="0" w:color="auto"/>
            <w:bottom w:val="none" w:sz="0" w:space="0" w:color="auto"/>
            <w:right w:val="none" w:sz="0" w:space="0" w:color="auto"/>
          </w:divBdr>
        </w:div>
        <w:div w:id="407269383">
          <w:marLeft w:val="640"/>
          <w:marRight w:val="0"/>
          <w:marTop w:val="0"/>
          <w:marBottom w:val="0"/>
          <w:divBdr>
            <w:top w:val="none" w:sz="0" w:space="0" w:color="auto"/>
            <w:left w:val="none" w:sz="0" w:space="0" w:color="auto"/>
            <w:bottom w:val="none" w:sz="0" w:space="0" w:color="auto"/>
            <w:right w:val="none" w:sz="0" w:space="0" w:color="auto"/>
          </w:divBdr>
        </w:div>
        <w:div w:id="545725789">
          <w:marLeft w:val="640"/>
          <w:marRight w:val="0"/>
          <w:marTop w:val="0"/>
          <w:marBottom w:val="0"/>
          <w:divBdr>
            <w:top w:val="none" w:sz="0" w:space="0" w:color="auto"/>
            <w:left w:val="none" w:sz="0" w:space="0" w:color="auto"/>
            <w:bottom w:val="none" w:sz="0" w:space="0" w:color="auto"/>
            <w:right w:val="none" w:sz="0" w:space="0" w:color="auto"/>
          </w:divBdr>
        </w:div>
        <w:div w:id="696278141">
          <w:marLeft w:val="640"/>
          <w:marRight w:val="0"/>
          <w:marTop w:val="0"/>
          <w:marBottom w:val="0"/>
          <w:divBdr>
            <w:top w:val="none" w:sz="0" w:space="0" w:color="auto"/>
            <w:left w:val="none" w:sz="0" w:space="0" w:color="auto"/>
            <w:bottom w:val="none" w:sz="0" w:space="0" w:color="auto"/>
            <w:right w:val="none" w:sz="0" w:space="0" w:color="auto"/>
          </w:divBdr>
        </w:div>
        <w:div w:id="727656528">
          <w:marLeft w:val="640"/>
          <w:marRight w:val="0"/>
          <w:marTop w:val="0"/>
          <w:marBottom w:val="0"/>
          <w:divBdr>
            <w:top w:val="none" w:sz="0" w:space="0" w:color="auto"/>
            <w:left w:val="none" w:sz="0" w:space="0" w:color="auto"/>
            <w:bottom w:val="none" w:sz="0" w:space="0" w:color="auto"/>
            <w:right w:val="none" w:sz="0" w:space="0" w:color="auto"/>
          </w:divBdr>
        </w:div>
        <w:div w:id="1208689547">
          <w:marLeft w:val="640"/>
          <w:marRight w:val="0"/>
          <w:marTop w:val="0"/>
          <w:marBottom w:val="0"/>
          <w:divBdr>
            <w:top w:val="none" w:sz="0" w:space="0" w:color="auto"/>
            <w:left w:val="none" w:sz="0" w:space="0" w:color="auto"/>
            <w:bottom w:val="none" w:sz="0" w:space="0" w:color="auto"/>
            <w:right w:val="none" w:sz="0" w:space="0" w:color="auto"/>
          </w:divBdr>
        </w:div>
        <w:div w:id="1246111057">
          <w:marLeft w:val="640"/>
          <w:marRight w:val="0"/>
          <w:marTop w:val="0"/>
          <w:marBottom w:val="0"/>
          <w:divBdr>
            <w:top w:val="none" w:sz="0" w:space="0" w:color="auto"/>
            <w:left w:val="none" w:sz="0" w:space="0" w:color="auto"/>
            <w:bottom w:val="none" w:sz="0" w:space="0" w:color="auto"/>
            <w:right w:val="none" w:sz="0" w:space="0" w:color="auto"/>
          </w:divBdr>
        </w:div>
        <w:div w:id="1305889061">
          <w:marLeft w:val="640"/>
          <w:marRight w:val="0"/>
          <w:marTop w:val="0"/>
          <w:marBottom w:val="0"/>
          <w:divBdr>
            <w:top w:val="none" w:sz="0" w:space="0" w:color="auto"/>
            <w:left w:val="none" w:sz="0" w:space="0" w:color="auto"/>
            <w:bottom w:val="none" w:sz="0" w:space="0" w:color="auto"/>
            <w:right w:val="none" w:sz="0" w:space="0" w:color="auto"/>
          </w:divBdr>
        </w:div>
        <w:div w:id="1701274554">
          <w:marLeft w:val="640"/>
          <w:marRight w:val="0"/>
          <w:marTop w:val="0"/>
          <w:marBottom w:val="0"/>
          <w:divBdr>
            <w:top w:val="none" w:sz="0" w:space="0" w:color="auto"/>
            <w:left w:val="none" w:sz="0" w:space="0" w:color="auto"/>
            <w:bottom w:val="none" w:sz="0" w:space="0" w:color="auto"/>
            <w:right w:val="none" w:sz="0" w:space="0" w:color="auto"/>
          </w:divBdr>
        </w:div>
        <w:div w:id="1932614836">
          <w:marLeft w:val="640"/>
          <w:marRight w:val="0"/>
          <w:marTop w:val="0"/>
          <w:marBottom w:val="0"/>
          <w:divBdr>
            <w:top w:val="none" w:sz="0" w:space="0" w:color="auto"/>
            <w:left w:val="none" w:sz="0" w:space="0" w:color="auto"/>
            <w:bottom w:val="none" w:sz="0" w:space="0" w:color="auto"/>
            <w:right w:val="none" w:sz="0" w:space="0" w:color="auto"/>
          </w:divBdr>
        </w:div>
        <w:div w:id="2026249249">
          <w:marLeft w:val="640"/>
          <w:marRight w:val="0"/>
          <w:marTop w:val="0"/>
          <w:marBottom w:val="0"/>
          <w:divBdr>
            <w:top w:val="none" w:sz="0" w:space="0" w:color="auto"/>
            <w:left w:val="none" w:sz="0" w:space="0" w:color="auto"/>
            <w:bottom w:val="none" w:sz="0" w:space="0" w:color="auto"/>
            <w:right w:val="none" w:sz="0" w:space="0" w:color="auto"/>
          </w:divBdr>
        </w:div>
        <w:div w:id="2123524350">
          <w:marLeft w:val="640"/>
          <w:marRight w:val="0"/>
          <w:marTop w:val="0"/>
          <w:marBottom w:val="0"/>
          <w:divBdr>
            <w:top w:val="none" w:sz="0" w:space="0" w:color="auto"/>
            <w:left w:val="none" w:sz="0" w:space="0" w:color="auto"/>
            <w:bottom w:val="none" w:sz="0" w:space="0" w:color="auto"/>
            <w:right w:val="none" w:sz="0" w:space="0" w:color="auto"/>
          </w:divBdr>
        </w:div>
        <w:div w:id="2136211577">
          <w:marLeft w:val="640"/>
          <w:marRight w:val="0"/>
          <w:marTop w:val="0"/>
          <w:marBottom w:val="0"/>
          <w:divBdr>
            <w:top w:val="none" w:sz="0" w:space="0" w:color="auto"/>
            <w:left w:val="none" w:sz="0" w:space="0" w:color="auto"/>
            <w:bottom w:val="none" w:sz="0" w:space="0" w:color="auto"/>
            <w:right w:val="none" w:sz="0" w:space="0" w:color="auto"/>
          </w:divBdr>
        </w:div>
      </w:divsChild>
    </w:div>
    <w:div w:id="909390178">
      <w:bodyDiv w:val="1"/>
      <w:marLeft w:val="0"/>
      <w:marRight w:val="0"/>
      <w:marTop w:val="0"/>
      <w:marBottom w:val="0"/>
      <w:divBdr>
        <w:top w:val="none" w:sz="0" w:space="0" w:color="auto"/>
        <w:left w:val="none" w:sz="0" w:space="0" w:color="auto"/>
        <w:bottom w:val="none" w:sz="0" w:space="0" w:color="auto"/>
        <w:right w:val="none" w:sz="0" w:space="0" w:color="auto"/>
      </w:divBdr>
      <w:divsChild>
        <w:div w:id="346905911">
          <w:marLeft w:val="640"/>
          <w:marRight w:val="0"/>
          <w:marTop w:val="0"/>
          <w:marBottom w:val="0"/>
          <w:divBdr>
            <w:top w:val="none" w:sz="0" w:space="0" w:color="auto"/>
            <w:left w:val="none" w:sz="0" w:space="0" w:color="auto"/>
            <w:bottom w:val="none" w:sz="0" w:space="0" w:color="auto"/>
            <w:right w:val="none" w:sz="0" w:space="0" w:color="auto"/>
          </w:divBdr>
        </w:div>
        <w:div w:id="354960473">
          <w:marLeft w:val="640"/>
          <w:marRight w:val="0"/>
          <w:marTop w:val="0"/>
          <w:marBottom w:val="0"/>
          <w:divBdr>
            <w:top w:val="none" w:sz="0" w:space="0" w:color="auto"/>
            <w:left w:val="none" w:sz="0" w:space="0" w:color="auto"/>
            <w:bottom w:val="none" w:sz="0" w:space="0" w:color="auto"/>
            <w:right w:val="none" w:sz="0" w:space="0" w:color="auto"/>
          </w:divBdr>
        </w:div>
        <w:div w:id="535045371">
          <w:marLeft w:val="640"/>
          <w:marRight w:val="0"/>
          <w:marTop w:val="0"/>
          <w:marBottom w:val="0"/>
          <w:divBdr>
            <w:top w:val="none" w:sz="0" w:space="0" w:color="auto"/>
            <w:left w:val="none" w:sz="0" w:space="0" w:color="auto"/>
            <w:bottom w:val="none" w:sz="0" w:space="0" w:color="auto"/>
            <w:right w:val="none" w:sz="0" w:space="0" w:color="auto"/>
          </w:divBdr>
        </w:div>
        <w:div w:id="665863120">
          <w:marLeft w:val="640"/>
          <w:marRight w:val="0"/>
          <w:marTop w:val="0"/>
          <w:marBottom w:val="0"/>
          <w:divBdr>
            <w:top w:val="none" w:sz="0" w:space="0" w:color="auto"/>
            <w:left w:val="none" w:sz="0" w:space="0" w:color="auto"/>
            <w:bottom w:val="none" w:sz="0" w:space="0" w:color="auto"/>
            <w:right w:val="none" w:sz="0" w:space="0" w:color="auto"/>
          </w:divBdr>
        </w:div>
        <w:div w:id="679163008">
          <w:marLeft w:val="640"/>
          <w:marRight w:val="0"/>
          <w:marTop w:val="0"/>
          <w:marBottom w:val="0"/>
          <w:divBdr>
            <w:top w:val="none" w:sz="0" w:space="0" w:color="auto"/>
            <w:left w:val="none" w:sz="0" w:space="0" w:color="auto"/>
            <w:bottom w:val="none" w:sz="0" w:space="0" w:color="auto"/>
            <w:right w:val="none" w:sz="0" w:space="0" w:color="auto"/>
          </w:divBdr>
        </w:div>
        <w:div w:id="1004404823">
          <w:marLeft w:val="640"/>
          <w:marRight w:val="0"/>
          <w:marTop w:val="0"/>
          <w:marBottom w:val="0"/>
          <w:divBdr>
            <w:top w:val="none" w:sz="0" w:space="0" w:color="auto"/>
            <w:left w:val="none" w:sz="0" w:space="0" w:color="auto"/>
            <w:bottom w:val="none" w:sz="0" w:space="0" w:color="auto"/>
            <w:right w:val="none" w:sz="0" w:space="0" w:color="auto"/>
          </w:divBdr>
        </w:div>
        <w:div w:id="1105659278">
          <w:marLeft w:val="640"/>
          <w:marRight w:val="0"/>
          <w:marTop w:val="0"/>
          <w:marBottom w:val="0"/>
          <w:divBdr>
            <w:top w:val="none" w:sz="0" w:space="0" w:color="auto"/>
            <w:left w:val="none" w:sz="0" w:space="0" w:color="auto"/>
            <w:bottom w:val="none" w:sz="0" w:space="0" w:color="auto"/>
            <w:right w:val="none" w:sz="0" w:space="0" w:color="auto"/>
          </w:divBdr>
        </w:div>
        <w:div w:id="1258519091">
          <w:marLeft w:val="640"/>
          <w:marRight w:val="0"/>
          <w:marTop w:val="0"/>
          <w:marBottom w:val="0"/>
          <w:divBdr>
            <w:top w:val="none" w:sz="0" w:space="0" w:color="auto"/>
            <w:left w:val="none" w:sz="0" w:space="0" w:color="auto"/>
            <w:bottom w:val="none" w:sz="0" w:space="0" w:color="auto"/>
            <w:right w:val="none" w:sz="0" w:space="0" w:color="auto"/>
          </w:divBdr>
        </w:div>
        <w:div w:id="1286931745">
          <w:marLeft w:val="640"/>
          <w:marRight w:val="0"/>
          <w:marTop w:val="0"/>
          <w:marBottom w:val="0"/>
          <w:divBdr>
            <w:top w:val="none" w:sz="0" w:space="0" w:color="auto"/>
            <w:left w:val="none" w:sz="0" w:space="0" w:color="auto"/>
            <w:bottom w:val="none" w:sz="0" w:space="0" w:color="auto"/>
            <w:right w:val="none" w:sz="0" w:space="0" w:color="auto"/>
          </w:divBdr>
        </w:div>
        <w:div w:id="1715957126">
          <w:marLeft w:val="640"/>
          <w:marRight w:val="0"/>
          <w:marTop w:val="0"/>
          <w:marBottom w:val="0"/>
          <w:divBdr>
            <w:top w:val="none" w:sz="0" w:space="0" w:color="auto"/>
            <w:left w:val="none" w:sz="0" w:space="0" w:color="auto"/>
            <w:bottom w:val="none" w:sz="0" w:space="0" w:color="auto"/>
            <w:right w:val="none" w:sz="0" w:space="0" w:color="auto"/>
          </w:divBdr>
        </w:div>
        <w:div w:id="1855222986">
          <w:marLeft w:val="640"/>
          <w:marRight w:val="0"/>
          <w:marTop w:val="0"/>
          <w:marBottom w:val="0"/>
          <w:divBdr>
            <w:top w:val="none" w:sz="0" w:space="0" w:color="auto"/>
            <w:left w:val="none" w:sz="0" w:space="0" w:color="auto"/>
            <w:bottom w:val="none" w:sz="0" w:space="0" w:color="auto"/>
            <w:right w:val="none" w:sz="0" w:space="0" w:color="auto"/>
          </w:divBdr>
        </w:div>
        <w:div w:id="1946382650">
          <w:marLeft w:val="640"/>
          <w:marRight w:val="0"/>
          <w:marTop w:val="0"/>
          <w:marBottom w:val="0"/>
          <w:divBdr>
            <w:top w:val="none" w:sz="0" w:space="0" w:color="auto"/>
            <w:left w:val="none" w:sz="0" w:space="0" w:color="auto"/>
            <w:bottom w:val="none" w:sz="0" w:space="0" w:color="auto"/>
            <w:right w:val="none" w:sz="0" w:space="0" w:color="auto"/>
          </w:divBdr>
        </w:div>
        <w:div w:id="2145847878">
          <w:marLeft w:val="640"/>
          <w:marRight w:val="0"/>
          <w:marTop w:val="0"/>
          <w:marBottom w:val="0"/>
          <w:divBdr>
            <w:top w:val="none" w:sz="0" w:space="0" w:color="auto"/>
            <w:left w:val="none" w:sz="0" w:space="0" w:color="auto"/>
            <w:bottom w:val="none" w:sz="0" w:space="0" w:color="auto"/>
            <w:right w:val="none" w:sz="0" w:space="0" w:color="auto"/>
          </w:divBdr>
        </w:div>
      </w:divsChild>
    </w:div>
    <w:div w:id="912618046">
      <w:marLeft w:val="640"/>
      <w:marRight w:val="0"/>
      <w:marTop w:val="0"/>
      <w:marBottom w:val="0"/>
      <w:divBdr>
        <w:top w:val="none" w:sz="0" w:space="0" w:color="auto"/>
        <w:left w:val="none" w:sz="0" w:space="0" w:color="auto"/>
        <w:bottom w:val="none" w:sz="0" w:space="0" w:color="auto"/>
        <w:right w:val="none" w:sz="0" w:space="0" w:color="auto"/>
      </w:divBdr>
    </w:div>
    <w:div w:id="924876353">
      <w:bodyDiv w:val="1"/>
      <w:marLeft w:val="0"/>
      <w:marRight w:val="0"/>
      <w:marTop w:val="0"/>
      <w:marBottom w:val="0"/>
      <w:divBdr>
        <w:top w:val="none" w:sz="0" w:space="0" w:color="auto"/>
        <w:left w:val="none" w:sz="0" w:space="0" w:color="auto"/>
        <w:bottom w:val="none" w:sz="0" w:space="0" w:color="auto"/>
        <w:right w:val="none" w:sz="0" w:space="0" w:color="auto"/>
      </w:divBdr>
      <w:divsChild>
        <w:div w:id="408430622">
          <w:marLeft w:val="0"/>
          <w:marRight w:val="0"/>
          <w:marTop w:val="0"/>
          <w:marBottom w:val="0"/>
          <w:divBdr>
            <w:top w:val="none" w:sz="0" w:space="0" w:color="auto"/>
            <w:left w:val="none" w:sz="0" w:space="0" w:color="auto"/>
            <w:bottom w:val="single" w:sz="12" w:space="4" w:color="D3D3D3"/>
            <w:right w:val="none" w:sz="0" w:space="0" w:color="auto"/>
          </w:divBdr>
        </w:div>
        <w:div w:id="1011838114">
          <w:marLeft w:val="0"/>
          <w:marRight w:val="0"/>
          <w:marTop w:val="0"/>
          <w:marBottom w:val="0"/>
          <w:divBdr>
            <w:top w:val="none" w:sz="0" w:space="0" w:color="auto"/>
            <w:left w:val="none" w:sz="0" w:space="0" w:color="auto"/>
            <w:bottom w:val="single" w:sz="12" w:space="4" w:color="D3D3D3"/>
            <w:right w:val="none" w:sz="0" w:space="0" w:color="auto"/>
          </w:divBdr>
        </w:div>
      </w:divsChild>
    </w:div>
    <w:div w:id="927274384">
      <w:marLeft w:val="640"/>
      <w:marRight w:val="0"/>
      <w:marTop w:val="0"/>
      <w:marBottom w:val="0"/>
      <w:divBdr>
        <w:top w:val="none" w:sz="0" w:space="0" w:color="auto"/>
        <w:left w:val="none" w:sz="0" w:space="0" w:color="auto"/>
        <w:bottom w:val="none" w:sz="0" w:space="0" w:color="auto"/>
        <w:right w:val="none" w:sz="0" w:space="0" w:color="auto"/>
      </w:divBdr>
    </w:div>
    <w:div w:id="930116614">
      <w:bodyDiv w:val="1"/>
      <w:marLeft w:val="0"/>
      <w:marRight w:val="0"/>
      <w:marTop w:val="0"/>
      <w:marBottom w:val="0"/>
      <w:divBdr>
        <w:top w:val="none" w:sz="0" w:space="0" w:color="auto"/>
        <w:left w:val="none" w:sz="0" w:space="0" w:color="auto"/>
        <w:bottom w:val="none" w:sz="0" w:space="0" w:color="auto"/>
        <w:right w:val="none" w:sz="0" w:space="0" w:color="auto"/>
      </w:divBdr>
    </w:div>
    <w:div w:id="934631406">
      <w:marLeft w:val="640"/>
      <w:marRight w:val="0"/>
      <w:marTop w:val="0"/>
      <w:marBottom w:val="0"/>
      <w:divBdr>
        <w:top w:val="none" w:sz="0" w:space="0" w:color="auto"/>
        <w:left w:val="none" w:sz="0" w:space="0" w:color="auto"/>
        <w:bottom w:val="none" w:sz="0" w:space="0" w:color="auto"/>
        <w:right w:val="none" w:sz="0" w:space="0" w:color="auto"/>
      </w:divBdr>
    </w:div>
    <w:div w:id="938368001">
      <w:marLeft w:val="640"/>
      <w:marRight w:val="0"/>
      <w:marTop w:val="0"/>
      <w:marBottom w:val="0"/>
      <w:divBdr>
        <w:top w:val="none" w:sz="0" w:space="0" w:color="auto"/>
        <w:left w:val="none" w:sz="0" w:space="0" w:color="auto"/>
        <w:bottom w:val="none" w:sz="0" w:space="0" w:color="auto"/>
        <w:right w:val="none" w:sz="0" w:space="0" w:color="auto"/>
      </w:divBdr>
    </w:div>
    <w:div w:id="957878720">
      <w:marLeft w:val="640"/>
      <w:marRight w:val="0"/>
      <w:marTop w:val="0"/>
      <w:marBottom w:val="0"/>
      <w:divBdr>
        <w:top w:val="none" w:sz="0" w:space="0" w:color="auto"/>
        <w:left w:val="none" w:sz="0" w:space="0" w:color="auto"/>
        <w:bottom w:val="none" w:sz="0" w:space="0" w:color="auto"/>
        <w:right w:val="none" w:sz="0" w:space="0" w:color="auto"/>
      </w:divBdr>
    </w:div>
    <w:div w:id="960309048">
      <w:marLeft w:val="640"/>
      <w:marRight w:val="0"/>
      <w:marTop w:val="0"/>
      <w:marBottom w:val="0"/>
      <w:divBdr>
        <w:top w:val="none" w:sz="0" w:space="0" w:color="auto"/>
        <w:left w:val="none" w:sz="0" w:space="0" w:color="auto"/>
        <w:bottom w:val="none" w:sz="0" w:space="0" w:color="auto"/>
        <w:right w:val="none" w:sz="0" w:space="0" w:color="auto"/>
      </w:divBdr>
    </w:div>
    <w:div w:id="969819277">
      <w:marLeft w:val="640"/>
      <w:marRight w:val="0"/>
      <w:marTop w:val="0"/>
      <w:marBottom w:val="0"/>
      <w:divBdr>
        <w:top w:val="none" w:sz="0" w:space="0" w:color="auto"/>
        <w:left w:val="none" w:sz="0" w:space="0" w:color="auto"/>
        <w:bottom w:val="none" w:sz="0" w:space="0" w:color="auto"/>
        <w:right w:val="none" w:sz="0" w:space="0" w:color="auto"/>
      </w:divBdr>
    </w:div>
    <w:div w:id="976690131">
      <w:bodyDiv w:val="1"/>
      <w:marLeft w:val="0"/>
      <w:marRight w:val="0"/>
      <w:marTop w:val="0"/>
      <w:marBottom w:val="0"/>
      <w:divBdr>
        <w:top w:val="none" w:sz="0" w:space="0" w:color="auto"/>
        <w:left w:val="none" w:sz="0" w:space="0" w:color="auto"/>
        <w:bottom w:val="none" w:sz="0" w:space="0" w:color="auto"/>
        <w:right w:val="none" w:sz="0" w:space="0" w:color="auto"/>
      </w:divBdr>
      <w:divsChild>
        <w:div w:id="59522121">
          <w:marLeft w:val="640"/>
          <w:marRight w:val="0"/>
          <w:marTop w:val="0"/>
          <w:marBottom w:val="0"/>
          <w:divBdr>
            <w:top w:val="none" w:sz="0" w:space="0" w:color="auto"/>
            <w:left w:val="none" w:sz="0" w:space="0" w:color="auto"/>
            <w:bottom w:val="none" w:sz="0" w:space="0" w:color="auto"/>
            <w:right w:val="none" w:sz="0" w:space="0" w:color="auto"/>
          </w:divBdr>
        </w:div>
        <w:div w:id="146173578">
          <w:marLeft w:val="640"/>
          <w:marRight w:val="0"/>
          <w:marTop w:val="0"/>
          <w:marBottom w:val="0"/>
          <w:divBdr>
            <w:top w:val="none" w:sz="0" w:space="0" w:color="auto"/>
            <w:left w:val="none" w:sz="0" w:space="0" w:color="auto"/>
            <w:bottom w:val="none" w:sz="0" w:space="0" w:color="auto"/>
            <w:right w:val="none" w:sz="0" w:space="0" w:color="auto"/>
          </w:divBdr>
        </w:div>
        <w:div w:id="889801731">
          <w:marLeft w:val="640"/>
          <w:marRight w:val="0"/>
          <w:marTop w:val="0"/>
          <w:marBottom w:val="0"/>
          <w:divBdr>
            <w:top w:val="none" w:sz="0" w:space="0" w:color="auto"/>
            <w:left w:val="none" w:sz="0" w:space="0" w:color="auto"/>
            <w:bottom w:val="none" w:sz="0" w:space="0" w:color="auto"/>
            <w:right w:val="none" w:sz="0" w:space="0" w:color="auto"/>
          </w:divBdr>
        </w:div>
        <w:div w:id="1085961056">
          <w:marLeft w:val="640"/>
          <w:marRight w:val="0"/>
          <w:marTop w:val="0"/>
          <w:marBottom w:val="0"/>
          <w:divBdr>
            <w:top w:val="none" w:sz="0" w:space="0" w:color="auto"/>
            <w:left w:val="none" w:sz="0" w:space="0" w:color="auto"/>
            <w:bottom w:val="none" w:sz="0" w:space="0" w:color="auto"/>
            <w:right w:val="none" w:sz="0" w:space="0" w:color="auto"/>
          </w:divBdr>
        </w:div>
        <w:div w:id="1427656034">
          <w:marLeft w:val="640"/>
          <w:marRight w:val="0"/>
          <w:marTop w:val="0"/>
          <w:marBottom w:val="0"/>
          <w:divBdr>
            <w:top w:val="none" w:sz="0" w:space="0" w:color="auto"/>
            <w:left w:val="none" w:sz="0" w:space="0" w:color="auto"/>
            <w:bottom w:val="none" w:sz="0" w:space="0" w:color="auto"/>
            <w:right w:val="none" w:sz="0" w:space="0" w:color="auto"/>
          </w:divBdr>
        </w:div>
        <w:div w:id="1514302563">
          <w:marLeft w:val="640"/>
          <w:marRight w:val="0"/>
          <w:marTop w:val="0"/>
          <w:marBottom w:val="0"/>
          <w:divBdr>
            <w:top w:val="none" w:sz="0" w:space="0" w:color="auto"/>
            <w:left w:val="none" w:sz="0" w:space="0" w:color="auto"/>
            <w:bottom w:val="none" w:sz="0" w:space="0" w:color="auto"/>
            <w:right w:val="none" w:sz="0" w:space="0" w:color="auto"/>
          </w:divBdr>
        </w:div>
        <w:div w:id="1599831659">
          <w:marLeft w:val="640"/>
          <w:marRight w:val="0"/>
          <w:marTop w:val="0"/>
          <w:marBottom w:val="0"/>
          <w:divBdr>
            <w:top w:val="none" w:sz="0" w:space="0" w:color="auto"/>
            <w:left w:val="none" w:sz="0" w:space="0" w:color="auto"/>
            <w:bottom w:val="none" w:sz="0" w:space="0" w:color="auto"/>
            <w:right w:val="none" w:sz="0" w:space="0" w:color="auto"/>
          </w:divBdr>
        </w:div>
        <w:div w:id="1788160411">
          <w:marLeft w:val="640"/>
          <w:marRight w:val="0"/>
          <w:marTop w:val="0"/>
          <w:marBottom w:val="0"/>
          <w:divBdr>
            <w:top w:val="none" w:sz="0" w:space="0" w:color="auto"/>
            <w:left w:val="none" w:sz="0" w:space="0" w:color="auto"/>
            <w:bottom w:val="none" w:sz="0" w:space="0" w:color="auto"/>
            <w:right w:val="none" w:sz="0" w:space="0" w:color="auto"/>
          </w:divBdr>
        </w:div>
        <w:div w:id="1797288961">
          <w:marLeft w:val="640"/>
          <w:marRight w:val="0"/>
          <w:marTop w:val="0"/>
          <w:marBottom w:val="0"/>
          <w:divBdr>
            <w:top w:val="none" w:sz="0" w:space="0" w:color="auto"/>
            <w:left w:val="none" w:sz="0" w:space="0" w:color="auto"/>
            <w:bottom w:val="none" w:sz="0" w:space="0" w:color="auto"/>
            <w:right w:val="none" w:sz="0" w:space="0" w:color="auto"/>
          </w:divBdr>
        </w:div>
        <w:div w:id="1962607281">
          <w:marLeft w:val="640"/>
          <w:marRight w:val="0"/>
          <w:marTop w:val="0"/>
          <w:marBottom w:val="0"/>
          <w:divBdr>
            <w:top w:val="none" w:sz="0" w:space="0" w:color="auto"/>
            <w:left w:val="none" w:sz="0" w:space="0" w:color="auto"/>
            <w:bottom w:val="none" w:sz="0" w:space="0" w:color="auto"/>
            <w:right w:val="none" w:sz="0" w:space="0" w:color="auto"/>
          </w:divBdr>
        </w:div>
      </w:divsChild>
    </w:div>
    <w:div w:id="978152306">
      <w:marLeft w:val="640"/>
      <w:marRight w:val="0"/>
      <w:marTop w:val="0"/>
      <w:marBottom w:val="0"/>
      <w:divBdr>
        <w:top w:val="none" w:sz="0" w:space="0" w:color="auto"/>
        <w:left w:val="none" w:sz="0" w:space="0" w:color="auto"/>
        <w:bottom w:val="none" w:sz="0" w:space="0" w:color="auto"/>
        <w:right w:val="none" w:sz="0" w:space="0" w:color="auto"/>
      </w:divBdr>
    </w:div>
    <w:div w:id="988362332">
      <w:marLeft w:val="640"/>
      <w:marRight w:val="0"/>
      <w:marTop w:val="0"/>
      <w:marBottom w:val="0"/>
      <w:divBdr>
        <w:top w:val="none" w:sz="0" w:space="0" w:color="auto"/>
        <w:left w:val="none" w:sz="0" w:space="0" w:color="auto"/>
        <w:bottom w:val="none" w:sz="0" w:space="0" w:color="auto"/>
        <w:right w:val="none" w:sz="0" w:space="0" w:color="auto"/>
      </w:divBdr>
    </w:div>
    <w:div w:id="998465970">
      <w:marLeft w:val="640"/>
      <w:marRight w:val="0"/>
      <w:marTop w:val="0"/>
      <w:marBottom w:val="0"/>
      <w:divBdr>
        <w:top w:val="none" w:sz="0" w:space="0" w:color="auto"/>
        <w:left w:val="none" w:sz="0" w:space="0" w:color="auto"/>
        <w:bottom w:val="none" w:sz="0" w:space="0" w:color="auto"/>
        <w:right w:val="none" w:sz="0" w:space="0" w:color="auto"/>
      </w:divBdr>
    </w:div>
    <w:div w:id="998582991">
      <w:bodyDiv w:val="1"/>
      <w:marLeft w:val="0"/>
      <w:marRight w:val="0"/>
      <w:marTop w:val="0"/>
      <w:marBottom w:val="0"/>
      <w:divBdr>
        <w:top w:val="none" w:sz="0" w:space="0" w:color="auto"/>
        <w:left w:val="none" w:sz="0" w:space="0" w:color="auto"/>
        <w:bottom w:val="none" w:sz="0" w:space="0" w:color="auto"/>
        <w:right w:val="none" w:sz="0" w:space="0" w:color="auto"/>
      </w:divBdr>
      <w:divsChild>
        <w:div w:id="124279229">
          <w:marLeft w:val="640"/>
          <w:marRight w:val="0"/>
          <w:marTop w:val="0"/>
          <w:marBottom w:val="0"/>
          <w:divBdr>
            <w:top w:val="none" w:sz="0" w:space="0" w:color="auto"/>
            <w:left w:val="none" w:sz="0" w:space="0" w:color="auto"/>
            <w:bottom w:val="none" w:sz="0" w:space="0" w:color="auto"/>
            <w:right w:val="none" w:sz="0" w:space="0" w:color="auto"/>
          </w:divBdr>
        </w:div>
        <w:div w:id="349524542">
          <w:marLeft w:val="640"/>
          <w:marRight w:val="0"/>
          <w:marTop w:val="0"/>
          <w:marBottom w:val="0"/>
          <w:divBdr>
            <w:top w:val="none" w:sz="0" w:space="0" w:color="auto"/>
            <w:left w:val="none" w:sz="0" w:space="0" w:color="auto"/>
            <w:bottom w:val="none" w:sz="0" w:space="0" w:color="auto"/>
            <w:right w:val="none" w:sz="0" w:space="0" w:color="auto"/>
          </w:divBdr>
        </w:div>
        <w:div w:id="558053978">
          <w:marLeft w:val="640"/>
          <w:marRight w:val="0"/>
          <w:marTop w:val="0"/>
          <w:marBottom w:val="0"/>
          <w:divBdr>
            <w:top w:val="none" w:sz="0" w:space="0" w:color="auto"/>
            <w:left w:val="none" w:sz="0" w:space="0" w:color="auto"/>
            <w:bottom w:val="none" w:sz="0" w:space="0" w:color="auto"/>
            <w:right w:val="none" w:sz="0" w:space="0" w:color="auto"/>
          </w:divBdr>
        </w:div>
        <w:div w:id="936718441">
          <w:marLeft w:val="640"/>
          <w:marRight w:val="0"/>
          <w:marTop w:val="0"/>
          <w:marBottom w:val="0"/>
          <w:divBdr>
            <w:top w:val="none" w:sz="0" w:space="0" w:color="auto"/>
            <w:left w:val="none" w:sz="0" w:space="0" w:color="auto"/>
            <w:bottom w:val="none" w:sz="0" w:space="0" w:color="auto"/>
            <w:right w:val="none" w:sz="0" w:space="0" w:color="auto"/>
          </w:divBdr>
        </w:div>
        <w:div w:id="943998138">
          <w:marLeft w:val="640"/>
          <w:marRight w:val="0"/>
          <w:marTop w:val="0"/>
          <w:marBottom w:val="0"/>
          <w:divBdr>
            <w:top w:val="none" w:sz="0" w:space="0" w:color="auto"/>
            <w:left w:val="none" w:sz="0" w:space="0" w:color="auto"/>
            <w:bottom w:val="none" w:sz="0" w:space="0" w:color="auto"/>
            <w:right w:val="none" w:sz="0" w:space="0" w:color="auto"/>
          </w:divBdr>
        </w:div>
        <w:div w:id="955864441">
          <w:marLeft w:val="640"/>
          <w:marRight w:val="0"/>
          <w:marTop w:val="0"/>
          <w:marBottom w:val="0"/>
          <w:divBdr>
            <w:top w:val="none" w:sz="0" w:space="0" w:color="auto"/>
            <w:left w:val="none" w:sz="0" w:space="0" w:color="auto"/>
            <w:bottom w:val="none" w:sz="0" w:space="0" w:color="auto"/>
            <w:right w:val="none" w:sz="0" w:space="0" w:color="auto"/>
          </w:divBdr>
        </w:div>
        <w:div w:id="1183860331">
          <w:marLeft w:val="640"/>
          <w:marRight w:val="0"/>
          <w:marTop w:val="0"/>
          <w:marBottom w:val="0"/>
          <w:divBdr>
            <w:top w:val="none" w:sz="0" w:space="0" w:color="auto"/>
            <w:left w:val="none" w:sz="0" w:space="0" w:color="auto"/>
            <w:bottom w:val="none" w:sz="0" w:space="0" w:color="auto"/>
            <w:right w:val="none" w:sz="0" w:space="0" w:color="auto"/>
          </w:divBdr>
        </w:div>
        <w:div w:id="1200824573">
          <w:marLeft w:val="640"/>
          <w:marRight w:val="0"/>
          <w:marTop w:val="0"/>
          <w:marBottom w:val="0"/>
          <w:divBdr>
            <w:top w:val="none" w:sz="0" w:space="0" w:color="auto"/>
            <w:left w:val="none" w:sz="0" w:space="0" w:color="auto"/>
            <w:bottom w:val="none" w:sz="0" w:space="0" w:color="auto"/>
            <w:right w:val="none" w:sz="0" w:space="0" w:color="auto"/>
          </w:divBdr>
        </w:div>
        <w:div w:id="1301955232">
          <w:marLeft w:val="640"/>
          <w:marRight w:val="0"/>
          <w:marTop w:val="0"/>
          <w:marBottom w:val="0"/>
          <w:divBdr>
            <w:top w:val="none" w:sz="0" w:space="0" w:color="auto"/>
            <w:left w:val="none" w:sz="0" w:space="0" w:color="auto"/>
            <w:bottom w:val="none" w:sz="0" w:space="0" w:color="auto"/>
            <w:right w:val="none" w:sz="0" w:space="0" w:color="auto"/>
          </w:divBdr>
        </w:div>
        <w:div w:id="1352955302">
          <w:marLeft w:val="640"/>
          <w:marRight w:val="0"/>
          <w:marTop w:val="0"/>
          <w:marBottom w:val="0"/>
          <w:divBdr>
            <w:top w:val="none" w:sz="0" w:space="0" w:color="auto"/>
            <w:left w:val="none" w:sz="0" w:space="0" w:color="auto"/>
            <w:bottom w:val="none" w:sz="0" w:space="0" w:color="auto"/>
            <w:right w:val="none" w:sz="0" w:space="0" w:color="auto"/>
          </w:divBdr>
        </w:div>
        <w:div w:id="1383365624">
          <w:marLeft w:val="640"/>
          <w:marRight w:val="0"/>
          <w:marTop w:val="0"/>
          <w:marBottom w:val="0"/>
          <w:divBdr>
            <w:top w:val="none" w:sz="0" w:space="0" w:color="auto"/>
            <w:left w:val="none" w:sz="0" w:space="0" w:color="auto"/>
            <w:bottom w:val="none" w:sz="0" w:space="0" w:color="auto"/>
            <w:right w:val="none" w:sz="0" w:space="0" w:color="auto"/>
          </w:divBdr>
        </w:div>
        <w:div w:id="1625312203">
          <w:marLeft w:val="640"/>
          <w:marRight w:val="0"/>
          <w:marTop w:val="0"/>
          <w:marBottom w:val="0"/>
          <w:divBdr>
            <w:top w:val="none" w:sz="0" w:space="0" w:color="auto"/>
            <w:left w:val="none" w:sz="0" w:space="0" w:color="auto"/>
            <w:bottom w:val="none" w:sz="0" w:space="0" w:color="auto"/>
            <w:right w:val="none" w:sz="0" w:space="0" w:color="auto"/>
          </w:divBdr>
        </w:div>
        <w:div w:id="1664236188">
          <w:marLeft w:val="640"/>
          <w:marRight w:val="0"/>
          <w:marTop w:val="0"/>
          <w:marBottom w:val="0"/>
          <w:divBdr>
            <w:top w:val="none" w:sz="0" w:space="0" w:color="auto"/>
            <w:left w:val="none" w:sz="0" w:space="0" w:color="auto"/>
            <w:bottom w:val="none" w:sz="0" w:space="0" w:color="auto"/>
            <w:right w:val="none" w:sz="0" w:space="0" w:color="auto"/>
          </w:divBdr>
        </w:div>
        <w:div w:id="1775635961">
          <w:marLeft w:val="640"/>
          <w:marRight w:val="0"/>
          <w:marTop w:val="0"/>
          <w:marBottom w:val="0"/>
          <w:divBdr>
            <w:top w:val="none" w:sz="0" w:space="0" w:color="auto"/>
            <w:left w:val="none" w:sz="0" w:space="0" w:color="auto"/>
            <w:bottom w:val="none" w:sz="0" w:space="0" w:color="auto"/>
            <w:right w:val="none" w:sz="0" w:space="0" w:color="auto"/>
          </w:divBdr>
        </w:div>
        <w:div w:id="1875189897">
          <w:marLeft w:val="640"/>
          <w:marRight w:val="0"/>
          <w:marTop w:val="0"/>
          <w:marBottom w:val="0"/>
          <w:divBdr>
            <w:top w:val="none" w:sz="0" w:space="0" w:color="auto"/>
            <w:left w:val="none" w:sz="0" w:space="0" w:color="auto"/>
            <w:bottom w:val="none" w:sz="0" w:space="0" w:color="auto"/>
            <w:right w:val="none" w:sz="0" w:space="0" w:color="auto"/>
          </w:divBdr>
        </w:div>
        <w:div w:id="1930962970">
          <w:marLeft w:val="640"/>
          <w:marRight w:val="0"/>
          <w:marTop w:val="0"/>
          <w:marBottom w:val="0"/>
          <w:divBdr>
            <w:top w:val="none" w:sz="0" w:space="0" w:color="auto"/>
            <w:left w:val="none" w:sz="0" w:space="0" w:color="auto"/>
            <w:bottom w:val="none" w:sz="0" w:space="0" w:color="auto"/>
            <w:right w:val="none" w:sz="0" w:space="0" w:color="auto"/>
          </w:divBdr>
        </w:div>
      </w:divsChild>
    </w:div>
    <w:div w:id="1000158935">
      <w:marLeft w:val="640"/>
      <w:marRight w:val="0"/>
      <w:marTop w:val="0"/>
      <w:marBottom w:val="0"/>
      <w:divBdr>
        <w:top w:val="none" w:sz="0" w:space="0" w:color="auto"/>
        <w:left w:val="none" w:sz="0" w:space="0" w:color="auto"/>
        <w:bottom w:val="none" w:sz="0" w:space="0" w:color="auto"/>
        <w:right w:val="none" w:sz="0" w:space="0" w:color="auto"/>
      </w:divBdr>
    </w:div>
    <w:div w:id="1005980396">
      <w:marLeft w:val="640"/>
      <w:marRight w:val="0"/>
      <w:marTop w:val="0"/>
      <w:marBottom w:val="0"/>
      <w:divBdr>
        <w:top w:val="none" w:sz="0" w:space="0" w:color="auto"/>
        <w:left w:val="none" w:sz="0" w:space="0" w:color="auto"/>
        <w:bottom w:val="none" w:sz="0" w:space="0" w:color="auto"/>
        <w:right w:val="none" w:sz="0" w:space="0" w:color="auto"/>
      </w:divBdr>
    </w:div>
    <w:div w:id="1013917694">
      <w:bodyDiv w:val="1"/>
      <w:marLeft w:val="0"/>
      <w:marRight w:val="0"/>
      <w:marTop w:val="0"/>
      <w:marBottom w:val="0"/>
      <w:divBdr>
        <w:top w:val="none" w:sz="0" w:space="0" w:color="auto"/>
        <w:left w:val="none" w:sz="0" w:space="0" w:color="auto"/>
        <w:bottom w:val="none" w:sz="0" w:space="0" w:color="auto"/>
        <w:right w:val="none" w:sz="0" w:space="0" w:color="auto"/>
      </w:divBdr>
      <w:divsChild>
        <w:div w:id="121963137">
          <w:marLeft w:val="640"/>
          <w:marRight w:val="0"/>
          <w:marTop w:val="0"/>
          <w:marBottom w:val="0"/>
          <w:divBdr>
            <w:top w:val="none" w:sz="0" w:space="0" w:color="auto"/>
            <w:left w:val="none" w:sz="0" w:space="0" w:color="auto"/>
            <w:bottom w:val="none" w:sz="0" w:space="0" w:color="auto"/>
            <w:right w:val="none" w:sz="0" w:space="0" w:color="auto"/>
          </w:divBdr>
        </w:div>
        <w:div w:id="298266495">
          <w:marLeft w:val="640"/>
          <w:marRight w:val="0"/>
          <w:marTop w:val="0"/>
          <w:marBottom w:val="0"/>
          <w:divBdr>
            <w:top w:val="none" w:sz="0" w:space="0" w:color="auto"/>
            <w:left w:val="none" w:sz="0" w:space="0" w:color="auto"/>
            <w:bottom w:val="none" w:sz="0" w:space="0" w:color="auto"/>
            <w:right w:val="none" w:sz="0" w:space="0" w:color="auto"/>
          </w:divBdr>
        </w:div>
        <w:div w:id="757217024">
          <w:marLeft w:val="640"/>
          <w:marRight w:val="0"/>
          <w:marTop w:val="0"/>
          <w:marBottom w:val="0"/>
          <w:divBdr>
            <w:top w:val="none" w:sz="0" w:space="0" w:color="auto"/>
            <w:left w:val="none" w:sz="0" w:space="0" w:color="auto"/>
            <w:bottom w:val="none" w:sz="0" w:space="0" w:color="auto"/>
            <w:right w:val="none" w:sz="0" w:space="0" w:color="auto"/>
          </w:divBdr>
        </w:div>
        <w:div w:id="805510551">
          <w:marLeft w:val="640"/>
          <w:marRight w:val="0"/>
          <w:marTop w:val="0"/>
          <w:marBottom w:val="0"/>
          <w:divBdr>
            <w:top w:val="none" w:sz="0" w:space="0" w:color="auto"/>
            <w:left w:val="none" w:sz="0" w:space="0" w:color="auto"/>
            <w:bottom w:val="none" w:sz="0" w:space="0" w:color="auto"/>
            <w:right w:val="none" w:sz="0" w:space="0" w:color="auto"/>
          </w:divBdr>
        </w:div>
        <w:div w:id="1486435484">
          <w:marLeft w:val="640"/>
          <w:marRight w:val="0"/>
          <w:marTop w:val="0"/>
          <w:marBottom w:val="0"/>
          <w:divBdr>
            <w:top w:val="none" w:sz="0" w:space="0" w:color="auto"/>
            <w:left w:val="none" w:sz="0" w:space="0" w:color="auto"/>
            <w:bottom w:val="none" w:sz="0" w:space="0" w:color="auto"/>
            <w:right w:val="none" w:sz="0" w:space="0" w:color="auto"/>
          </w:divBdr>
        </w:div>
        <w:div w:id="1585142849">
          <w:marLeft w:val="640"/>
          <w:marRight w:val="0"/>
          <w:marTop w:val="0"/>
          <w:marBottom w:val="0"/>
          <w:divBdr>
            <w:top w:val="none" w:sz="0" w:space="0" w:color="auto"/>
            <w:left w:val="none" w:sz="0" w:space="0" w:color="auto"/>
            <w:bottom w:val="none" w:sz="0" w:space="0" w:color="auto"/>
            <w:right w:val="none" w:sz="0" w:space="0" w:color="auto"/>
          </w:divBdr>
        </w:div>
        <w:div w:id="1969311309">
          <w:marLeft w:val="640"/>
          <w:marRight w:val="0"/>
          <w:marTop w:val="0"/>
          <w:marBottom w:val="0"/>
          <w:divBdr>
            <w:top w:val="none" w:sz="0" w:space="0" w:color="auto"/>
            <w:left w:val="none" w:sz="0" w:space="0" w:color="auto"/>
            <w:bottom w:val="none" w:sz="0" w:space="0" w:color="auto"/>
            <w:right w:val="none" w:sz="0" w:space="0" w:color="auto"/>
          </w:divBdr>
        </w:div>
      </w:divsChild>
    </w:div>
    <w:div w:id="1023901344">
      <w:marLeft w:val="640"/>
      <w:marRight w:val="0"/>
      <w:marTop w:val="0"/>
      <w:marBottom w:val="0"/>
      <w:divBdr>
        <w:top w:val="none" w:sz="0" w:space="0" w:color="auto"/>
        <w:left w:val="none" w:sz="0" w:space="0" w:color="auto"/>
        <w:bottom w:val="none" w:sz="0" w:space="0" w:color="auto"/>
        <w:right w:val="none" w:sz="0" w:space="0" w:color="auto"/>
      </w:divBdr>
    </w:div>
    <w:div w:id="1039470911">
      <w:marLeft w:val="640"/>
      <w:marRight w:val="0"/>
      <w:marTop w:val="0"/>
      <w:marBottom w:val="0"/>
      <w:divBdr>
        <w:top w:val="none" w:sz="0" w:space="0" w:color="auto"/>
        <w:left w:val="none" w:sz="0" w:space="0" w:color="auto"/>
        <w:bottom w:val="none" w:sz="0" w:space="0" w:color="auto"/>
        <w:right w:val="none" w:sz="0" w:space="0" w:color="auto"/>
      </w:divBdr>
    </w:div>
    <w:div w:id="1041520618">
      <w:marLeft w:val="640"/>
      <w:marRight w:val="0"/>
      <w:marTop w:val="0"/>
      <w:marBottom w:val="0"/>
      <w:divBdr>
        <w:top w:val="none" w:sz="0" w:space="0" w:color="auto"/>
        <w:left w:val="none" w:sz="0" w:space="0" w:color="auto"/>
        <w:bottom w:val="none" w:sz="0" w:space="0" w:color="auto"/>
        <w:right w:val="none" w:sz="0" w:space="0" w:color="auto"/>
      </w:divBdr>
    </w:div>
    <w:div w:id="1045135175">
      <w:marLeft w:val="640"/>
      <w:marRight w:val="0"/>
      <w:marTop w:val="0"/>
      <w:marBottom w:val="0"/>
      <w:divBdr>
        <w:top w:val="none" w:sz="0" w:space="0" w:color="auto"/>
        <w:left w:val="none" w:sz="0" w:space="0" w:color="auto"/>
        <w:bottom w:val="none" w:sz="0" w:space="0" w:color="auto"/>
        <w:right w:val="none" w:sz="0" w:space="0" w:color="auto"/>
      </w:divBdr>
    </w:div>
    <w:div w:id="1063868726">
      <w:marLeft w:val="640"/>
      <w:marRight w:val="0"/>
      <w:marTop w:val="0"/>
      <w:marBottom w:val="0"/>
      <w:divBdr>
        <w:top w:val="none" w:sz="0" w:space="0" w:color="auto"/>
        <w:left w:val="none" w:sz="0" w:space="0" w:color="auto"/>
        <w:bottom w:val="none" w:sz="0" w:space="0" w:color="auto"/>
        <w:right w:val="none" w:sz="0" w:space="0" w:color="auto"/>
      </w:divBdr>
    </w:div>
    <w:div w:id="1068304021">
      <w:marLeft w:val="640"/>
      <w:marRight w:val="0"/>
      <w:marTop w:val="0"/>
      <w:marBottom w:val="0"/>
      <w:divBdr>
        <w:top w:val="none" w:sz="0" w:space="0" w:color="auto"/>
        <w:left w:val="none" w:sz="0" w:space="0" w:color="auto"/>
        <w:bottom w:val="none" w:sz="0" w:space="0" w:color="auto"/>
        <w:right w:val="none" w:sz="0" w:space="0" w:color="auto"/>
      </w:divBdr>
    </w:div>
    <w:div w:id="1072242193">
      <w:bodyDiv w:val="1"/>
      <w:marLeft w:val="0"/>
      <w:marRight w:val="0"/>
      <w:marTop w:val="0"/>
      <w:marBottom w:val="0"/>
      <w:divBdr>
        <w:top w:val="none" w:sz="0" w:space="0" w:color="auto"/>
        <w:left w:val="none" w:sz="0" w:space="0" w:color="auto"/>
        <w:bottom w:val="none" w:sz="0" w:space="0" w:color="auto"/>
        <w:right w:val="none" w:sz="0" w:space="0" w:color="auto"/>
      </w:divBdr>
      <w:divsChild>
        <w:div w:id="1751540842">
          <w:marLeft w:val="0"/>
          <w:marRight w:val="0"/>
          <w:marTop w:val="0"/>
          <w:marBottom w:val="0"/>
          <w:divBdr>
            <w:top w:val="none" w:sz="0" w:space="0" w:color="auto"/>
            <w:left w:val="none" w:sz="0" w:space="0" w:color="auto"/>
            <w:bottom w:val="single" w:sz="12" w:space="4" w:color="D3D3D3"/>
            <w:right w:val="none" w:sz="0" w:space="0" w:color="auto"/>
          </w:divBdr>
        </w:div>
      </w:divsChild>
    </w:div>
    <w:div w:id="1090467043">
      <w:bodyDiv w:val="1"/>
      <w:marLeft w:val="0"/>
      <w:marRight w:val="0"/>
      <w:marTop w:val="0"/>
      <w:marBottom w:val="0"/>
      <w:divBdr>
        <w:top w:val="none" w:sz="0" w:space="0" w:color="auto"/>
        <w:left w:val="none" w:sz="0" w:space="0" w:color="auto"/>
        <w:bottom w:val="none" w:sz="0" w:space="0" w:color="auto"/>
        <w:right w:val="none" w:sz="0" w:space="0" w:color="auto"/>
      </w:divBdr>
    </w:div>
    <w:div w:id="1092779912">
      <w:marLeft w:val="640"/>
      <w:marRight w:val="0"/>
      <w:marTop w:val="0"/>
      <w:marBottom w:val="0"/>
      <w:divBdr>
        <w:top w:val="none" w:sz="0" w:space="0" w:color="auto"/>
        <w:left w:val="none" w:sz="0" w:space="0" w:color="auto"/>
        <w:bottom w:val="none" w:sz="0" w:space="0" w:color="auto"/>
        <w:right w:val="none" w:sz="0" w:space="0" w:color="auto"/>
      </w:divBdr>
    </w:div>
    <w:div w:id="1096755532">
      <w:bodyDiv w:val="1"/>
      <w:marLeft w:val="0"/>
      <w:marRight w:val="0"/>
      <w:marTop w:val="0"/>
      <w:marBottom w:val="0"/>
      <w:divBdr>
        <w:top w:val="none" w:sz="0" w:space="0" w:color="auto"/>
        <w:left w:val="none" w:sz="0" w:space="0" w:color="auto"/>
        <w:bottom w:val="none" w:sz="0" w:space="0" w:color="auto"/>
        <w:right w:val="none" w:sz="0" w:space="0" w:color="auto"/>
      </w:divBdr>
      <w:divsChild>
        <w:div w:id="85351551">
          <w:marLeft w:val="640"/>
          <w:marRight w:val="0"/>
          <w:marTop w:val="0"/>
          <w:marBottom w:val="0"/>
          <w:divBdr>
            <w:top w:val="none" w:sz="0" w:space="0" w:color="auto"/>
            <w:left w:val="none" w:sz="0" w:space="0" w:color="auto"/>
            <w:bottom w:val="none" w:sz="0" w:space="0" w:color="auto"/>
            <w:right w:val="none" w:sz="0" w:space="0" w:color="auto"/>
          </w:divBdr>
        </w:div>
        <w:div w:id="206992048">
          <w:marLeft w:val="640"/>
          <w:marRight w:val="0"/>
          <w:marTop w:val="0"/>
          <w:marBottom w:val="0"/>
          <w:divBdr>
            <w:top w:val="none" w:sz="0" w:space="0" w:color="auto"/>
            <w:left w:val="none" w:sz="0" w:space="0" w:color="auto"/>
            <w:bottom w:val="none" w:sz="0" w:space="0" w:color="auto"/>
            <w:right w:val="none" w:sz="0" w:space="0" w:color="auto"/>
          </w:divBdr>
        </w:div>
        <w:div w:id="512231313">
          <w:marLeft w:val="640"/>
          <w:marRight w:val="0"/>
          <w:marTop w:val="0"/>
          <w:marBottom w:val="0"/>
          <w:divBdr>
            <w:top w:val="none" w:sz="0" w:space="0" w:color="auto"/>
            <w:left w:val="none" w:sz="0" w:space="0" w:color="auto"/>
            <w:bottom w:val="none" w:sz="0" w:space="0" w:color="auto"/>
            <w:right w:val="none" w:sz="0" w:space="0" w:color="auto"/>
          </w:divBdr>
        </w:div>
        <w:div w:id="686904760">
          <w:marLeft w:val="640"/>
          <w:marRight w:val="0"/>
          <w:marTop w:val="0"/>
          <w:marBottom w:val="0"/>
          <w:divBdr>
            <w:top w:val="none" w:sz="0" w:space="0" w:color="auto"/>
            <w:left w:val="none" w:sz="0" w:space="0" w:color="auto"/>
            <w:bottom w:val="none" w:sz="0" w:space="0" w:color="auto"/>
            <w:right w:val="none" w:sz="0" w:space="0" w:color="auto"/>
          </w:divBdr>
        </w:div>
        <w:div w:id="1822847533">
          <w:marLeft w:val="640"/>
          <w:marRight w:val="0"/>
          <w:marTop w:val="0"/>
          <w:marBottom w:val="0"/>
          <w:divBdr>
            <w:top w:val="none" w:sz="0" w:space="0" w:color="auto"/>
            <w:left w:val="none" w:sz="0" w:space="0" w:color="auto"/>
            <w:bottom w:val="none" w:sz="0" w:space="0" w:color="auto"/>
            <w:right w:val="none" w:sz="0" w:space="0" w:color="auto"/>
          </w:divBdr>
        </w:div>
        <w:div w:id="1839274096">
          <w:marLeft w:val="640"/>
          <w:marRight w:val="0"/>
          <w:marTop w:val="0"/>
          <w:marBottom w:val="0"/>
          <w:divBdr>
            <w:top w:val="none" w:sz="0" w:space="0" w:color="auto"/>
            <w:left w:val="none" w:sz="0" w:space="0" w:color="auto"/>
            <w:bottom w:val="none" w:sz="0" w:space="0" w:color="auto"/>
            <w:right w:val="none" w:sz="0" w:space="0" w:color="auto"/>
          </w:divBdr>
        </w:div>
        <w:div w:id="1886485066">
          <w:marLeft w:val="640"/>
          <w:marRight w:val="0"/>
          <w:marTop w:val="0"/>
          <w:marBottom w:val="0"/>
          <w:divBdr>
            <w:top w:val="none" w:sz="0" w:space="0" w:color="auto"/>
            <w:left w:val="none" w:sz="0" w:space="0" w:color="auto"/>
            <w:bottom w:val="none" w:sz="0" w:space="0" w:color="auto"/>
            <w:right w:val="none" w:sz="0" w:space="0" w:color="auto"/>
          </w:divBdr>
        </w:div>
        <w:div w:id="2108455365">
          <w:marLeft w:val="640"/>
          <w:marRight w:val="0"/>
          <w:marTop w:val="0"/>
          <w:marBottom w:val="0"/>
          <w:divBdr>
            <w:top w:val="none" w:sz="0" w:space="0" w:color="auto"/>
            <w:left w:val="none" w:sz="0" w:space="0" w:color="auto"/>
            <w:bottom w:val="none" w:sz="0" w:space="0" w:color="auto"/>
            <w:right w:val="none" w:sz="0" w:space="0" w:color="auto"/>
          </w:divBdr>
        </w:div>
        <w:div w:id="2133673735">
          <w:marLeft w:val="640"/>
          <w:marRight w:val="0"/>
          <w:marTop w:val="0"/>
          <w:marBottom w:val="0"/>
          <w:divBdr>
            <w:top w:val="none" w:sz="0" w:space="0" w:color="auto"/>
            <w:left w:val="none" w:sz="0" w:space="0" w:color="auto"/>
            <w:bottom w:val="none" w:sz="0" w:space="0" w:color="auto"/>
            <w:right w:val="none" w:sz="0" w:space="0" w:color="auto"/>
          </w:divBdr>
        </w:div>
      </w:divsChild>
    </w:div>
    <w:div w:id="1100032422">
      <w:marLeft w:val="640"/>
      <w:marRight w:val="0"/>
      <w:marTop w:val="0"/>
      <w:marBottom w:val="0"/>
      <w:divBdr>
        <w:top w:val="none" w:sz="0" w:space="0" w:color="auto"/>
        <w:left w:val="none" w:sz="0" w:space="0" w:color="auto"/>
        <w:bottom w:val="none" w:sz="0" w:space="0" w:color="auto"/>
        <w:right w:val="none" w:sz="0" w:space="0" w:color="auto"/>
      </w:divBdr>
    </w:div>
    <w:div w:id="1108352135">
      <w:bodyDiv w:val="1"/>
      <w:marLeft w:val="0"/>
      <w:marRight w:val="0"/>
      <w:marTop w:val="0"/>
      <w:marBottom w:val="0"/>
      <w:divBdr>
        <w:top w:val="none" w:sz="0" w:space="0" w:color="auto"/>
        <w:left w:val="none" w:sz="0" w:space="0" w:color="auto"/>
        <w:bottom w:val="none" w:sz="0" w:space="0" w:color="auto"/>
        <w:right w:val="none" w:sz="0" w:space="0" w:color="auto"/>
      </w:divBdr>
      <w:divsChild>
        <w:div w:id="68620170">
          <w:marLeft w:val="640"/>
          <w:marRight w:val="0"/>
          <w:marTop w:val="0"/>
          <w:marBottom w:val="0"/>
          <w:divBdr>
            <w:top w:val="none" w:sz="0" w:space="0" w:color="auto"/>
            <w:left w:val="none" w:sz="0" w:space="0" w:color="auto"/>
            <w:bottom w:val="none" w:sz="0" w:space="0" w:color="auto"/>
            <w:right w:val="none" w:sz="0" w:space="0" w:color="auto"/>
          </w:divBdr>
        </w:div>
        <w:div w:id="273178688">
          <w:marLeft w:val="640"/>
          <w:marRight w:val="0"/>
          <w:marTop w:val="0"/>
          <w:marBottom w:val="0"/>
          <w:divBdr>
            <w:top w:val="none" w:sz="0" w:space="0" w:color="auto"/>
            <w:left w:val="none" w:sz="0" w:space="0" w:color="auto"/>
            <w:bottom w:val="none" w:sz="0" w:space="0" w:color="auto"/>
            <w:right w:val="none" w:sz="0" w:space="0" w:color="auto"/>
          </w:divBdr>
        </w:div>
        <w:div w:id="295330857">
          <w:marLeft w:val="640"/>
          <w:marRight w:val="0"/>
          <w:marTop w:val="0"/>
          <w:marBottom w:val="0"/>
          <w:divBdr>
            <w:top w:val="none" w:sz="0" w:space="0" w:color="auto"/>
            <w:left w:val="none" w:sz="0" w:space="0" w:color="auto"/>
            <w:bottom w:val="none" w:sz="0" w:space="0" w:color="auto"/>
            <w:right w:val="none" w:sz="0" w:space="0" w:color="auto"/>
          </w:divBdr>
        </w:div>
        <w:div w:id="370497542">
          <w:marLeft w:val="640"/>
          <w:marRight w:val="0"/>
          <w:marTop w:val="0"/>
          <w:marBottom w:val="0"/>
          <w:divBdr>
            <w:top w:val="none" w:sz="0" w:space="0" w:color="auto"/>
            <w:left w:val="none" w:sz="0" w:space="0" w:color="auto"/>
            <w:bottom w:val="none" w:sz="0" w:space="0" w:color="auto"/>
            <w:right w:val="none" w:sz="0" w:space="0" w:color="auto"/>
          </w:divBdr>
        </w:div>
        <w:div w:id="387799931">
          <w:marLeft w:val="640"/>
          <w:marRight w:val="0"/>
          <w:marTop w:val="0"/>
          <w:marBottom w:val="0"/>
          <w:divBdr>
            <w:top w:val="none" w:sz="0" w:space="0" w:color="auto"/>
            <w:left w:val="none" w:sz="0" w:space="0" w:color="auto"/>
            <w:bottom w:val="none" w:sz="0" w:space="0" w:color="auto"/>
            <w:right w:val="none" w:sz="0" w:space="0" w:color="auto"/>
          </w:divBdr>
        </w:div>
        <w:div w:id="1060863168">
          <w:marLeft w:val="640"/>
          <w:marRight w:val="0"/>
          <w:marTop w:val="0"/>
          <w:marBottom w:val="0"/>
          <w:divBdr>
            <w:top w:val="none" w:sz="0" w:space="0" w:color="auto"/>
            <w:left w:val="none" w:sz="0" w:space="0" w:color="auto"/>
            <w:bottom w:val="none" w:sz="0" w:space="0" w:color="auto"/>
            <w:right w:val="none" w:sz="0" w:space="0" w:color="auto"/>
          </w:divBdr>
        </w:div>
        <w:div w:id="1107386061">
          <w:marLeft w:val="640"/>
          <w:marRight w:val="0"/>
          <w:marTop w:val="0"/>
          <w:marBottom w:val="0"/>
          <w:divBdr>
            <w:top w:val="none" w:sz="0" w:space="0" w:color="auto"/>
            <w:left w:val="none" w:sz="0" w:space="0" w:color="auto"/>
            <w:bottom w:val="none" w:sz="0" w:space="0" w:color="auto"/>
            <w:right w:val="none" w:sz="0" w:space="0" w:color="auto"/>
          </w:divBdr>
        </w:div>
        <w:div w:id="1211114884">
          <w:marLeft w:val="640"/>
          <w:marRight w:val="0"/>
          <w:marTop w:val="0"/>
          <w:marBottom w:val="0"/>
          <w:divBdr>
            <w:top w:val="none" w:sz="0" w:space="0" w:color="auto"/>
            <w:left w:val="none" w:sz="0" w:space="0" w:color="auto"/>
            <w:bottom w:val="none" w:sz="0" w:space="0" w:color="auto"/>
            <w:right w:val="none" w:sz="0" w:space="0" w:color="auto"/>
          </w:divBdr>
        </w:div>
        <w:div w:id="1238827211">
          <w:marLeft w:val="640"/>
          <w:marRight w:val="0"/>
          <w:marTop w:val="0"/>
          <w:marBottom w:val="0"/>
          <w:divBdr>
            <w:top w:val="none" w:sz="0" w:space="0" w:color="auto"/>
            <w:left w:val="none" w:sz="0" w:space="0" w:color="auto"/>
            <w:bottom w:val="none" w:sz="0" w:space="0" w:color="auto"/>
            <w:right w:val="none" w:sz="0" w:space="0" w:color="auto"/>
          </w:divBdr>
        </w:div>
        <w:div w:id="1405026963">
          <w:marLeft w:val="640"/>
          <w:marRight w:val="0"/>
          <w:marTop w:val="0"/>
          <w:marBottom w:val="0"/>
          <w:divBdr>
            <w:top w:val="none" w:sz="0" w:space="0" w:color="auto"/>
            <w:left w:val="none" w:sz="0" w:space="0" w:color="auto"/>
            <w:bottom w:val="none" w:sz="0" w:space="0" w:color="auto"/>
            <w:right w:val="none" w:sz="0" w:space="0" w:color="auto"/>
          </w:divBdr>
        </w:div>
        <w:div w:id="1430808284">
          <w:marLeft w:val="640"/>
          <w:marRight w:val="0"/>
          <w:marTop w:val="0"/>
          <w:marBottom w:val="0"/>
          <w:divBdr>
            <w:top w:val="none" w:sz="0" w:space="0" w:color="auto"/>
            <w:left w:val="none" w:sz="0" w:space="0" w:color="auto"/>
            <w:bottom w:val="none" w:sz="0" w:space="0" w:color="auto"/>
            <w:right w:val="none" w:sz="0" w:space="0" w:color="auto"/>
          </w:divBdr>
        </w:div>
        <w:div w:id="1529443598">
          <w:marLeft w:val="640"/>
          <w:marRight w:val="0"/>
          <w:marTop w:val="0"/>
          <w:marBottom w:val="0"/>
          <w:divBdr>
            <w:top w:val="none" w:sz="0" w:space="0" w:color="auto"/>
            <w:left w:val="none" w:sz="0" w:space="0" w:color="auto"/>
            <w:bottom w:val="none" w:sz="0" w:space="0" w:color="auto"/>
            <w:right w:val="none" w:sz="0" w:space="0" w:color="auto"/>
          </w:divBdr>
        </w:div>
        <w:div w:id="1718895401">
          <w:marLeft w:val="640"/>
          <w:marRight w:val="0"/>
          <w:marTop w:val="0"/>
          <w:marBottom w:val="0"/>
          <w:divBdr>
            <w:top w:val="none" w:sz="0" w:space="0" w:color="auto"/>
            <w:left w:val="none" w:sz="0" w:space="0" w:color="auto"/>
            <w:bottom w:val="none" w:sz="0" w:space="0" w:color="auto"/>
            <w:right w:val="none" w:sz="0" w:space="0" w:color="auto"/>
          </w:divBdr>
        </w:div>
        <w:div w:id="2115706714">
          <w:marLeft w:val="640"/>
          <w:marRight w:val="0"/>
          <w:marTop w:val="0"/>
          <w:marBottom w:val="0"/>
          <w:divBdr>
            <w:top w:val="none" w:sz="0" w:space="0" w:color="auto"/>
            <w:left w:val="none" w:sz="0" w:space="0" w:color="auto"/>
            <w:bottom w:val="none" w:sz="0" w:space="0" w:color="auto"/>
            <w:right w:val="none" w:sz="0" w:space="0" w:color="auto"/>
          </w:divBdr>
        </w:div>
      </w:divsChild>
    </w:div>
    <w:div w:id="1111434748">
      <w:marLeft w:val="640"/>
      <w:marRight w:val="0"/>
      <w:marTop w:val="0"/>
      <w:marBottom w:val="0"/>
      <w:divBdr>
        <w:top w:val="none" w:sz="0" w:space="0" w:color="auto"/>
        <w:left w:val="none" w:sz="0" w:space="0" w:color="auto"/>
        <w:bottom w:val="none" w:sz="0" w:space="0" w:color="auto"/>
        <w:right w:val="none" w:sz="0" w:space="0" w:color="auto"/>
      </w:divBdr>
    </w:div>
    <w:div w:id="1121875052">
      <w:marLeft w:val="640"/>
      <w:marRight w:val="0"/>
      <w:marTop w:val="0"/>
      <w:marBottom w:val="0"/>
      <w:divBdr>
        <w:top w:val="none" w:sz="0" w:space="0" w:color="auto"/>
        <w:left w:val="none" w:sz="0" w:space="0" w:color="auto"/>
        <w:bottom w:val="none" w:sz="0" w:space="0" w:color="auto"/>
        <w:right w:val="none" w:sz="0" w:space="0" w:color="auto"/>
      </w:divBdr>
    </w:div>
    <w:div w:id="1126850190">
      <w:marLeft w:val="640"/>
      <w:marRight w:val="0"/>
      <w:marTop w:val="0"/>
      <w:marBottom w:val="0"/>
      <w:divBdr>
        <w:top w:val="none" w:sz="0" w:space="0" w:color="auto"/>
        <w:left w:val="none" w:sz="0" w:space="0" w:color="auto"/>
        <w:bottom w:val="none" w:sz="0" w:space="0" w:color="auto"/>
        <w:right w:val="none" w:sz="0" w:space="0" w:color="auto"/>
      </w:divBdr>
    </w:div>
    <w:div w:id="1129590796">
      <w:marLeft w:val="640"/>
      <w:marRight w:val="0"/>
      <w:marTop w:val="0"/>
      <w:marBottom w:val="0"/>
      <w:divBdr>
        <w:top w:val="none" w:sz="0" w:space="0" w:color="auto"/>
        <w:left w:val="none" w:sz="0" w:space="0" w:color="auto"/>
        <w:bottom w:val="none" w:sz="0" w:space="0" w:color="auto"/>
        <w:right w:val="none" w:sz="0" w:space="0" w:color="auto"/>
      </w:divBdr>
    </w:div>
    <w:div w:id="1132015249">
      <w:bodyDiv w:val="1"/>
      <w:marLeft w:val="0"/>
      <w:marRight w:val="0"/>
      <w:marTop w:val="0"/>
      <w:marBottom w:val="0"/>
      <w:divBdr>
        <w:top w:val="none" w:sz="0" w:space="0" w:color="auto"/>
        <w:left w:val="none" w:sz="0" w:space="0" w:color="auto"/>
        <w:bottom w:val="none" w:sz="0" w:space="0" w:color="auto"/>
        <w:right w:val="none" w:sz="0" w:space="0" w:color="auto"/>
      </w:divBdr>
    </w:div>
    <w:div w:id="1136140428">
      <w:bodyDiv w:val="1"/>
      <w:marLeft w:val="0"/>
      <w:marRight w:val="0"/>
      <w:marTop w:val="0"/>
      <w:marBottom w:val="0"/>
      <w:divBdr>
        <w:top w:val="none" w:sz="0" w:space="0" w:color="auto"/>
        <w:left w:val="none" w:sz="0" w:space="0" w:color="auto"/>
        <w:bottom w:val="none" w:sz="0" w:space="0" w:color="auto"/>
        <w:right w:val="none" w:sz="0" w:space="0" w:color="auto"/>
      </w:divBdr>
    </w:div>
    <w:div w:id="1162546347">
      <w:marLeft w:val="640"/>
      <w:marRight w:val="0"/>
      <w:marTop w:val="0"/>
      <w:marBottom w:val="0"/>
      <w:divBdr>
        <w:top w:val="none" w:sz="0" w:space="0" w:color="auto"/>
        <w:left w:val="none" w:sz="0" w:space="0" w:color="auto"/>
        <w:bottom w:val="none" w:sz="0" w:space="0" w:color="auto"/>
        <w:right w:val="none" w:sz="0" w:space="0" w:color="auto"/>
      </w:divBdr>
    </w:div>
    <w:div w:id="1164129500">
      <w:marLeft w:val="640"/>
      <w:marRight w:val="0"/>
      <w:marTop w:val="0"/>
      <w:marBottom w:val="0"/>
      <w:divBdr>
        <w:top w:val="none" w:sz="0" w:space="0" w:color="auto"/>
        <w:left w:val="none" w:sz="0" w:space="0" w:color="auto"/>
        <w:bottom w:val="none" w:sz="0" w:space="0" w:color="auto"/>
        <w:right w:val="none" w:sz="0" w:space="0" w:color="auto"/>
      </w:divBdr>
    </w:div>
    <w:div w:id="1174880987">
      <w:bodyDiv w:val="1"/>
      <w:marLeft w:val="0"/>
      <w:marRight w:val="0"/>
      <w:marTop w:val="0"/>
      <w:marBottom w:val="0"/>
      <w:divBdr>
        <w:top w:val="none" w:sz="0" w:space="0" w:color="auto"/>
        <w:left w:val="none" w:sz="0" w:space="0" w:color="auto"/>
        <w:bottom w:val="none" w:sz="0" w:space="0" w:color="auto"/>
        <w:right w:val="none" w:sz="0" w:space="0" w:color="auto"/>
      </w:divBdr>
      <w:divsChild>
        <w:div w:id="1079837281">
          <w:marLeft w:val="0"/>
          <w:marRight w:val="0"/>
          <w:marTop w:val="0"/>
          <w:marBottom w:val="0"/>
          <w:divBdr>
            <w:top w:val="none" w:sz="0" w:space="0" w:color="auto"/>
            <w:left w:val="none" w:sz="0" w:space="0" w:color="auto"/>
            <w:bottom w:val="single" w:sz="12" w:space="4" w:color="D3D3D3"/>
            <w:right w:val="none" w:sz="0" w:space="0" w:color="auto"/>
          </w:divBdr>
        </w:div>
        <w:div w:id="1168054662">
          <w:marLeft w:val="0"/>
          <w:marRight w:val="0"/>
          <w:marTop w:val="0"/>
          <w:marBottom w:val="0"/>
          <w:divBdr>
            <w:top w:val="none" w:sz="0" w:space="0" w:color="auto"/>
            <w:left w:val="none" w:sz="0" w:space="0" w:color="auto"/>
            <w:bottom w:val="single" w:sz="12" w:space="4" w:color="D3D3D3"/>
            <w:right w:val="none" w:sz="0" w:space="0" w:color="auto"/>
          </w:divBdr>
        </w:div>
      </w:divsChild>
    </w:div>
    <w:div w:id="1180193936">
      <w:marLeft w:val="640"/>
      <w:marRight w:val="0"/>
      <w:marTop w:val="0"/>
      <w:marBottom w:val="0"/>
      <w:divBdr>
        <w:top w:val="none" w:sz="0" w:space="0" w:color="auto"/>
        <w:left w:val="none" w:sz="0" w:space="0" w:color="auto"/>
        <w:bottom w:val="none" w:sz="0" w:space="0" w:color="auto"/>
        <w:right w:val="none" w:sz="0" w:space="0" w:color="auto"/>
      </w:divBdr>
    </w:div>
    <w:div w:id="1201088570">
      <w:bodyDiv w:val="1"/>
      <w:marLeft w:val="0"/>
      <w:marRight w:val="0"/>
      <w:marTop w:val="0"/>
      <w:marBottom w:val="0"/>
      <w:divBdr>
        <w:top w:val="none" w:sz="0" w:space="0" w:color="auto"/>
        <w:left w:val="none" w:sz="0" w:space="0" w:color="auto"/>
        <w:bottom w:val="none" w:sz="0" w:space="0" w:color="auto"/>
        <w:right w:val="none" w:sz="0" w:space="0" w:color="auto"/>
      </w:divBdr>
      <w:divsChild>
        <w:div w:id="118690694">
          <w:marLeft w:val="640"/>
          <w:marRight w:val="0"/>
          <w:marTop w:val="0"/>
          <w:marBottom w:val="0"/>
          <w:divBdr>
            <w:top w:val="none" w:sz="0" w:space="0" w:color="auto"/>
            <w:left w:val="none" w:sz="0" w:space="0" w:color="auto"/>
            <w:bottom w:val="none" w:sz="0" w:space="0" w:color="auto"/>
            <w:right w:val="none" w:sz="0" w:space="0" w:color="auto"/>
          </w:divBdr>
        </w:div>
        <w:div w:id="120807789">
          <w:marLeft w:val="640"/>
          <w:marRight w:val="0"/>
          <w:marTop w:val="0"/>
          <w:marBottom w:val="0"/>
          <w:divBdr>
            <w:top w:val="none" w:sz="0" w:space="0" w:color="auto"/>
            <w:left w:val="none" w:sz="0" w:space="0" w:color="auto"/>
            <w:bottom w:val="none" w:sz="0" w:space="0" w:color="auto"/>
            <w:right w:val="none" w:sz="0" w:space="0" w:color="auto"/>
          </w:divBdr>
        </w:div>
        <w:div w:id="169805494">
          <w:marLeft w:val="640"/>
          <w:marRight w:val="0"/>
          <w:marTop w:val="0"/>
          <w:marBottom w:val="0"/>
          <w:divBdr>
            <w:top w:val="none" w:sz="0" w:space="0" w:color="auto"/>
            <w:left w:val="none" w:sz="0" w:space="0" w:color="auto"/>
            <w:bottom w:val="none" w:sz="0" w:space="0" w:color="auto"/>
            <w:right w:val="none" w:sz="0" w:space="0" w:color="auto"/>
          </w:divBdr>
        </w:div>
        <w:div w:id="260190088">
          <w:marLeft w:val="640"/>
          <w:marRight w:val="0"/>
          <w:marTop w:val="0"/>
          <w:marBottom w:val="0"/>
          <w:divBdr>
            <w:top w:val="none" w:sz="0" w:space="0" w:color="auto"/>
            <w:left w:val="none" w:sz="0" w:space="0" w:color="auto"/>
            <w:bottom w:val="none" w:sz="0" w:space="0" w:color="auto"/>
            <w:right w:val="none" w:sz="0" w:space="0" w:color="auto"/>
          </w:divBdr>
        </w:div>
        <w:div w:id="962082110">
          <w:marLeft w:val="640"/>
          <w:marRight w:val="0"/>
          <w:marTop w:val="0"/>
          <w:marBottom w:val="0"/>
          <w:divBdr>
            <w:top w:val="none" w:sz="0" w:space="0" w:color="auto"/>
            <w:left w:val="none" w:sz="0" w:space="0" w:color="auto"/>
            <w:bottom w:val="none" w:sz="0" w:space="0" w:color="auto"/>
            <w:right w:val="none" w:sz="0" w:space="0" w:color="auto"/>
          </w:divBdr>
        </w:div>
        <w:div w:id="1115104090">
          <w:marLeft w:val="640"/>
          <w:marRight w:val="0"/>
          <w:marTop w:val="0"/>
          <w:marBottom w:val="0"/>
          <w:divBdr>
            <w:top w:val="none" w:sz="0" w:space="0" w:color="auto"/>
            <w:left w:val="none" w:sz="0" w:space="0" w:color="auto"/>
            <w:bottom w:val="none" w:sz="0" w:space="0" w:color="auto"/>
            <w:right w:val="none" w:sz="0" w:space="0" w:color="auto"/>
          </w:divBdr>
        </w:div>
        <w:div w:id="1284724586">
          <w:marLeft w:val="640"/>
          <w:marRight w:val="0"/>
          <w:marTop w:val="0"/>
          <w:marBottom w:val="0"/>
          <w:divBdr>
            <w:top w:val="none" w:sz="0" w:space="0" w:color="auto"/>
            <w:left w:val="none" w:sz="0" w:space="0" w:color="auto"/>
            <w:bottom w:val="none" w:sz="0" w:space="0" w:color="auto"/>
            <w:right w:val="none" w:sz="0" w:space="0" w:color="auto"/>
          </w:divBdr>
        </w:div>
        <w:div w:id="1326936864">
          <w:marLeft w:val="640"/>
          <w:marRight w:val="0"/>
          <w:marTop w:val="0"/>
          <w:marBottom w:val="0"/>
          <w:divBdr>
            <w:top w:val="none" w:sz="0" w:space="0" w:color="auto"/>
            <w:left w:val="none" w:sz="0" w:space="0" w:color="auto"/>
            <w:bottom w:val="none" w:sz="0" w:space="0" w:color="auto"/>
            <w:right w:val="none" w:sz="0" w:space="0" w:color="auto"/>
          </w:divBdr>
        </w:div>
        <w:div w:id="1489974929">
          <w:marLeft w:val="640"/>
          <w:marRight w:val="0"/>
          <w:marTop w:val="0"/>
          <w:marBottom w:val="0"/>
          <w:divBdr>
            <w:top w:val="none" w:sz="0" w:space="0" w:color="auto"/>
            <w:left w:val="none" w:sz="0" w:space="0" w:color="auto"/>
            <w:bottom w:val="none" w:sz="0" w:space="0" w:color="auto"/>
            <w:right w:val="none" w:sz="0" w:space="0" w:color="auto"/>
          </w:divBdr>
        </w:div>
        <w:div w:id="1501003624">
          <w:marLeft w:val="640"/>
          <w:marRight w:val="0"/>
          <w:marTop w:val="0"/>
          <w:marBottom w:val="0"/>
          <w:divBdr>
            <w:top w:val="none" w:sz="0" w:space="0" w:color="auto"/>
            <w:left w:val="none" w:sz="0" w:space="0" w:color="auto"/>
            <w:bottom w:val="none" w:sz="0" w:space="0" w:color="auto"/>
            <w:right w:val="none" w:sz="0" w:space="0" w:color="auto"/>
          </w:divBdr>
        </w:div>
        <w:div w:id="2009556148">
          <w:marLeft w:val="640"/>
          <w:marRight w:val="0"/>
          <w:marTop w:val="0"/>
          <w:marBottom w:val="0"/>
          <w:divBdr>
            <w:top w:val="none" w:sz="0" w:space="0" w:color="auto"/>
            <w:left w:val="none" w:sz="0" w:space="0" w:color="auto"/>
            <w:bottom w:val="none" w:sz="0" w:space="0" w:color="auto"/>
            <w:right w:val="none" w:sz="0" w:space="0" w:color="auto"/>
          </w:divBdr>
        </w:div>
        <w:div w:id="2083747438">
          <w:marLeft w:val="640"/>
          <w:marRight w:val="0"/>
          <w:marTop w:val="0"/>
          <w:marBottom w:val="0"/>
          <w:divBdr>
            <w:top w:val="none" w:sz="0" w:space="0" w:color="auto"/>
            <w:left w:val="none" w:sz="0" w:space="0" w:color="auto"/>
            <w:bottom w:val="none" w:sz="0" w:space="0" w:color="auto"/>
            <w:right w:val="none" w:sz="0" w:space="0" w:color="auto"/>
          </w:divBdr>
        </w:div>
      </w:divsChild>
    </w:div>
    <w:div w:id="1225023266">
      <w:marLeft w:val="640"/>
      <w:marRight w:val="0"/>
      <w:marTop w:val="0"/>
      <w:marBottom w:val="0"/>
      <w:divBdr>
        <w:top w:val="none" w:sz="0" w:space="0" w:color="auto"/>
        <w:left w:val="none" w:sz="0" w:space="0" w:color="auto"/>
        <w:bottom w:val="none" w:sz="0" w:space="0" w:color="auto"/>
        <w:right w:val="none" w:sz="0" w:space="0" w:color="auto"/>
      </w:divBdr>
    </w:div>
    <w:div w:id="1232620282">
      <w:marLeft w:val="640"/>
      <w:marRight w:val="0"/>
      <w:marTop w:val="0"/>
      <w:marBottom w:val="0"/>
      <w:divBdr>
        <w:top w:val="none" w:sz="0" w:space="0" w:color="auto"/>
        <w:left w:val="none" w:sz="0" w:space="0" w:color="auto"/>
        <w:bottom w:val="none" w:sz="0" w:space="0" w:color="auto"/>
        <w:right w:val="none" w:sz="0" w:space="0" w:color="auto"/>
      </w:divBdr>
    </w:div>
    <w:div w:id="1238515038">
      <w:bodyDiv w:val="1"/>
      <w:marLeft w:val="0"/>
      <w:marRight w:val="0"/>
      <w:marTop w:val="0"/>
      <w:marBottom w:val="0"/>
      <w:divBdr>
        <w:top w:val="none" w:sz="0" w:space="0" w:color="auto"/>
        <w:left w:val="none" w:sz="0" w:space="0" w:color="auto"/>
        <w:bottom w:val="none" w:sz="0" w:space="0" w:color="auto"/>
        <w:right w:val="none" w:sz="0" w:space="0" w:color="auto"/>
      </w:divBdr>
    </w:div>
    <w:div w:id="1242523847">
      <w:bodyDiv w:val="1"/>
      <w:marLeft w:val="0"/>
      <w:marRight w:val="0"/>
      <w:marTop w:val="0"/>
      <w:marBottom w:val="0"/>
      <w:divBdr>
        <w:top w:val="none" w:sz="0" w:space="0" w:color="auto"/>
        <w:left w:val="none" w:sz="0" w:space="0" w:color="auto"/>
        <w:bottom w:val="none" w:sz="0" w:space="0" w:color="auto"/>
        <w:right w:val="none" w:sz="0" w:space="0" w:color="auto"/>
      </w:divBdr>
    </w:div>
    <w:div w:id="1243447264">
      <w:marLeft w:val="640"/>
      <w:marRight w:val="0"/>
      <w:marTop w:val="0"/>
      <w:marBottom w:val="0"/>
      <w:divBdr>
        <w:top w:val="none" w:sz="0" w:space="0" w:color="auto"/>
        <w:left w:val="none" w:sz="0" w:space="0" w:color="auto"/>
        <w:bottom w:val="none" w:sz="0" w:space="0" w:color="auto"/>
        <w:right w:val="none" w:sz="0" w:space="0" w:color="auto"/>
      </w:divBdr>
    </w:div>
    <w:div w:id="1243642870">
      <w:marLeft w:val="640"/>
      <w:marRight w:val="0"/>
      <w:marTop w:val="0"/>
      <w:marBottom w:val="0"/>
      <w:divBdr>
        <w:top w:val="none" w:sz="0" w:space="0" w:color="auto"/>
        <w:left w:val="none" w:sz="0" w:space="0" w:color="auto"/>
        <w:bottom w:val="none" w:sz="0" w:space="0" w:color="auto"/>
        <w:right w:val="none" w:sz="0" w:space="0" w:color="auto"/>
      </w:divBdr>
    </w:div>
    <w:div w:id="1266688039">
      <w:marLeft w:val="640"/>
      <w:marRight w:val="0"/>
      <w:marTop w:val="0"/>
      <w:marBottom w:val="0"/>
      <w:divBdr>
        <w:top w:val="none" w:sz="0" w:space="0" w:color="auto"/>
        <w:left w:val="none" w:sz="0" w:space="0" w:color="auto"/>
        <w:bottom w:val="none" w:sz="0" w:space="0" w:color="auto"/>
        <w:right w:val="none" w:sz="0" w:space="0" w:color="auto"/>
      </w:divBdr>
    </w:div>
    <w:div w:id="1280993524">
      <w:marLeft w:val="640"/>
      <w:marRight w:val="0"/>
      <w:marTop w:val="0"/>
      <w:marBottom w:val="0"/>
      <w:divBdr>
        <w:top w:val="none" w:sz="0" w:space="0" w:color="auto"/>
        <w:left w:val="none" w:sz="0" w:space="0" w:color="auto"/>
        <w:bottom w:val="none" w:sz="0" w:space="0" w:color="auto"/>
        <w:right w:val="none" w:sz="0" w:space="0" w:color="auto"/>
      </w:divBdr>
    </w:div>
    <w:div w:id="1291209241">
      <w:bodyDiv w:val="1"/>
      <w:marLeft w:val="0"/>
      <w:marRight w:val="0"/>
      <w:marTop w:val="0"/>
      <w:marBottom w:val="0"/>
      <w:divBdr>
        <w:top w:val="none" w:sz="0" w:space="0" w:color="auto"/>
        <w:left w:val="none" w:sz="0" w:space="0" w:color="auto"/>
        <w:bottom w:val="none" w:sz="0" w:space="0" w:color="auto"/>
        <w:right w:val="none" w:sz="0" w:space="0" w:color="auto"/>
      </w:divBdr>
      <w:divsChild>
        <w:div w:id="837189199">
          <w:marLeft w:val="0"/>
          <w:marRight w:val="0"/>
          <w:marTop w:val="0"/>
          <w:marBottom w:val="0"/>
          <w:divBdr>
            <w:top w:val="none" w:sz="0" w:space="0" w:color="auto"/>
            <w:left w:val="none" w:sz="0" w:space="0" w:color="auto"/>
            <w:bottom w:val="single" w:sz="12" w:space="4" w:color="D3D3D3"/>
            <w:right w:val="none" w:sz="0" w:space="0" w:color="auto"/>
          </w:divBdr>
        </w:div>
        <w:div w:id="1342705837">
          <w:marLeft w:val="0"/>
          <w:marRight w:val="0"/>
          <w:marTop w:val="0"/>
          <w:marBottom w:val="0"/>
          <w:divBdr>
            <w:top w:val="none" w:sz="0" w:space="0" w:color="auto"/>
            <w:left w:val="none" w:sz="0" w:space="0" w:color="auto"/>
            <w:bottom w:val="single" w:sz="12" w:space="4" w:color="D3D3D3"/>
            <w:right w:val="none" w:sz="0" w:space="0" w:color="auto"/>
          </w:divBdr>
        </w:div>
      </w:divsChild>
    </w:div>
    <w:div w:id="1291865291">
      <w:bodyDiv w:val="1"/>
      <w:marLeft w:val="0"/>
      <w:marRight w:val="0"/>
      <w:marTop w:val="0"/>
      <w:marBottom w:val="0"/>
      <w:divBdr>
        <w:top w:val="none" w:sz="0" w:space="0" w:color="auto"/>
        <w:left w:val="none" w:sz="0" w:space="0" w:color="auto"/>
        <w:bottom w:val="none" w:sz="0" w:space="0" w:color="auto"/>
        <w:right w:val="none" w:sz="0" w:space="0" w:color="auto"/>
      </w:divBdr>
    </w:div>
    <w:div w:id="1293632239">
      <w:bodyDiv w:val="1"/>
      <w:marLeft w:val="0"/>
      <w:marRight w:val="0"/>
      <w:marTop w:val="0"/>
      <w:marBottom w:val="0"/>
      <w:divBdr>
        <w:top w:val="none" w:sz="0" w:space="0" w:color="auto"/>
        <w:left w:val="none" w:sz="0" w:space="0" w:color="auto"/>
        <w:bottom w:val="none" w:sz="0" w:space="0" w:color="auto"/>
        <w:right w:val="none" w:sz="0" w:space="0" w:color="auto"/>
      </w:divBdr>
    </w:div>
    <w:div w:id="1299920407">
      <w:marLeft w:val="640"/>
      <w:marRight w:val="0"/>
      <w:marTop w:val="0"/>
      <w:marBottom w:val="0"/>
      <w:divBdr>
        <w:top w:val="none" w:sz="0" w:space="0" w:color="auto"/>
        <w:left w:val="none" w:sz="0" w:space="0" w:color="auto"/>
        <w:bottom w:val="none" w:sz="0" w:space="0" w:color="auto"/>
        <w:right w:val="none" w:sz="0" w:space="0" w:color="auto"/>
      </w:divBdr>
    </w:div>
    <w:div w:id="1301495212">
      <w:bodyDiv w:val="1"/>
      <w:marLeft w:val="0"/>
      <w:marRight w:val="0"/>
      <w:marTop w:val="0"/>
      <w:marBottom w:val="0"/>
      <w:divBdr>
        <w:top w:val="none" w:sz="0" w:space="0" w:color="auto"/>
        <w:left w:val="none" w:sz="0" w:space="0" w:color="auto"/>
        <w:bottom w:val="none" w:sz="0" w:space="0" w:color="auto"/>
        <w:right w:val="none" w:sz="0" w:space="0" w:color="auto"/>
      </w:divBdr>
    </w:div>
    <w:div w:id="1301617328">
      <w:marLeft w:val="640"/>
      <w:marRight w:val="0"/>
      <w:marTop w:val="0"/>
      <w:marBottom w:val="0"/>
      <w:divBdr>
        <w:top w:val="none" w:sz="0" w:space="0" w:color="auto"/>
        <w:left w:val="none" w:sz="0" w:space="0" w:color="auto"/>
        <w:bottom w:val="none" w:sz="0" w:space="0" w:color="auto"/>
        <w:right w:val="none" w:sz="0" w:space="0" w:color="auto"/>
      </w:divBdr>
    </w:div>
    <w:div w:id="1301886944">
      <w:marLeft w:val="640"/>
      <w:marRight w:val="0"/>
      <w:marTop w:val="0"/>
      <w:marBottom w:val="0"/>
      <w:divBdr>
        <w:top w:val="none" w:sz="0" w:space="0" w:color="auto"/>
        <w:left w:val="none" w:sz="0" w:space="0" w:color="auto"/>
        <w:bottom w:val="none" w:sz="0" w:space="0" w:color="auto"/>
        <w:right w:val="none" w:sz="0" w:space="0" w:color="auto"/>
      </w:divBdr>
    </w:div>
    <w:div w:id="1303463578">
      <w:bodyDiv w:val="1"/>
      <w:marLeft w:val="0"/>
      <w:marRight w:val="0"/>
      <w:marTop w:val="0"/>
      <w:marBottom w:val="0"/>
      <w:divBdr>
        <w:top w:val="none" w:sz="0" w:space="0" w:color="auto"/>
        <w:left w:val="none" w:sz="0" w:space="0" w:color="auto"/>
        <w:bottom w:val="none" w:sz="0" w:space="0" w:color="auto"/>
        <w:right w:val="none" w:sz="0" w:space="0" w:color="auto"/>
      </w:divBdr>
      <w:divsChild>
        <w:div w:id="534274295">
          <w:marLeft w:val="640"/>
          <w:marRight w:val="0"/>
          <w:marTop w:val="0"/>
          <w:marBottom w:val="0"/>
          <w:divBdr>
            <w:top w:val="none" w:sz="0" w:space="0" w:color="auto"/>
            <w:left w:val="none" w:sz="0" w:space="0" w:color="auto"/>
            <w:bottom w:val="none" w:sz="0" w:space="0" w:color="auto"/>
            <w:right w:val="none" w:sz="0" w:space="0" w:color="auto"/>
          </w:divBdr>
        </w:div>
        <w:div w:id="765228442">
          <w:marLeft w:val="640"/>
          <w:marRight w:val="0"/>
          <w:marTop w:val="0"/>
          <w:marBottom w:val="0"/>
          <w:divBdr>
            <w:top w:val="none" w:sz="0" w:space="0" w:color="auto"/>
            <w:left w:val="none" w:sz="0" w:space="0" w:color="auto"/>
            <w:bottom w:val="none" w:sz="0" w:space="0" w:color="auto"/>
            <w:right w:val="none" w:sz="0" w:space="0" w:color="auto"/>
          </w:divBdr>
        </w:div>
        <w:div w:id="1014914816">
          <w:marLeft w:val="640"/>
          <w:marRight w:val="0"/>
          <w:marTop w:val="0"/>
          <w:marBottom w:val="0"/>
          <w:divBdr>
            <w:top w:val="none" w:sz="0" w:space="0" w:color="auto"/>
            <w:left w:val="none" w:sz="0" w:space="0" w:color="auto"/>
            <w:bottom w:val="none" w:sz="0" w:space="0" w:color="auto"/>
            <w:right w:val="none" w:sz="0" w:space="0" w:color="auto"/>
          </w:divBdr>
        </w:div>
        <w:div w:id="1231889922">
          <w:marLeft w:val="640"/>
          <w:marRight w:val="0"/>
          <w:marTop w:val="0"/>
          <w:marBottom w:val="0"/>
          <w:divBdr>
            <w:top w:val="none" w:sz="0" w:space="0" w:color="auto"/>
            <w:left w:val="none" w:sz="0" w:space="0" w:color="auto"/>
            <w:bottom w:val="none" w:sz="0" w:space="0" w:color="auto"/>
            <w:right w:val="none" w:sz="0" w:space="0" w:color="auto"/>
          </w:divBdr>
        </w:div>
        <w:div w:id="1587304819">
          <w:marLeft w:val="640"/>
          <w:marRight w:val="0"/>
          <w:marTop w:val="0"/>
          <w:marBottom w:val="0"/>
          <w:divBdr>
            <w:top w:val="none" w:sz="0" w:space="0" w:color="auto"/>
            <w:left w:val="none" w:sz="0" w:space="0" w:color="auto"/>
            <w:bottom w:val="none" w:sz="0" w:space="0" w:color="auto"/>
            <w:right w:val="none" w:sz="0" w:space="0" w:color="auto"/>
          </w:divBdr>
        </w:div>
        <w:div w:id="1711605654">
          <w:marLeft w:val="640"/>
          <w:marRight w:val="0"/>
          <w:marTop w:val="0"/>
          <w:marBottom w:val="0"/>
          <w:divBdr>
            <w:top w:val="none" w:sz="0" w:space="0" w:color="auto"/>
            <w:left w:val="none" w:sz="0" w:space="0" w:color="auto"/>
            <w:bottom w:val="none" w:sz="0" w:space="0" w:color="auto"/>
            <w:right w:val="none" w:sz="0" w:space="0" w:color="auto"/>
          </w:divBdr>
        </w:div>
        <w:div w:id="1714961192">
          <w:marLeft w:val="640"/>
          <w:marRight w:val="0"/>
          <w:marTop w:val="0"/>
          <w:marBottom w:val="0"/>
          <w:divBdr>
            <w:top w:val="none" w:sz="0" w:space="0" w:color="auto"/>
            <w:left w:val="none" w:sz="0" w:space="0" w:color="auto"/>
            <w:bottom w:val="none" w:sz="0" w:space="0" w:color="auto"/>
            <w:right w:val="none" w:sz="0" w:space="0" w:color="auto"/>
          </w:divBdr>
        </w:div>
      </w:divsChild>
    </w:div>
    <w:div w:id="1311667368">
      <w:marLeft w:val="640"/>
      <w:marRight w:val="0"/>
      <w:marTop w:val="0"/>
      <w:marBottom w:val="0"/>
      <w:divBdr>
        <w:top w:val="none" w:sz="0" w:space="0" w:color="auto"/>
        <w:left w:val="none" w:sz="0" w:space="0" w:color="auto"/>
        <w:bottom w:val="none" w:sz="0" w:space="0" w:color="auto"/>
        <w:right w:val="none" w:sz="0" w:space="0" w:color="auto"/>
      </w:divBdr>
    </w:div>
    <w:div w:id="1326205504">
      <w:marLeft w:val="640"/>
      <w:marRight w:val="0"/>
      <w:marTop w:val="0"/>
      <w:marBottom w:val="0"/>
      <w:divBdr>
        <w:top w:val="none" w:sz="0" w:space="0" w:color="auto"/>
        <w:left w:val="none" w:sz="0" w:space="0" w:color="auto"/>
        <w:bottom w:val="none" w:sz="0" w:space="0" w:color="auto"/>
        <w:right w:val="none" w:sz="0" w:space="0" w:color="auto"/>
      </w:divBdr>
    </w:div>
    <w:div w:id="1333679412">
      <w:bodyDiv w:val="1"/>
      <w:marLeft w:val="0"/>
      <w:marRight w:val="0"/>
      <w:marTop w:val="0"/>
      <w:marBottom w:val="0"/>
      <w:divBdr>
        <w:top w:val="none" w:sz="0" w:space="0" w:color="auto"/>
        <w:left w:val="none" w:sz="0" w:space="0" w:color="auto"/>
        <w:bottom w:val="none" w:sz="0" w:space="0" w:color="auto"/>
        <w:right w:val="none" w:sz="0" w:space="0" w:color="auto"/>
      </w:divBdr>
    </w:div>
    <w:div w:id="1339579847">
      <w:bodyDiv w:val="1"/>
      <w:marLeft w:val="0"/>
      <w:marRight w:val="0"/>
      <w:marTop w:val="0"/>
      <w:marBottom w:val="0"/>
      <w:divBdr>
        <w:top w:val="none" w:sz="0" w:space="0" w:color="auto"/>
        <w:left w:val="none" w:sz="0" w:space="0" w:color="auto"/>
        <w:bottom w:val="none" w:sz="0" w:space="0" w:color="auto"/>
        <w:right w:val="none" w:sz="0" w:space="0" w:color="auto"/>
      </w:divBdr>
    </w:div>
    <w:div w:id="1369449237">
      <w:marLeft w:val="640"/>
      <w:marRight w:val="0"/>
      <w:marTop w:val="0"/>
      <w:marBottom w:val="0"/>
      <w:divBdr>
        <w:top w:val="none" w:sz="0" w:space="0" w:color="auto"/>
        <w:left w:val="none" w:sz="0" w:space="0" w:color="auto"/>
        <w:bottom w:val="none" w:sz="0" w:space="0" w:color="auto"/>
        <w:right w:val="none" w:sz="0" w:space="0" w:color="auto"/>
      </w:divBdr>
    </w:div>
    <w:div w:id="1372607563">
      <w:marLeft w:val="640"/>
      <w:marRight w:val="0"/>
      <w:marTop w:val="0"/>
      <w:marBottom w:val="0"/>
      <w:divBdr>
        <w:top w:val="none" w:sz="0" w:space="0" w:color="auto"/>
        <w:left w:val="none" w:sz="0" w:space="0" w:color="auto"/>
        <w:bottom w:val="none" w:sz="0" w:space="0" w:color="auto"/>
        <w:right w:val="none" w:sz="0" w:space="0" w:color="auto"/>
      </w:divBdr>
    </w:div>
    <w:div w:id="1373112771">
      <w:bodyDiv w:val="1"/>
      <w:marLeft w:val="0"/>
      <w:marRight w:val="0"/>
      <w:marTop w:val="0"/>
      <w:marBottom w:val="0"/>
      <w:divBdr>
        <w:top w:val="none" w:sz="0" w:space="0" w:color="auto"/>
        <w:left w:val="none" w:sz="0" w:space="0" w:color="auto"/>
        <w:bottom w:val="none" w:sz="0" w:space="0" w:color="auto"/>
        <w:right w:val="none" w:sz="0" w:space="0" w:color="auto"/>
      </w:divBdr>
    </w:div>
    <w:div w:id="1374423180">
      <w:marLeft w:val="640"/>
      <w:marRight w:val="0"/>
      <w:marTop w:val="0"/>
      <w:marBottom w:val="0"/>
      <w:divBdr>
        <w:top w:val="none" w:sz="0" w:space="0" w:color="auto"/>
        <w:left w:val="none" w:sz="0" w:space="0" w:color="auto"/>
        <w:bottom w:val="none" w:sz="0" w:space="0" w:color="auto"/>
        <w:right w:val="none" w:sz="0" w:space="0" w:color="auto"/>
      </w:divBdr>
    </w:div>
    <w:div w:id="1378705550">
      <w:marLeft w:val="640"/>
      <w:marRight w:val="0"/>
      <w:marTop w:val="0"/>
      <w:marBottom w:val="0"/>
      <w:divBdr>
        <w:top w:val="none" w:sz="0" w:space="0" w:color="auto"/>
        <w:left w:val="none" w:sz="0" w:space="0" w:color="auto"/>
        <w:bottom w:val="none" w:sz="0" w:space="0" w:color="auto"/>
        <w:right w:val="none" w:sz="0" w:space="0" w:color="auto"/>
      </w:divBdr>
    </w:div>
    <w:div w:id="1382901970">
      <w:marLeft w:val="640"/>
      <w:marRight w:val="0"/>
      <w:marTop w:val="0"/>
      <w:marBottom w:val="0"/>
      <w:divBdr>
        <w:top w:val="none" w:sz="0" w:space="0" w:color="auto"/>
        <w:left w:val="none" w:sz="0" w:space="0" w:color="auto"/>
        <w:bottom w:val="none" w:sz="0" w:space="0" w:color="auto"/>
        <w:right w:val="none" w:sz="0" w:space="0" w:color="auto"/>
      </w:divBdr>
    </w:div>
    <w:div w:id="1398669942">
      <w:marLeft w:val="640"/>
      <w:marRight w:val="0"/>
      <w:marTop w:val="0"/>
      <w:marBottom w:val="0"/>
      <w:divBdr>
        <w:top w:val="none" w:sz="0" w:space="0" w:color="auto"/>
        <w:left w:val="none" w:sz="0" w:space="0" w:color="auto"/>
        <w:bottom w:val="none" w:sz="0" w:space="0" w:color="auto"/>
        <w:right w:val="none" w:sz="0" w:space="0" w:color="auto"/>
      </w:divBdr>
    </w:div>
    <w:div w:id="1402020950">
      <w:marLeft w:val="640"/>
      <w:marRight w:val="0"/>
      <w:marTop w:val="0"/>
      <w:marBottom w:val="0"/>
      <w:divBdr>
        <w:top w:val="none" w:sz="0" w:space="0" w:color="auto"/>
        <w:left w:val="none" w:sz="0" w:space="0" w:color="auto"/>
        <w:bottom w:val="none" w:sz="0" w:space="0" w:color="auto"/>
        <w:right w:val="none" w:sz="0" w:space="0" w:color="auto"/>
      </w:divBdr>
    </w:div>
    <w:div w:id="1405105041">
      <w:marLeft w:val="640"/>
      <w:marRight w:val="0"/>
      <w:marTop w:val="0"/>
      <w:marBottom w:val="0"/>
      <w:divBdr>
        <w:top w:val="none" w:sz="0" w:space="0" w:color="auto"/>
        <w:left w:val="none" w:sz="0" w:space="0" w:color="auto"/>
        <w:bottom w:val="none" w:sz="0" w:space="0" w:color="auto"/>
        <w:right w:val="none" w:sz="0" w:space="0" w:color="auto"/>
      </w:divBdr>
    </w:div>
    <w:div w:id="1424061501">
      <w:bodyDiv w:val="1"/>
      <w:marLeft w:val="0"/>
      <w:marRight w:val="0"/>
      <w:marTop w:val="0"/>
      <w:marBottom w:val="0"/>
      <w:divBdr>
        <w:top w:val="none" w:sz="0" w:space="0" w:color="auto"/>
        <w:left w:val="none" w:sz="0" w:space="0" w:color="auto"/>
        <w:bottom w:val="none" w:sz="0" w:space="0" w:color="auto"/>
        <w:right w:val="none" w:sz="0" w:space="0" w:color="auto"/>
      </w:divBdr>
      <w:divsChild>
        <w:div w:id="1238320357">
          <w:marLeft w:val="0"/>
          <w:marRight w:val="0"/>
          <w:marTop w:val="0"/>
          <w:marBottom w:val="0"/>
          <w:divBdr>
            <w:top w:val="none" w:sz="0" w:space="0" w:color="auto"/>
            <w:left w:val="none" w:sz="0" w:space="0" w:color="auto"/>
            <w:bottom w:val="single" w:sz="12" w:space="4" w:color="D3D3D3"/>
            <w:right w:val="none" w:sz="0" w:space="0" w:color="auto"/>
          </w:divBdr>
        </w:div>
      </w:divsChild>
    </w:div>
    <w:div w:id="1426611403">
      <w:marLeft w:val="640"/>
      <w:marRight w:val="0"/>
      <w:marTop w:val="0"/>
      <w:marBottom w:val="0"/>
      <w:divBdr>
        <w:top w:val="none" w:sz="0" w:space="0" w:color="auto"/>
        <w:left w:val="none" w:sz="0" w:space="0" w:color="auto"/>
        <w:bottom w:val="none" w:sz="0" w:space="0" w:color="auto"/>
        <w:right w:val="none" w:sz="0" w:space="0" w:color="auto"/>
      </w:divBdr>
    </w:div>
    <w:div w:id="1426924300">
      <w:bodyDiv w:val="1"/>
      <w:marLeft w:val="0"/>
      <w:marRight w:val="0"/>
      <w:marTop w:val="0"/>
      <w:marBottom w:val="0"/>
      <w:divBdr>
        <w:top w:val="none" w:sz="0" w:space="0" w:color="auto"/>
        <w:left w:val="none" w:sz="0" w:space="0" w:color="auto"/>
        <w:bottom w:val="none" w:sz="0" w:space="0" w:color="auto"/>
        <w:right w:val="none" w:sz="0" w:space="0" w:color="auto"/>
      </w:divBdr>
    </w:div>
    <w:div w:id="1443302247">
      <w:bodyDiv w:val="1"/>
      <w:marLeft w:val="0"/>
      <w:marRight w:val="0"/>
      <w:marTop w:val="0"/>
      <w:marBottom w:val="0"/>
      <w:divBdr>
        <w:top w:val="none" w:sz="0" w:space="0" w:color="auto"/>
        <w:left w:val="none" w:sz="0" w:space="0" w:color="auto"/>
        <w:bottom w:val="none" w:sz="0" w:space="0" w:color="auto"/>
        <w:right w:val="none" w:sz="0" w:space="0" w:color="auto"/>
      </w:divBdr>
    </w:div>
    <w:div w:id="1444350351">
      <w:bodyDiv w:val="1"/>
      <w:marLeft w:val="0"/>
      <w:marRight w:val="0"/>
      <w:marTop w:val="0"/>
      <w:marBottom w:val="0"/>
      <w:divBdr>
        <w:top w:val="none" w:sz="0" w:space="0" w:color="auto"/>
        <w:left w:val="none" w:sz="0" w:space="0" w:color="auto"/>
        <w:bottom w:val="none" w:sz="0" w:space="0" w:color="auto"/>
        <w:right w:val="none" w:sz="0" w:space="0" w:color="auto"/>
      </w:divBdr>
      <w:divsChild>
        <w:div w:id="23336943">
          <w:marLeft w:val="640"/>
          <w:marRight w:val="0"/>
          <w:marTop w:val="0"/>
          <w:marBottom w:val="0"/>
          <w:divBdr>
            <w:top w:val="none" w:sz="0" w:space="0" w:color="auto"/>
            <w:left w:val="none" w:sz="0" w:space="0" w:color="auto"/>
            <w:bottom w:val="none" w:sz="0" w:space="0" w:color="auto"/>
            <w:right w:val="none" w:sz="0" w:space="0" w:color="auto"/>
          </w:divBdr>
        </w:div>
        <w:div w:id="27872761">
          <w:marLeft w:val="640"/>
          <w:marRight w:val="0"/>
          <w:marTop w:val="0"/>
          <w:marBottom w:val="0"/>
          <w:divBdr>
            <w:top w:val="none" w:sz="0" w:space="0" w:color="auto"/>
            <w:left w:val="none" w:sz="0" w:space="0" w:color="auto"/>
            <w:bottom w:val="none" w:sz="0" w:space="0" w:color="auto"/>
            <w:right w:val="none" w:sz="0" w:space="0" w:color="auto"/>
          </w:divBdr>
        </w:div>
        <w:div w:id="347827466">
          <w:marLeft w:val="640"/>
          <w:marRight w:val="0"/>
          <w:marTop w:val="0"/>
          <w:marBottom w:val="0"/>
          <w:divBdr>
            <w:top w:val="none" w:sz="0" w:space="0" w:color="auto"/>
            <w:left w:val="none" w:sz="0" w:space="0" w:color="auto"/>
            <w:bottom w:val="none" w:sz="0" w:space="0" w:color="auto"/>
            <w:right w:val="none" w:sz="0" w:space="0" w:color="auto"/>
          </w:divBdr>
        </w:div>
        <w:div w:id="400951212">
          <w:marLeft w:val="640"/>
          <w:marRight w:val="0"/>
          <w:marTop w:val="0"/>
          <w:marBottom w:val="0"/>
          <w:divBdr>
            <w:top w:val="none" w:sz="0" w:space="0" w:color="auto"/>
            <w:left w:val="none" w:sz="0" w:space="0" w:color="auto"/>
            <w:bottom w:val="none" w:sz="0" w:space="0" w:color="auto"/>
            <w:right w:val="none" w:sz="0" w:space="0" w:color="auto"/>
          </w:divBdr>
        </w:div>
        <w:div w:id="602881163">
          <w:marLeft w:val="640"/>
          <w:marRight w:val="0"/>
          <w:marTop w:val="0"/>
          <w:marBottom w:val="0"/>
          <w:divBdr>
            <w:top w:val="none" w:sz="0" w:space="0" w:color="auto"/>
            <w:left w:val="none" w:sz="0" w:space="0" w:color="auto"/>
            <w:bottom w:val="none" w:sz="0" w:space="0" w:color="auto"/>
            <w:right w:val="none" w:sz="0" w:space="0" w:color="auto"/>
          </w:divBdr>
        </w:div>
        <w:div w:id="634064443">
          <w:marLeft w:val="640"/>
          <w:marRight w:val="0"/>
          <w:marTop w:val="0"/>
          <w:marBottom w:val="0"/>
          <w:divBdr>
            <w:top w:val="none" w:sz="0" w:space="0" w:color="auto"/>
            <w:left w:val="none" w:sz="0" w:space="0" w:color="auto"/>
            <w:bottom w:val="none" w:sz="0" w:space="0" w:color="auto"/>
            <w:right w:val="none" w:sz="0" w:space="0" w:color="auto"/>
          </w:divBdr>
        </w:div>
        <w:div w:id="750278400">
          <w:marLeft w:val="640"/>
          <w:marRight w:val="0"/>
          <w:marTop w:val="0"/>
          <w:marBottom w:val="0"/>
          <w:divBdr>
            <w:top w:val="none" w:sz="0" w:space="0" w:color="auto"/>
            <w:left w:val="none" w:sz="0" w:space="0" w:color="auto"/>
            <w:bottom w:val="none" w:sz="0" w:space="0" w:color="auto"/>
            <w:right w:val="none" w:sz="0" w:space="0" w:color="auto"/>
          </w:divBdr>
        </w:div>
        <w:div w:id="1100562381">
          <w:marLeft w:val="640"/>
          <w:marRight w:val="0"/>
          <w:marTop w:val="0"/>
          <w:marBottom w:val="0"/>
          <w:divBdr>
            <w:top w:val="none" w:sz="0" w:space="0" w:color="auto"/>
            <w:left w:val="none" w:sz="0" w:space="0" w:color="auto"/>
            <w:bottom w:val="none" w:sz="0" w:space="0" w:color="auto"/>
            <w:right w:val="none" w:sz="0" w:space="0" w:color="auto"/>
          </w:divBdr>
        </w:div>
        <w:div w:id="1242183764">
          <w:marLeft w:val="640"/>
          <w:marRight w:val="0"/>
          <w:marTop w:val="0"/>
          <w:marBottom w:val="0"/>
          <w:divBdr>
            <w:top w:val="none" w:sz="0" w:space="0" w:color="auto"/>
            <w:left w:val="none" w:sz="0" w:space="0" w:color="auto"/>
            <w:bottom w:val="none" w:sz="0" w:space="0" w:color="auto"/>
            <w:right w:val="none" w:sz="0" w:space="0" w:color="auto"/>
          </w:divBdr>
        </w:div>
        <w:div w:id="1378120365">
          <w:marLeft w:val="640"/>
          <w:marRight w:val="0"/>
          <w:marTop w:val="0"/>
          <w:marBottom w:val="0"/>
          <w:divBdr>
            <w:top w:val="none" w:sz="0" w:space="0" w:color="auto"/>
            <w:left w:val="none" w:sz="0" w:space="0" w:color="auto"/>
            <w:bottom w:val="none" w:sz="0" w:space="0" w:color="auto"/>
            <w:right w:val="none" w:sz="0" w:space="0" w:color="auto"/>
          </w:divBdr>
        </w:div>
        <w:div w:id="1423799690">
          <w:marLeft w:val="640"/>
          <w:marRight w:val="0"/>
          <w:marTop w:val="0"/>
          <w:marBottom w:val="0"/>
          <w:divBdr>
            <w:top w:val="none" w:sz="0" w:space="0" w:color="auto"/>
            <w:left w:val="none" w:sz="0" w:space="0" w:color="auto"/>
            <w:bottom w:val="none" w:sz="0" w:space="0" w:color="auto"/>
            <w:right w:val="none" w:sz="0" w:space="0" w:color="auto"/>
          </w:divBdr>
        </w:div>
        <w:div w:id="1658916765">
          <w:marLeft w:val="640"/>
          <w:marRight w:val="0"/>
          <w:marTop w:val="0"/>
          <w:marBottom w:val="0"/>
          <w:divBdr>
            <w:top w:val="none" w:sz="0" w:space="0" w:color="auto"/>
            <w:left w:val="none" w:sz="0" w:space="0" w:color="auto"/>
            <w:bottom w:val="none" w:sz="0" w:space="0" w:color="auto"/>
            <w:right w:val="none" w:sz="0" w:space="0" w:color="auto"/>
          </w:divBdr>
        </w:div>
        <w:div w:id="1692102193">
          <w:marLeft w:val="640"/>
          <w:marRight w:val="0"/>
          <w:marTop w:val="0"/>
          <w:marBottom w:val="0"/>
          <w:divBdr>
            <w:top w:val="none" w:sz="0" w:space="0" w:color="auto"/>
            <w:left w:val="none" w:sz="0" w:space="0" w:color="auto"/>
            <w:bottom w:val="none" w:sz="0" w:space="0" w:color="auto"/>
            <w:right w:val="none" w:sz="0" w:space="0" w:color="auto"/>
          </w:divBdr>
        </w:div>
        <w:div w:id="1980762427">
          <w:marLeft w:val="640"/>
          <w:marRight w:val="0"/>
          <w:marTop w:val="0"/>
          <w:marBottom w:val="0"/>
          <w:divBdr>
            <w:top w:val="none" w:sz="0" w:space="0" w:color="auto"/>
            <w:left w:val="none" w:sz="0" w:space="0" w:color="auto"/>
            <w:bottom w:val="none" w:sz="0" w:space="0" w:color="auto"/>
            <w:right w:val="none" w:sz="0" w:space="0" w:color="auto"/>
          </w:divBdr>
        </w:div>
        <w:div w:id="2016566182">
          <w:marLeft w:val="640"/>
          <w:marRight w:val="0"/>
          <w:marTop w:val="0"/>
          <w:marBottom w:val="0"/>
          <w:divBdr>
            <w:top w:val="none" w:sz="0" w:space="0" w:color="auto"/>
            <w:left w:val="none" w:sz="0" w:space="0" w:color="auto"/>
            <w:bottom w:val="none" w:sz="0" w:space="0" w:color="auto"/>
            <w:right w:val="none" w:sz="0" w:space="0" w:color="auto"/>
          </w:divBdr>
        </w:div>
      </w:divsChild>
    </w:div>
    <w:div w:id="1452163502">
      <w:marLeft w:val="640"/>
      <w:marRight w:val="0"/>
      <w:marTop w:val="0"/>
      <w:marBottom w:val="0"/>
      <w:divBdr>
        <w:top w:val="none" w:sz="0" w:space="0" w:color="auto"/>
        <w:left w:val="none" w:sz="0" w:space="0" w:color="auto"/>
        <w:bottom w:val="none" w:sz="0" w:space="0" w:color="auto"/>
        <w:right w:val="none" w:sz="0" w:space="0" w:color="auto"/>
      </w:divBdr>
    </w:div>
    <w:div w:id="1455949802">
      <w:marLeft w:val="640"/>
      <w:marRight w:val="0"/>
      <w:marTop w:val="0"/>
      <w:marBottom w:val="0"/>
      <w:divBdr>
        <w:top w:val="none" w:sz="0" w:space="0" w:color="auto"/>
        <w:left w:val="none" w:sz="0" w:space="0" w:color="auto"/>
        <w:bottom w:val="none" w:sz="0" w:space="0" w:color="auto"/>
        <w:right w:val="none" w:sz="0" w:space="0" w:color="auto"/>
      </w:divBdr>
    </w:div>
    <w:div w:id="1463840242">
      <w:marLeft w:val="640"/>
      <w:marRight w:val="0"/>
      <w:marTop w:val="0"/>
      <w:marBottom w:val="0"/>
      <w:divBdr>
        <w:top w:val="none" w:sz="0" w:space="0" w:color="auto"/>
        <w:left w:val="none" w:sz="0" w:space="0" w:color="auto"/>
        <w:bottom w:val="none" w:sz="0" w:space="0" w:color="auto"/>
        <w:right w:val="none" w:sz="0" w:space="0" w:color="auto"/>
      </w:divBdr>
    </w:div>
    <w:div w:id="1465586503">
      <w:bodyDiv w:val="1"/>
      <w:marLeft w:val="0"/>
      <w:marRight w:val="0"/>
      <w:marTop w:val="0"/>
      <w:marBottom w:val="0"/>
      <w:divBdr>
        <w:top w:val="none" w:sz="0" w:space="0" w:color="auto"/>
        <w:left w:val="none" w:sz="0" w:space="0" w:color="auto"/>
        <w:bottom w:val="none" w:sz="0" w:space="0" w:color="auto"/>
        <w:right w:val="none" w:sz="0" w:space="0" w:color="auto"/>
      </w:divBdr>
    </w:div>
    <w:div w:id="1474955198">
      <w:marLeft w:val="640"/>
      <w:marRight w:val="0"/>
      <w:marTop w:val="0"/>
      <w:marBottom w:val="0"/>
      <w:divBdr>
        <w:top w:val="none" w:sz="0" w:space="0" w:color="auto"/>
        <w:left w:val="none" w:sz="0" w:space="0" w:color="auto"/>
        <w:bottom w:val="none" w:sz="0" w:space="0" w:color="auto"/>
        <w:right w:val="none" w:sz="0" w:space="0" w:color="auto"/>
      </w:divBdr>
    </w:div>
    <w:div w:id="1479301527">
      <w:marLeft w:val="640"/>
      <w:marRight w:val="0"/>
      <w:marTop w:val="0"/>
      <w:marBottom w:val="0"/>
      <w:divBdr>
        <w:top w:val="none" w:sz="0" w:space="0" w:color="auto"/>
        <w:left w:val="none" w:sz="0" w:space="0" w:color="auto"/>
        <w:bottom w:val="none" w:sz="0" w:space="0" w:color="auto"/>
        <w:right w:val="none" w:sz="0" w:space="0" w:color="auto"/>
      </w:divBdr>
    </w:div>
    <w:div w:id="1484538965">
      <w:bodyDiv w:val="1"/>
      <w:marLeft w:val="0"/>
      <w:marRight w:val="0"/>
      <w:marTop w:val="0"/>
      <w:marBottom w:val="0"/>
      <w:divBdr>
        <w:top w:val="none" w:sz="0" w:space="0" w:color="auto"/>
        <w:left w:val="none" w:sz="0" w:space="0" w:color="auto"/>
        <w:bottom w:val="none" w:sz="0" w:space="0" w:color="auto"/>
        <w:right w:val="none" w:sz="0" w:space="0" w:color="auto"/>
      </w:divBdr>
    </w:div>
    <w:div w:id="1486697973">
      <w:marLeft w:val="640"/>
      <w:marRight w:val="0"/>
      <w:marTop w:val="0"/>
      <w:marBottom w:val="0"/>
      <w:divBdr>
        <w:top w:val="none" w:sz="0" w:space="0" w:color="auto"/>
        <w:left w:val="none" w:sz="0" w:space="0" w:color="auto"/>
        <w:bottom w:val="none" w:sz="0" w:space="0" w:color="auto"/>
        <w:right w:val="none" w:sz="0" w:space="0" w:color="auto"/>
      </w:divBdr>
    </w:div>
    <w:div w:id="1494643550">
      <w:marLeft w:val="640"/>
      <w:marRight w:val="0"/>
      <w:marTop w:val="0"/>
      <w:marBottom w:val="0"/>
      <w:divBdr>
        <w:top w:val="none" w:sz="0" w:space="0" w:color="auto"/>
        <w:left w:val="none" w:sz="0" w:space="0" w:color="auto"/>
        <w:bottom w:val="none" w:sz="0" w:space="0" w:color="auto"/>
        <w:right w:val="none" w:sz="0" w:space="0" w:color="auto"/>
      </w:divBdr>
    </w:div>
    <w:div w:id="1497695361">
      <w:bodyDiv w:val="1"/>
      <w:marLeft w:val="0"/>
      <w:marRight w:val="0"/>
      <w:marTop w:val="0"/>
      <w:marBottom w:val="0"/>
      <w:divBdr>
        <w:top w:val="none" w:sz="0" w:space="0" w:color="auto"/>
        <w:left w:val="none" w:sz="0" w:space="0" w:color="auto"/>
        <w:bottom w:val="none" w:sz="0" w:space="0" w:color="auto"/>
        <w:right w:val="none" w:sz="0" w:space="0" w:color="auto"/>
      </w:divBdr>
      <w:divsChild>
        <w:div w:id="517080541">
          <w:marLeft w:val="640"/>
          <w:marRight w:val="0"/>
          <w:marTop w:val="0"/>
          <w:marBottom w:val="0"/>
          <w:divBdr>
            <w:top w:val="none" w:sz="0" w:space="0" w:color="auto"/>
            <w:left w:val="none" w:sz="0" w:space="0" w:color="auto"/>
            <w:bottom w:val="none" w:sz="0" w:space="0" w:color="auto"/>
            <w:right w:val="none" w:sz="0" w:space="0" w:color="auto"/>
          </w:divBdr>
        </w:div>
        <w:div w:id="563834171">
          <w:marLeft w:val="640"/>
          <w:marRight w:val="0"/>
          <w:marTop w:val="0"/>
          <w:marBottom w:val="0"/>
          <w:divBdr>
            <w:top w:val="none" w:sz="0" w:space="0" w:color="auto"/>
            <w:left w:val="none" w:sz="0" w:space="0" w:color="auto"/>
            <w:bottom w:val="none" w:sz="0" w:space="0" w:color="auto"/>
            <w:right w:val="none" w:sz="0" w:space="0" w:color="auto"/>
          </w:divBdr>
        </w:div>
        <w:div w:id="1134448887">
          <w:marLeft w:val="640"/>
          <w:marRight w:val="0"/>
          <w:marTop w:val="0"/>
          <w:marBottom w:val="0"/>
          <w:divBdr>
            <w:top w:val="none" w:sz="0" w:space="0" w:color="auto"/>
            <w:left w:val="none" w:sz="0" w:space="0" w:color="auto"/>
            <w:bottom w:val="none" w:sz="0" w:space="0" w:color="auto"/>
            <w:right w:val="none" w:sz="0" w:space="0" w:color="auto"/>
          </w:divBdr>
        </w:div>
        <w:div w:id="1389452970">
          <w:marLeft w:val="640"/>
          <w:marRight w:val="0"/>
          <w:marTop w:val="0"/>
          <w:marBottom w:val="0"/>
          <w:divBdr>
            <w:top w:val="none" w:sz="0" w:space="0" w:color="auto"/>
            <w:left w:val="none" w:sz="0" w:space="0" w:color="auto"/>
            <w:bottom w:val="none" w:sz="0" w:space="0" w:color="auto"/>
            <w:right w:val="none" w:sz="0" w:space="0" w:color="auto"/>
          </w:divBdr>
        </w:div>
        <w:div w:id="1469516194">
          <w:marLeft w:val="640"/>
          <w:marRight w:val="0"/>
          <w:marTop w:val="0"/>
          <w:marBottom w:val="0"/>
          <w:divBdr>
            <w:top w:val="none" w:sz="0" w:space="0" w:color="auto"/>
            <w:left w:val="none" w:sz="0" w:space="0" w:color="auto"/>
            <w:bottom w:val="none" w:sz="0" w:space="0" w:color="auto"/>
            <w:right w:val="none" w:sz="0" w:space="0" w:color="auto"/>
          </w:divBdr>
        </w:div>
        <w:div w:id="1904828356">
          <w:marLeft w:val="640"/>
          <w:marRight w:val="0"/>
          <w:marTop w:val="0"/>
          <w:marBottom w:val="0"/>
          <w:divBdr>
            <w:top w:val="none" w:sz="0" w:space="0" w:color="auto"/>
            <w:left w:val="none" w:sz="0" w:space="0" w:color="auto"/>
            <w:bottom w:val="none" w:sz="0" w:space="0" w:color="auto"/>
            <w:right w:val="none" w:sz="0" w:space="0" w:color="auto"/>
          </w:divBdr>
        </w:div>
      </w:divsChild>
    </w:div>
    <w:div w:id="1515656110">
      <w:marLeft w:val="640"/>
      <w:marRight w:val="0"/>
      <w:marTop w:val="0"/>
      <w:marBottom w:val="0"/>
      <w:divBdr>
        <w:top w:val="none" w:sz="0" w:space="0" w:color="auto"/>
        <w:left w:val="none" w:sz="0" w:space="0" w:color="auto"/>
        <w:bottom w:val="none" w:sz="0" w:space="0" w:color="auto"/>
        <w:right w:val="none" w:sz="0" w:space="0" w:color="auto"/>
      </w:divBdr>
    </w:div>
    <w:div w:id="1518231959">
      <w:bodyDiv w:val="1"/>
      <w:marLeft w:val="0"/>
      <w:marRight w:val="0"/>
      <w:marTop w:val="0"/>
      <w:marBottom w:val="0"/>
      <w:divBdr>
        <w:top w:val="none" w:sz="0" w:space="0" w:color="auto"/>
        <w:left w:val="none" w:sz="0" w:space="0" w:color="auto"/>
        <w:bottom w:val="none" w:sz="0" w:space="0" w:color="auto"/>
        <w:right w:val="none" w:sz="0" w:space="0" w:color="auto"/>
      </w:divBdr>
    </w:div>
    <w:div w:id="1525631250">
      <w:marLeft w:val="640"/>
      <w:marRight w:val="0"/>
      <w:marTop w:val="0"/>
      <w:marBottom w:val="0"/>
      <w:divBdr>
        <w:top w:val="none" w:sz="0" w:space="0" w:color="auto"/>
        <w:left w:val="none" w:sz="0" w:space="0" w:color="auto"/>
        <w:bottom w:val="none" w:sz="0" w:space="0" w:color="auto"/>
        <w:right w:val="none" w:sz="0" w:space="0" w:color="auto"/>
      </w:divBdr>
    </w:div>
    <w:div w:id="1527518755">
      <w:bodyDiv w:val="1"/>
      <w:marLeft w:val="0"/>
      <w:marRight w:val="0"/>
      <w:marTop w:val="0"/>
      <w:marBottom w:val="0"/>
      <w:divBdr>
        <w:top w:val="none" w:sz="0" w:space="0" w:color="auto"/>
        <w:left w:val="none" w:sz="0" w:space="0" w:color="auto"/>
        <w:bottom w:val="none" w:sz="0" w:space="0" w:color="auto"/>
        <w:right w:val="none" w:sz="0" w:space="0" w:color="auto"/>
      </w:divBdr>
    </w:div>
    <w:div w:id="1537279137">
      <w:marLeft w:val="640"/>
      <w:marRight w:val="0"/>
      <w:marTop w:val="0"/>
      <w:marBottom w:val="0"/>
      <w:divBdr>
        <w:top w:val="none" w:sz="0" w:space="0" w:color="auto"/>
        <w:left w:val="none" w:sz="0" w:space="0" w:color="auto"/>
        <w:bottom w:val="none" w:sz="0" w:space="0" w:color="auto"/>
        <w:right w:val="none" w:sz="0" w:space="0" w:color="auto"/>
      </w:divBdr>
    </w:div>
    <w:div w:id="1545675769">
      <w:marLeft w:val="640"/>
      <w:marRight w:val="0"/>
      <w:marTop w:val="0"/>
      <w:marBottom w:val="0"/>
      <w:divBdr>
        <w:top w:val="none" w:sz="0" w:space="0" w:color="auto"/>
        <w:left w:val="none" w:sz="0" w:space="0" w:color="auto"/>
        <w:bottom w:val="none" w:sz="0" w:space="0" w:color="auto"/>
        <w:right w:val="none" w:sz="0" w:space="0" w:color="auto"/>
      </w:divBdr>
    </w:div>
    <w:div w:id="1570074724">
      <w:marLeft w:val="640"/>
      <w:marRight w:val="0"/>
      <w:marTop w:val="0"/>
      <w:marBottom w:val="0"/>
      <w:divBdr>
        <w:top w:val="none" w:sz="0" w:space="0" w:color="auto"/>
        <w:left w:val="none" w:sz="0" w:space="0" w:color="auto"/>
        <w:bottom w:val="none" w:sz="0" w:space="0" w:color="auto"/>
        <w:right w:val="none" w:sz="0" w:space="0" w:color="auto"/>
      </w:divBdr>
    </w:div>
    <w:div w:id="1586181106">
      <w:marLeft w:val="640"/>
      <w:marRight w:val="0"/>
      <w:marTop w:val="0"/>
      <w:marBottom w:val="0"/>
      <w:divBdr>
        <w:top w:val="none" w:sz="0" w:space="0" w:color="auto"/>
        <w:left w:val="none" w:sz="0" w:space="0" w:color="auto"/>
        <w:bottom w:val="none" w:sz="0" w:space="0" w:color="auto"/>
        <w:right w:val="none" w:sz="0" w:space="0" w:color="auto"/>
      </w:divBdr>
    </w:div>
    <w:div w:id="1587035028">
      <w:marLeft w:val="640"/>
      <w:marRight w:val="0"/>
      <w:marTop w:val="0"/>
      <w:marBottom w:val="0"/>
      <w:divBdr>
        <w:top w:val="none" w:sz="0" w:space="0" w:color="auto"/>
        <w:left w:val="none" w:sz="0" w:space="0" w:color="auto"/>
        <w:bottom w:val="none" w:sz="0" w:space="0" w:color="auto"/>
        <w:right w:val="none" w:sz="0" w:space="0" w:color="auto"/>
      </w:divBdr>
    </w:div>
    <w:div w:id="1597204793">
      <w:marLeft w:val="640"/>
      <w:marRight w:val="0"/>
      <w:marTop w:val="0"/>
      <w:marBottom w:val="0"/>
      <w:divBdr>
        <w:top w:val="none" w:sz="0" w:space="0" w:color="auto"/>
        <w:left w:val="none" w:sz="0" w:space="0" w:color="auto"/>
        <w:bottom w:val="none" w:sz="0" w:space="0" w:color="auto"/>
        <w:right w:val="none" w:sz="0" w:space="0" w:color="auto"/>
      </w:divBdr>
    </w:div>
    <w:div w:id="1597472214">
      <w:bodyDiv w:val="1"/>
      <w:marLeft w:val="0"/>
      <w:marRight w:val="0"/>
      <w:marTop w:val="0"/>
      <w:marBottom w:val="0"/>
      <w:divBdr>
        <w:top w:val="none" w:sz="0" w:space="0" w:color="auto"/>
        <w:left w:val="none" w:sz="0" w:space="0" w:color="auto"/>
        <w:bottom w:val="none" w:sz="0" w:space="0" w:color="auto"/>
        <w:right w:val="none" w:sz="0" w:space="0" w:color="auto"/>
      </w:divBdr>
      <w:divsChild>
        <w:div w:id="1587960508">
          <w:marLeft w:val="0"/>
          <w:marRight w:val="0"/>
          <w:marTop w:val="0"/>
          <w:marBottom w:val="0"/>
          <w:divBdr>
            <w:top w:val="none" w:sz="0" w:space="0" w:color="auto"/>
            <w:left w:val="none" w:sz="0" w:space="0" w:color="auto"/>
            <w:bottom w:val="single" w:sz="12" w:space="4" w:color="D3D3D3"/>
            <w:right w:val="none" w:sz="0" w:space="0" w:color="auto"/>
          </w:divBdr>
        </w:div>
      </w:divsChild>
    </w:div>
    <w:div w:id="1605848128">
      <w:marLeft w:val="640"/>
      <w:marRight w:val="0"/>
      <w:marTop w:val="0"/>
      <w:marBottom w:val="0"/>
      <w:divBdr>
        <w:top w:val="none" w:sz="0" w:space="0" w:color="auto"/>
        <w:left w:val="none" w:sz="0" w:space="0" w:color="auto"/>
        <w:bottom w:val="none" w:sz="0" w:space="0" w:color="auto"/>
        <w:right w:val="none" w:sz="0" w:space="0" w:color="auto"/>
      </w:divBdr>
    </w:div>
    <w:div w:id="1620184692">
      <w:marLeft w:val="640"/>
      <w:marRight w:val="0"/>
      <w:marTop w:val="0"/>
      <w:marBottom w:val="0"/>
      <w:divBdr>
        <w:top w:val="none" w:sz="0" w:space="0" w:color="auto"/>
        <w:left w:val="none" w:sz="0" w:space="0" w:color="auto"/>
        <w:bottom w:val="none" w:sz="0" w:space="0" w:color="auto"/>
        <w:right w:val="none" w:sz="0" w:space="0" w:color="auto"/>
      </w:divBdr>
    </w:div>
    <w:div w:id="1644890673">
      <w:bodyDiv w:val="1"/>
      <w:marLeft w:val="0"/>
      <w:marRight w:val="0"/>
      <w:marTop w:val="0"/>
      <w:marBottom w:val="0"/>
      <w:divBdr>
        <w:top w:val="none" w:sz="0" w:space="0" w:color="auto"/>
        <w:left w:val="none" w:sz="0" w:space="0" w:color="auto"/>
        <w:bottom w:val="none" w:sz="0" w:space="0" w:color="auto"/>
        <w:right w:val="none" w:sz="0" w:space="0" w:color="auto"/>
      </w:divBdr>
    </w:div>
    <w:div w:id="1646658751">
      <w:marLeft w:val="640"/>
      <w:marRight w:val="0"/>
      <w:marTop w:val="0"/>
      <w:marBottom w:val="0"/>
      <w:divBdr>
        <w:top w:val="none" w:sz="0" w:space="0" w:color="auto"/>
        <w:left w:val="none" w:sz="0" w:space="0" w:color="auto"/>
        <w:bottom w:val="none" w:sz="0" w:space="0" w:color="auto"/>
        <w:right w:val="none" w:sz="0" w:space="0" w:color="auto"/>
      </w:divBdr>
    </w:div>
    <w:div w:id="1653026740">
      <w:marLeft w:val="640"/>
      <w:marRight w:val="0"/>
      <w:marTop w:val="0"/>
      <w:marBottom w:val="0"/>
      <w:divBdr>
        <w:top w:val="none" w:sz="0" w:space="0" w:color="auto"/>
        <w:left w:val="none" w:sz="0" w:space="0" w:color="auto"/>
        <w:bottom w:val="none" w:sz="0" w:space="0" w:color="auto"/>
        <w:right w:val="none" w:sz="0" w:space="0" w:color="auto"/>
      </w:divBdr>
    </w:div>
    <w:div w:id="1655182501">
      <w:marLeft w:val="640"/>
      <w:marRight w:val="0"/>
      <w:marTop w:val="0"/>
      <w:marBottom w:val="0"/>
      <w:divBdr>
        <w:top w:val="none" w:sz="0" w:space="0" w:color="auto"/>
        <w:left w:val="none" w:sz="0" w:space="0" w:color="auto"/>
        <w:bottom w:val="none" w:sz="0" w:space="0" w:color="auto"/>
        <w:right w:val="none" w:sz="0" w:space="0" w:color="auto"/>
      </w:divBdr>
    </w:div>
    <w:div w:id="1664164947">
      <w:marLeft w:val="640"/>
      <w:marRight w:val="0"/>
      <w:marTop w:val="0"/>
      <w:marBottom w:val="0"/>
      <w:divBdr>
        <w:top w:val="none" w:sz="0" w:space="0" w:color="auto"/>
        <w:left w:val="none" w:sz="0" w:space="0" w:color="auto"/>
        <w:bottom w:val="none" w:sz="0" w:space="0" w:color="auto"/>
        <w:right w:val="none" w:sz="0" w:space="0" w:color="auto"/>
      </w:divBdr>
    </w:div>
    <w:div w:id="1670132746">
      <w:bodyDiv w:val="1"/>
      <w:marLeft w:val="0"/>
      <w:marRight w:val="0"/>
      <w:marTop w:val="0"/>
      <w:marBottom w:val="0"/>
      <w:divBdr>
        <w:top w:val="none" w:sz="0" w:space="0" w:color="auto"/>
        <w:left w:val="none" w:sz="0" w:space="0" w:color="auto"/>
        <w:bottom w:val="none" w:sz="0" w:space="0" w:color="auto"/>
        <w:right w:val="none" w:sz="0" w:space="0" w:color="auto"/>
      </w:divBdr>
    </w:div>
    <w:div w:id="1682122936">
      <w:bodyDiv w:val="1"/>
      <w:marLeft w:val="0"/>
      <w:marRight w:val="0"/>
      <w:marTop w:val="0"/>
      <w:marBottom w:val="0"/>
      <w:divBdr>
        <w:top w:val="none" w:sz="0" w:space="0" w:color="auto"/>
        <w:left w:val="none" w:sz="0" w:space="0" w:color="auto"/>
        <w:bottom w:val="none" w:sz="0" w:space="0" w:color="auto"/>
        <w:right w:val="none" w:sz="0" w:space="0" w:color="auto"/>
      </w:divBdr>
      <w:divsChild>
        <w:div w:id="52631350">
          <w:marLeft w:val="640"/>
          <w:marRight w:val="0"/>
          <w:marTop w:val="0"/>
          <w:marBottom w:val="0"/>
          <w:divBdr>
            <w:top w:val="none" w:sz="0" w:space="0" w:color="auto"/>
            <w:left w:val="none" w:sz="0" w:space="0" w:color="auto"/>
            <w:bottom w:val="none" w:sz="0" w:space="0" w:color="auto"/>
            <w:right w:val="none" w:sz="0" w:space="0" w:color="auto"/>
          </w:divBdr>
        </w:div>
        <w:div w:id="66459675">
          <w:marLeft w:val="640"/>
          <w:marRight w:val="0"/>
          <w:marTop w:val="0"/>
          <w:marBottom w:val="0"/>
          <w:divBdr>
            <w:top w:val="none" w:sz="0" w:space="0" w:color="auto"/>
            <w:left w:val="none" w:sz="0" w:space="0" w:color="auto"/>
            <w:bottom w:val="none" w:sz="0" w:space="0" w:color="auto"/>
            <w:right w:val="none" w:sz="0" w:space="0" w:color="auto"/>
          </w:divBdr>
        </w:div>
        <w:div w:id="147405560">
          <w:marLeft w:val="640"/>
          <w:marRight w:val="0"/>
          <w:marTop w:val="0"/>
          <w:marBottom w:val="0"/>
          <w:divBdr>
            <w:top w:val="none" w:sz="0" w:space="0" w:color="auto"/>
            <w:left w:val="none" w:sz="0" w:space="0" w:color="auto"/>
            <w:bottom w:val="none" w:sz="0" w:space="0" w:color="auto"/>
            <w:right w:val="none" w:sz="0" w:space="0" w:color="auto"/>
          </w:divBdr>
        </w:div>
        <w:div w:id="349993294">
          <w:marLeft w:val="640"/>
          <w:marRight w:val="0"/>
          <w:marTop w:val="0"/>
          <w:marBottom w:val="0"/>
          <w:divBdr>
            <w:top w:val="none" w:sz="0" w:space="0" w:color="auto"/>
            <w:left w:val="none" w:sz="0" w:space="0" w:color="auto"/>
            <w:bottom w:val="none" w:sz="0" w:space="0" w:color="auto"/>
            <w:right w:val="none" w:sz="0" w:space="0" w:color="auto"/>
          </w:divBdr>
        </w:div>
        <w:div w:id="399331364">
          <w:marLeft w:val="640"/>
          <w:marRight w:val="0"/>
          <w:marTop w:val="0"/>
          <w:marBottom w:val="0"/>
          <w:divBdr>
            <w:top w:val="none" w:sz="0" w:space="0" w:color="auto"/>
            <w:left w:val="none" w:sz="0" w:space="0" w:color="auto"/>
            <w:bottom w:val="none" w:sz="0" w:space="0" w:color="auto"/>
            <w:right w:val="none" w:sz="0" w:space="0" w:color="auto"/>
          </w:divBdr>
        </w:div>
        <w:div w:id="574168039">
          <w:marLeft w:val="640"/>
          <w:marRight w:val="0"/>
          <w:marTop w:val="0"/>
          <w:marBottom w:val="0"/>
          <w:divBdr>
            <w:top w:val="none" w:sz="0" w:space="0" w:color="auto"/>
            <w:left w:val="none" w:sz="0" w:space="0" w:color="auto"/>
            <w:bottom w:val="none" w:sz="0" w:space="0" w:color="auto"/>
            <w:right w:val="none" w:sz="0" w:space="0" w:color="auto"/>
          </w:divBdr>
        </w:div>
        <w:div w:id="631594789">
          <w:marLeft w:val="640"/>
          <w:marRight w:val="0"/>
          <w:marTop w:val="0"/>
          <w:marBottom w:val="0"/>
          <w:divBdr>
            <w:top w:val="none" w:sz="0" w:space="0" w:color="auto"/>
            <w:left w:val="none" w:sz="0" w:space="0" w:color="auto"/>
            <w:bottom w:val="none" w:sz="0" w:space="0" w:color="auto"/>
            <w:right w:val="none" w:sz="0" w:space="0" w:color="auto"/>
          </w:divBdr>
        </w:div>
        <w:div w:id="863321733">
          <w:marLeft w:val="640"/>
          <w:marRight w:val="0"/>
          <w:marTop w:val="0"/>
          <w:marBottom w:val="0"/>
          <w:divBdr>
            <w:top w:val="none" w:sz="0" w:space="0" w:color="auto"/>
            <w:left w:val="none" w:sz="0" w:space="0" w:color="auto"/>
            <w:bottom w:val="none" w:sz="0" w:space="0" w:color="auto"/>
            <w:right w:val="none" w:sz="0" w:space="0" w:color="auto"/>
          </w:divBdr>
        </w:div>
        <w:div w:id="1073963883">
          <w:marLeft w:val="640"/>
          <w:marRight w:val="0"/>
          <w:marTop w:val="0"/>
          <w:marBottom w:val="0"/>
          <w:divBdr>
            <w:top w:val="none" w:sz="0" w:space="0" w:color="auto"/>
            <w:left w:val="none" w:sz="0" w:space="0" w:color="auto"/>
            <w:bottom w:val="none" w:sz="0" w:space="0" w:color="auto"/>
            <w:right w:val="none" w:sz="0" w:space="0" w:color="auto"/>
          </w:divBdr>
        </w:div>
        <w:div w:id="1191336684">
          <w:marLeft w:val="640"/>
          <w:marRight w:val="0"/>
          <w:marTop w:val="0"/>
          <w:marBottom w:val="0"/>
          <w:divBdr>
            <w:top w:val="none" w:sz="0" w:space="0" w:color="auto"/>
            <w:left w:val="none" w:sz="0" w:space="0" w:color="auto"/>
            <w:bottom w:val="none" w:sz="0" w:space="0" w:color="auto"/>
            <w:right w:val="none" w:sz="0" w:space="0" w:color="auto"/>
          </w:divBdr>
        </w:div>
        <w:div w:id="1350790138">
          <w:marLeft w:val="640"/>
          <w:marRight w:val="0"/>
          <w:marTop w:val="0"/>
          <w:marBottom w:val="0"/>
          <w:divBdr>
            <w:top w:val="none" w:sz="0" w:space="0" w:color="auto"/>
            <w:left w:val="none" w:sz="0" w:space="0" w:color="auto"/>
            <w:bottom w:val="none" w:sz="0" w:space="0" w:color="auto"/>
            <w:right w:val="none" w:sz="0" w:space="0" w:color="auto"/>
          </w:divBdr>
        </w:div>
        <w:div w:id="1440568111">
          <w:marLeft w:val="640"/>
          <w:marRight w:val="0"/>
          <w:marTop w:val="0"/>
          <w:marBottom w:val="0"/>
          <w:divBdr>
            <w:top w:val="none" w:sz="0" w:space="0" w:color="auto"/>
            <w:left w:val="none" w:sz="0" w:space="0" w:color="auto"/>
            <w:bottom w:val="none" w:sz="0" w:space="0" w:color="auto"/>
            <w:right w:val="none" w:sz="0" w:space="0" w:color="auto"/>
          </w:divBdr>
        </w:div>
        <w:div w:id="1540313281">
          <w:marLeft w:val="640"/>
          <w:marRight w:val="0"/>
          <w:marTop w:val="0"/>
          <w:marBottom w:val="0"/>
          <w:divBdr>
            <w:top w:val="none" w:sz="0" w:space="0" w:color="auto"/>
            <w:left w:val="none" w:sz="0" w:space="0" w:color="auto"/>
            <w:bottom w:val="none" w:sz="0" w:space="0" w:color="auto"/>
            <w:right w:val="none" w:sz="0" w:space="0" w:color="auto"/>
          </w:divBdr>
        </w:div>
        <w:div w:id="1655838242">
          <w:marLeft w:val="640"/>
          <w:marRight w:val="0"/>
          <w:marTop w:val="0"/>
          <w:marBottom w:val="0"/>
          <w:divBdr>
            <w:top w:val="none" w:sz="0" w:space="0" w:color="auto"/>
            <w:left w:val="none" w:sz="0" w:space="0" w:color="auto"/>
            <w:bottom w:val="none" w:sz="0" w:space="0" w:color="auto"/>
            <w:right w:val="none" w:sz="0" w:space="0" w:color="auto"/>
          </w:divBdr>
        </w:div>
        <w:div w:id="1678726699">
          <w:marLeft w:val="640"/>
          <w:marRight w:val="0"/>
          <w:marTop w:val="0"/>
          <w:marBottom w:val="0"/>
          <w:divBdr>
            <w:top w:val="none" w:sz="0" w:space="0" w:color="auto"/>
            <w:left w:val="none" w:sz="0" w:space="0" w:color="auto"/>
            <w:bottom w:val="none" w:sz="0" w:space="0" w:color="auto"/>
            <w:right w:val="none" w:sz="0" w:space="0" w:color="auto"/>
          </w:divBdr>
        </w:div>
        <w:div w:id="2144610928">
          <w:marLeft w:val="640"/>
          <w:marRight w:val="0"/>
          <w:marTop w:val="0"/>
          <w:marBottom w:val="0"/>
          <w:divBdr>
            <w:top w:val="none" w:sz="0" w:space="0" w:color="auto"/>
            <w:left w:val="none" w:sz="0" w:space="0" w:color="auto"/>
            <w:bottom w:val="none" w:sz="0" w:space="0" w:color="auto"/>
            <w:right w:val="none" w:sz="0" w:space="0" w:color="auto"/>
          </w:divBdr>
        </w:div>
      </w:divsChild>
    </w:div>
    <w:div w:id="1694187628">
      <w:marLeft w:val="640"/>
      <w:marRight w:val="0"/>
      <w:marTop w:val="0"/>
      <w:marBottom w:val="0"/>
      <w:divBdr>
        <w:top w:val="none" w:sz="0" w:space="0" w:color="auto"/>
        <w:left w:val="none" w:sz="0" w:space="0" w:color="auto"/>
        <w:bottom w:val="none" w:sz="0" w:space="0" w:color="auto"/>
        <w:right w:val="none" w:sz="0" w:space="0" w:color="auto"/>
      </w:divBdr>
    </w:div>
    <w:div w:id="1699038713">
      <w:marLeft w:val="640"/>
      <w:marRight w:val="0"/>
      <w:marTop w:val="0"/>
      <w:marBottom w:val="0"/>
      <w:divBdr>
        <w:top w:val="none" w:sz="0" w:space="0" w:color="auto"/>
        <w:left w:val="none" w:sz="0" w:space="0" w:color="auto"/>
        <w:bottom w:val="none" w:sz="0" w:space="0" w:color="auto"/>
        <w:right w:val="none" w:sz="0" w:space="0" w:color="auto"/>
      </w:divBdr>
    </w:div>
    <w:div w:id="1719475072">
      <w:marLeft w:val="640"/>
      <w:marRight w:val="0"/>
      <w:marTop w:val="0"/>
      <w:marBottom w:val="0"/>
      <w:divBdr>
        <w:top w:val="none" w:sz="0" w:space="0" w:color="auto"/>
        <w:left w:val="none" w:sz="0" w:space="0" w:color="auto"/>
        <w:bottom w:val="none" w:sz="0" w:space="0" w:color="auto"/>
        <w:right w:val="none" w:sz="0" w:space="0" w:color="auto"/>
      </w:divBdr>
    </w:div>
    <w:div w:id="1731803348">
      <w:bodyDiv w:val="1"/>
      <w:marLeft w:val="0"/>
      <w:marRight w:val="0"/>
      <w:marTop w:val="0"/>
      <w:marBottom w:val="0"/>
      <w:divBdr>
        <w:top w:val="none" w:sz="0" w:space="0" w:color="auto"/>
        <w:left w:val="none" w:sz="0" w:space="0" w:color="auto"/>
        <w:bottom w:val="none" w:sz="0" w:space="0" w:color="auto"/>
        <w:right w:val="none" w:sz="0" w:space="0" w:color="auto"/>
      </w:divBdr>
    </w:div>
    <w:div w:id="1747341253">
      <w:marLeft w:val="640"/>
      <w:marRight w:val="0"/>
      <w:marTop w:val="0"/>
      <w:marBottom w:val="0"/>
      <w:divBdr>
        <w:top w:val="none" w:sz="0" w:space="0" w:color="auto"/>
        <w:left w:val="none" w:sz="0" w:space="0" w:color="auto"/>
        <w:bottom w:val="none" w:sz="0" w:space="0" w:color="auto"/>
        <w:right w:val="none" w:sz="0" w:space="0" w:color="auto"/>
      </w:divBdr>
    </w:div>
    <w:div w:id="1754736662">
      <w:marLeft w:val="640"/>
      <w:marRight w:val="0"/>
      <w:marTop w:val="0"/>
      <w:marBottom w:val="0"/>
      <w:divBdr>
        <w:top w:val="none" w:sz="0" w:space="0" w:color="auto"/>
        <w:left w:val="none" w:sz="0" w:space="0" w:color="auto"/>
        <w:bottom w:val="none" w:sz="0" w:space="0" w:color="auto"/>
        <w:right w:val="none" w:sz="0" w:space="0" w:color="auto"/>
      </w:divBdr>
    </w:div>
    <w:div w:id="1759403982">
      <w:marLeft w:val="640"/>
      <w:marRight w:val="0"/>
      <w:marTop w:val="0"/>
      <w:marBottom w:val="0"/>
      <w:divBdr>
        <w:top w:val="none" w:sz="0" w:space="0" w:color="auto"/>
        <w:left w:val="none" w:sz="0" w:space="0" w:color="auto"/>
        <w:bottom w:val="none" w:sz="0" w:space="0" w:color="auto"/>
        <w:right w:val="none" w:sz="0" w:space="0" w:color="auto"/>
      </w:divBdr>
    </w:div>
    <w:div w:id="1769153701">
      <w:bodyDiv w:val="1"/>
      <w:marLeft w:val="0"/>
      <w:marRight w:val="0"/>
      <w:marTop w:val="0"/>
      <w:marBottom w:val="0"/>
      <w:divBdr>
        <w:top w:val="none" w:sz="0" w:space="0" w:color="auto"/>
        <w:left w:val="none" w:sz="0" w:space="0" w:color="auto"/>
        <w:bottom w:val="none" w:sz="0" w:space="0" w:color="auto"/>
        <w:right w:val="none" w:sz="0" w:space="0" w:color="auto"/>
      </w:divBdr>
      <w:divsChild>
        <w:div w:id="247234198">
          <w:marLeft w:val="640"/>
          <w:marRight w:val="0"/>
          <w:marTop w:val="0"/>
          <w:marBottom w:val="0"/>
          <w:divBdr>
            <w:top w:val="none" w:sz="0" w:space="0" w:color="auto"/>
            <w:left w:val="none" w:sz="0" w:space="0" w:color="auto"/>
            <w:bottom w:val="none" w:sz="0" w:space="0" w:color="auto"/>
            <w:right w:val="none" w:sz="0" w:space="0" w:color="auto"/>
          </w:divBdr>
        </w:div>
        <w:div w:id="287862558">
          <w:marLeft w:val="640"/>
          <w:marRight w:val="0"/>
          <w:marTop w:val="0"/>
          <w:marBottom w:val="0"/>
          <w:divBdr>
            <w:top w:val="none" w:sz="0" w:space="0" w:color="auto"/>
            <w:left w:val="none" w:sz="0" w:space="0" w:color="auto"/>
            <w:bottom w:val="none" w:sz="0" w:space="0" w:color="auto"/>
            <w:right w:val="none" w:sz="0" w:space="0" w:color="auto"/>
          </w:divBdr>
        </w:div>
        <w:div w:id="309752640">
          <w:marLeft w:val="640"/>
          <w:marRight w:val="0"/>
          <w:marTop w:val="0"/>
          <w:marBottom w:val="0"/>
          <w:divBdr>
            <w:top w:val="none" w:sz="0" w:space="0" w:color="auto"/>
            <w:left w:val="none" w:sz="0" w:space="0" w:color="auto"/>
            <w:bottom w:val="none" w:sz="0" w:space="0" w:color="auto"/>
            <w:right w:val="none" w:sz="0" w:space="0" w:color="auto"/>
          </w:divBdr>
        </w:div>
        <w:div w:id="472256226">
          <w:marLeft w:val="640"/>
          <w:marRight w:val="0"/>
          <w:marTop w:val="0"/>
          <w:marBottom w:val="0"/>
          <w:divBdr>
            <w:top w:val="none" w:sz="0" w:space="0" w:color="auto"/>
            <w:left w:val="none" w:sz="0" w:space="0" w:color="auto"/>
            <w:bottom w:val="none" w:sz="0" w:space="0" w:color="auto"/>
            <w:right w:val="none" w:sz="0" w:space="0" w:color="auto"/>
          </w:divBdr>
        </w:div>
        <w:div w:id="568343420">
          <w:marLeft w:val="640"/>
          <w:marRight w:val="0"/>
          <w:marTop w:val="0"/>
          <w:marBottom w:val="0"/>
          <w:divBdr>
            <w:top w:val="none" w:sz="0" w:space="0" w:color="auto"/>
            <w:left w:val="none" w:sz="0" w:space="0" w:color="auto"/>
            <w:bottom w:val="none" w:sz="0" w:space="0" w:color="auto"/>
            <w:right w:val="none" w:sz="0" w:space="0" w:color="auto"/>
          </w:divBdr>
        </w:div>
        <w:div w:id="747994711">
          <w:marLeft w:val="640"/>
          <w:marRight w:val="0"/>
          <w:marTop w:val="0"/>
          <w:marBottom w:val="0"/>
          <w:divBdr>
            <w:top w:val="none" w:sz="0" w:space="0" w:color="auto"/>
            <w:left w:val="none" w:sz="0" w:space="0" w:color="auto"/>
            <w:bottom w:val="none" w:sz="0" w:space="0" w:color="auto"/>
            <w:right w:val="none" w:sz="0" w:space="0" w:color="auto"/>
          </w:divBdr>
        </w:div>
        <w:div w:id="996571549">
          <w:marLeft w:val="640"/>
          <w:marRight w:val="0"/>
          <w:marTop w:val="0"/>
          <w:marBottom w:val="0"/>
          <w:divBdr>
            <w:top w:val="none" w:sz="0" w:space="0" w:color="auto"/>
            <w:left w:val="none" w:sz="0" w:space="0" w:color="auto"/>
            <w:bottom w:val="none" w:sz="0" w:space="0" w:color="auto"/>
            <w:right w:val="none" w:sz="0" w:space="0" w:color="auto"/>
          </w:divBdr>
        </w:div>
        <w:div w:id="1261791566">
          <w:marLeft w:val="640"/>
          <w:marRight w:val="0"/>
          <w:marTop w:val="0"/>
          <w:marBottom w:val="0"/>
          <w:divBdr>
            <w:top w:val="none" w:sz="0" w:space="0" w:color="auto"/>
            <w:left w:val="none" w:sz="0" w:space="0" w:color="auto"/>
            <w:bottom w:val="none" w:sz="0" w:space="0" w:color="auto"/>
            <w:right w:val="none" w:sz="0" w:space="0" w:color="auto"/>
          </w:divBdr>
        </w:div>
        <w:div w:id="1394041017">
          <w:marLeft w:val="640"/>
          <w:marRight w:val="0"/>
          <w:marTop w:val="0"/>
          <w:marBottom w:val="0"/>
          <w:divBdr>
            <w:top w:val="none" w:sz="0" w:space="0" w:color="auto"/>
            <w:left w:val="none" w:sz="0" w:space="0" w:color="auto"/>
            <w:bottom w:val="none" w:sz="0" w:space="0" w:color="auto"/>
            <w:right w:val="none" w:sz="0" w:space="0" w:color="auto"/>
          </w:divBdr>
        </w:div>
        <w:div w:id="1396198532">
          <w:marLeft w:val="640"/>
          <w:marRight w:val="0"/>
          <w:marTop w:val="0"/>
          <w:marBottom w:val="0"/>
          <w:divBdr>
            <w:top w:val="none" w:sz="0" w:space="0" w:color="auto"/>
            <w:left w:val="none" w:sz="0" w:space="0" w:color="auto"/>
            <w:bottom w:val="none" w:sz="0" w:space="0" w:color="auto"/>
            <w:right w:val="none" w:sz="0" w:space="0" w:color="auto"/>
          </w:divBdr>
        </w:div>
        <w:div w:id="1493183895">
          <w:marLeft w:val="640"/>
          <w:marRight w:val="0"/>
          <w:marTop w:val="0"/>
          <w:marBottom w:val="0"/>
          <w:divBdr>
            <w:top w:val="none" w:sz="0" w:space="0" w:color="auto"/>
            <w:left w:val="none" w:sz="0" w:space="0" w:color="auto"/>
            <w:bottom w:val="none" w:sz="0" w:space="0" w:color="auto"/>
            <w:right w:val="none" w:sz="0" w:space="0" w:color="auto"/>
          </w:divBdr>
        </w:div>
        <w:div w:id="1637368841">
          <w:marLeft w:val="640"/>
          <w:marRight w:val="0"/>
          <w:marTop w:val="0"/>
          <w:marBottom w:val="0"/>
          <w:divBdr>
            <w:top w:val="none" w:sz="0" w:space="0" w:color="auto"/>
            <w:left w:val="none" w:sz="0" w:space="0" w:color="auto"/>
            <w:bottom w:val="none" w:sz="0" w:space="0" w:color="auto"/>
            <w:right w:val="none" w:sz="0" w:space="0" w:color="auto"/>
          </w:divBdr>
        </w:div>
        <w:div w:id="1647783566">
          <w:marLeft w:val="640"/>
          <w:marRight w:val="0"/>
          <w:marTop w:val="0"/>
          <w:marBottom w:val="0"/>
          <w:divBdr>
            <w:top w:val="none" w:sz="0" w:space="0" w:color="auto"/>
            <w:left w:val="none" w:sz="0" w:space="0" w:color="auto"/>
            <w:bottom w:val="none" w:sz="0" w:space="0" w:color="auto"/>
            <w:right w:val="none" w:sz="0" w:space="0" w:color="auto"/>
          </w:divBdr>
        </w:div>
        <w:div w:id="1815097178">
          <w:marLeft w:val="640"/>
          <w:marRight w:val="0"/>
          <w:marTop w:val="0"/>
          <w:marBottom w:val="0"/>
          <w:divBdr>
            <w:top w:val="none" w:sz="0" w:space="0" w:color="auto"/>
            <w:left w:val="none" w:sz="0" w:space="0" w:color="auto"/>
            <w:bottom w:val="none" w:sz="0" w:space="0" w:color="auto"/>
            <w:right w:val="none" w:sz="0" w:space="0" w:color="auto"/>
          </w:divBdr>
        </w:div>
        <w:div w:id="1875001694">
          <w:marLeft w:val="640"/>
          <w:marRight w:val="0"/>
          <w:marTop w:val="0"/>
          <w:marBottom w:val="0"/>
          <w:divBdr>
            <w:top w:val="none" w:sz="0" w:space="0" w:color="auto"/>
            <w:left w:val="none" w:sz="0" w:space="0" w:color="auto"/>
            <w:bottom w:val="none" w:sz="0" w:space="0" w:color="auto"/>
            <w:right w:val="none" w:sz="0" w:space="0" w:color="auto"/>
          </w:divBdr>
        </w:div>
        <w:div w:id="2103143467">
          <w:marLeft w:val="640"/>
          <w:marRight w:val="0"/>
          <w:marTop w:val="0"/>
          <w:marBottom w:val="0"/>
          <w:divBdr>
            <w:top w:val="none" w:sz="0" w:space="0" w:color="auto"/>
            <w:left w:val="none" w:sz="0" w:space="0" w:color="auto"/>
            <w:bottom w:val="none" w:sz="0" w:space="0" w:color="auto"/>
            <w:right w:val="none" w:sz="0" w:space="0" w:color="auto"/>
          </w:divBdr>
        </w:div>
      </w:divsChild>
    </w:div>
    <w:div w:id="1776485070">
      <w:marLeft w:val="640"/>
      <w:marRight w:val="0"/>
      <w:marTop w:val="0"/>
      <w:marBottom w:val="0"/>
      <w:divBdr>
        <w:top w:val="none" w:sz="0" w:space="0" w:color="auto"/>
        <w:left w:val="none" w:sz="0" w:space="0" w:color="auto"/>
        <w:bottom w:val="none" w:sz="0" w:space="0" w:color="auto"/>
        <w:right w:val="none" w:sz="0" w:space="0" w:color="auto"/>
      </w:divBdr>
    </w:div>
    <w:div w:id="1789007204">
      <w:marLeft w:val="640"/>
      <w:marRight w:val="0"/>
      <w:marTop w:val="0"/>
      <w:marBottom w:val="0"/>
      <w:divBdr>
        <w:top w:val="none" w:sz="0" w:space="0" w:color="auto"/>
        <w:left w:val="none" w:sz="0" w:space="0" w:color="auto"/>
        <w:bottom w:val="none" w:sz="0" w:space="0" w:color="auto"/>
        <w:right w:val="none" w:sz="0" w:space="0" w:color="auto"/>
      </w:divBdr>
    </w:div>
    <w:div w:id="1790658017">
      <w:marLeft w:val="640"/>
      <w:marRight w:val="0"/>
      <w:marTop w:val="0"/>
      <w:marBottom w:val="0"/>
      <w:divBdr>
        <w:top w:val="none" w:sz="0" w:space="0" w:color="auto"/>
        <w:left w:val="none" w:sz="0" w:space="0" w:color="auto"/>
        <w:bottom w:val="none" w:sz="0" w:space="0" w:color="auto"/>
        <w:right w:val="none" w:sz="0" w:space="0" w:color="auto"/>
      </w:divBdr>
    </w:div>
    <w:div w:id="1791126393">
      <w:marLeft w:val="640"/>
      <w:marRight w:val="0"/>
      <w:marTop w:val="0"/>
      <w:marBottom w:val="0"/>
      <w:divBdr>
        <w:top w:val="none" w:sz="0" w:space="0" w:color="auto"/>
        <w:left w:val="none" w:sz="0" w:space="0" w:color="auto"/>
        <w:bottom w:val="none" w:sz="0" w:space="0" w:color="auto"/>
        <w:right w:val="none" w:sz="0" w:space="0" w:color="auto"/>
      </w:divBdr>
    </w:div>
    <w:div w:id="1795321823">
      <w:marLeft w:val="640"/>
      <w:marRight w:val="0"/>
      <w:marTop w:val="0"/>
      <w:marBottom w:val="0"/>
      <w:divBdr>
        <w:top w:val="none" w:sz="0" w:space="0" w:color="auto"/>
        <w:left w:val="none" w:sz="0" w:space="0" w:color="auto"/>
        <w:bottom w:val="none" w:sz="0" w:space="0" w:color="auto"/>
        <w:right w:val="none" w:sz="0" w:space="0" w:color="auto"/>
      </w:divBdr>
    </w:div>
    <w:div w:id="1802110139">
      <w:bodyDiv w:val="1"/>
      <w:marLeft w:val="0"/>
      <w:marRight w:val="0"/>
      <w:marTop w:val="0"/>
      <w:marBottom w:val="0"/>
      <w:divBdr>
        <w:top w:val="none" w:sz="0" w:space="0" w:color="auto"/>
        <w:left w:val="none" w:sz="0" w:space="0" w:color="auto"/>
        <w:bottom w:val="none" w:sz="0" w:space="0" w:color="auto"/>
        <w:right w:val="none" w:sz="0" w:space="0" w:color="auto"/>
      </w:divBdr>
    </w:div>
    <w:div w:id="1805536401">
      <w:marLeft w:val="640"/>
      <w:marRight w:val="0"/>
      <w:marTop w:val="0"/>
      <w:marBottom w:val="0"/>
      <w:divBdr>
        <w:top w:val="none" w:sz="0" w:space="0" w:color="auto"/>
        <w:left w:val="none" w:sz="0" w:space="0" w:color="auto"/>
        <w:bottom w:val="none" w:sz="0" w:space="0" w:color="auto"/>
        <w:right w:val="none" w:sz="0" w:space="0" w:color="auto"/>
      </w:divBdr>
    </w:div>
    <w:div w:id="1811048626">
      <w:marLeft w:val="640"/>
      <w:marRight w:val="0"/>
      <w:marTop w:val="0"/>
      <w:marBottom w:val="0"/>
      <w:divBdr>
        <w:top w:val="none" w:sz="0" w:space="0" w:color="auto"/>
        <w:left w:val="none" w:sz="0" w:space="0" w:color="auto"/>
        <w:bottom w:val="none" w:sz="0" w:space="0" w:color="auto"/>
        <w:right w:val="none" w:sz="0" w:space="0" w:color="auto"/>
      </w:divBdr>
    </w:div>
    <w:div w:id="1821770381">
      <w:marLeft w:val="640"/>
      <w:marRight w:val="0"/>
      <w:marTop w:val="0"/>
      <w:marBottom w:val="0"/>
      <w:divBdr>
        <w:top w:val="none" w:sz="0" w:space="0" w:color="auto"/>
        <w:left w:val="none" w:sz="0" w:space="0" w:color="auto"/>
        <w:bottom w:val="none" w:sz="0" w:space="0" w:color="auto"/>
        <w:right w:val="none" w:sz="0" w:space="0" w:color="auto"/>
      </w:divBdr>
    </w:div>
    <w:div w:id="1831631851">
      <w:marLeft w:val="640"/>
      <w:marRight w:val="0"/>
      <w:marTop w:val="0"/>
      <w:marBottom w:val="0"/>
      <w:divBdr>
        <w:top w:val="none" w:sz="0" w:space="0" w:color="auto"/>
        <w:left w:val="none" w:sz="0" w:space="0" w:color="auto"/>
        <w:bottom w:val="none" w:sz="0" w:space="0" w:color="auto"/>
        <w:right w:val="none" w:sz="0" w:space="0" w:color="auto"/>
      </w:divBdr>
    </w:div>
    <w:div w:id="1834711738">
      <w:bodyDiv w:val="1"/>
      <w:marLeft w:val="0"/>
      <w:marRight w:val="0"/>
      <w:marTop w:val="0"/>
      <w:marBottom w:val="0"/>
      <w:divBdr>
        <w:top w:val="none" w:sz="0" w:space="0" w:color="auto"/>
        <w:left w:val="none" w:sz="0" w:space="0" w:color="auto"/>
        <w:bottom w:val="none" w:sz="0" w:space="0" w:color="auto"/>
        <w:right w:val="none" w:sz="0" w:space="0" w:color="auto"/>
      </w:divBdr>
      <w:divsChild>
        <w:div w:id="37055469">
          <w:marLeft w:val="640"/>
          <w:marRight w:val="0"/>
          <w:marTop w:val="0"/>
          <w:marBottom w:val="0"/>
          <w:divBdr>
            <w:top w:val="none" w:sz="0" w:space="0" w:color="auto"/>
            <w:left w:val="none" w:sz="0" w:space="0" w:color="auto"/>
            <w:bottom w:val="none" w:sz="0" w:space="0" w:color="auto"/>
            <w:right w:val="none" w:sz="0" w:space="0" w:color="auto"/>
          </w:divBdr>
        </w:div>
        <w:div w:id="516191936">
          <w:marLeft w:val="640"/>
          <w:marRight w:val="0"/>
          <w:marTop w:val="0"/>
          <w:marBottom w:val="0"/>
          <w:divBdr>
            <w:top w:val="none" w:sz="0" w:space="0" w:color="auto"/>
            <w:left w:val="none" w:sz="0" w:space="0" w:color="auto"/>
            <w:bottom w:val="none" w:sz="0" w:space="0" w:color="auto"/>
            <w:right w:val="none" w:sz="0" w:space="0" w:color="auto"/>
          </w:divBdr>
        </w:div>
        <w:div w:id="541065464">
          <w:marLeft w:val="640"/>
          <w:marRight w:val="0"/>
          <w:marTop w:val="0"/>
          <w:marBottom w:val="0"/>
          <w:divBdr>
            <w:top w:val="none" w:sz="0" w:space="0" w:color="auto"/>
            <w:left w:val="none" w:sz="0" w:space="0" w:color="auto"/>
            <w:bottom w:val="none" w:sz="0" w:space="0" w:color="auto"/>
            <w:right w:val="none" w:sz="0" w:space="0" w:color="auto"/>
          </w:divBdr>
        </w:div>
        <w:div w:id="860899874">
          <w:marLeft w:val="640"/>
          <w:marRight w:val="0"/>
          <w:marTop w:val="0"/>
          <w:marBottom w:val="0"/>
          <w:divBdr>
            <w:top w:val="none" w:sz="0" w:space="0" w:color="auto"/>
            <w:left w:val="none" w:sz="0" w:space="0" w:color="auto"/>
            <w:bottom w:val="none" w:sz="0" w:space="0" w:color="auto"/>
            <w:right w:val="none" w:sz="0" w:space="0" w:color="auto"/>
          </w:divBdr>
        </w:div>
        <w:div w:id="999388595">
          <w:marLeft w:val="640"/>
          <w:marRight w:val="0"/>
          <w:marTop w:val="0"/>
          <w:marBottom w:val="0"/>
          <w:divBdr>
            <w:top w:val="none" w:sz="0" w:space="0" w:color="auto"/>
            <w:left w:val="none" w:sz="0" w:space="0" w:color="auto"/>
            <w:bottom w:val="none" w:sz="0" w:space="0" w:color="auto"/>
            <w:right w:val="none" w:sz="0" w:space="0" w:color="auto"/>
          </w:divBdr>
        </w:div>
        <w:div w:id="1116172403">
          <w:marLeft w:val="640"/>
          <w:marRight w:val="0"/>
          <w:marTop w:val="0"/>
          <w:marBottom w:val="0"/>
          <w:divBdr>
            <w:top w:val="none" w:sz="0" w:space="0" w:color="auto"/>
            <w:left w:val="none" w:sz="0" w:space="0" w:color="auto"/>
            <w:bottom w:val="none" w:sz="0" w:space="0" w:color="auto"/>
            <w:right w:val="none" w:sz="0" w:space="0" w:color="auto"/>
          </w:divBdr>
        </w:div>
        <w:div w:id="1193688321">
          <w:marLeft w:val="640"/>
          <w:marRight w:val="0"/>
          <w:marTop w:val="0"/>
          <w:marBottom w:val="0"/>
          <w:divBdr>
            <w:top w:val="none" w:sz="0" w:space="0" w:color="auto"/>
            <w:left w:val="none" w:sz="0" w:space="0" w:color="auto"/>
            <w:bottom w:val="none" w:sz="0" w:space="0" w:color="auto"/>
            <w:right w:val="none" w:sz="0" w:space="0" w:color="auto"/>
          </w:divBdr>
        </w:div>
        <w:div w:id="1214266385">
          <w:marLeft w:val="640"/>
          <w:marRight w:val="0"/>
          <w:marTop w:val="0"/>
          <w:marBottom w:val="0"/>
          <w:divBdr>
            <w:top w:val="none" w:sz="0" w:space="0" w:color="auto"/>
            <w:left w:val="none" w:sz="0" w:space="0" w:color="auto"/>
            <w:bottom w:val="none" w:sz="0" w:space="0" w:color="auto"/>
            <w:right w:val="none" w:sz="0" w:space="0" w:color="auto"/>
          </w:divBdr>
        </w:div>
        <w:div w:id="1241020131">
          <w:marLeft w:val="640"/>
          <w:marRight w:val="0"/>
          <w:marTop w:val="0"/>
          <w:marBottom w:val="0"/>
          <w:divBdr>
            <w:top w:val="none" w:sz="0" w:space="0" w:color="auto"/>
            <w:left w:val="none" w:sz="0" w:space="0" w:color="auto"/>
            <w:bottom w:val="none" w:sz="0" w:space="0" w:color="auto"/>
            <w:right w:val="none" w:sz="0" w:space="0" w:color="auto"/>
          </w:divBdr>
        </w:div>
        <w:div w:id="1574318990">
          <w:marLeft w:val="640"/>
          <w:marRight w:val="0"/>
          <w:marTop w:val="0"/>
          <w:marBottom w:val="0"/>
          <w:divBdr>
            <w:top w:val="none" w:sz="0" w:space="0" w:color="auto"/>
            <w:left w:val="none" w:sz="0" w:space="0" w:color="auto"/>
            <w:bottom w:val="none" w:sz="0" w:space="0" w:color="auto"/>
            <w:right w:val="none" w:sz="0" w:space="0" w:color="auto"/>
          </w:divBdr>
        </w:div>
        <w:div w:id="1577669634">
          <w:marLeft w:val="640"/>
          <w:marRight w:val="0"/>
          <w:marTop w:val="0"/>
          <w:marBottom w:val="0"/>
          <w:divBdr>
            <w:top w:val="none" w:sz="0" w:space="0" w:color="auto"/>
            <w:left w:val="none" w:sz="0" w:space="0" w:color="auto"/>
            <w:bottom w:val="none" w:sz="0" w:space="0" w:color="auto"/>
            <w:right w:val="none" w:sz="0" w:space="0" w:color="auto"/>
          </w:divBdr>
        </w:div>
        <w:div w:id="1681736471">
          <w:marLeft w:val="640"/>
          <w:marRight w:val="0"/>
          <w:marTop w:val="0"/>
          <w:marBottom w:val="0"/>
          <w:divBdr>
            <w:top w:val="none" w:sz="0" w:space="0" w:color="auto"/>
            <w:left w:val="none" w:sz="0" w:space="0" w:color="auto"/>
            <w:bottom w:val="none" w:sz="0" w:space="0" w:color="auto"/>
            <w:right w:val="none" w:sz="0" w:space="0" w:color="auto"/>
          </w:divBdr>
        </w:div>
        <w:div w:id="1744982653">
          <w:marLeft w:val="640"/>
          <w:marRight w:val="0"/>
          <w:marTop w:val="0"/>
          <w:marBottom w:val="0"/>
          <w:divBdr>
            <w:top w:val="none" w:sz="0" w:space="0" w:color="auto"/>
            <w:left w:val="none" w:sz="0" w:space="0" w:color="auto"/>
            <w:bottom w:val="none" w:sz="0" w:space="0" w:color="auto"/>
            <w:right w:val="none" w:sz="0" w:space="0" w:color="auto"/>
          </w:divBdr>
        </w:div>
        <w:div w:id="1960912420">
          <w:marLeft w:val="640"/>
          <w:marRight w:val="0"/>
          <w:marTop w:val="0"/>
          <w:marBottom w:val="0"/>
          <w:divBdr>
            <w:top w:val="none" w:sz="0" w:space="0" w:color="auto"/>
            <w:left w:val="none" w:sz="0" w:space="0" w:color="auto"/>
            <w:bottom w:val="none" w:sz="0" w:space="0" w:color="auto"/>
            <w:right w:val="none" w:sz="0" w:space="0" w:color="auto"/>
          </w:divBdr>
        </w:div>
        <w:div w:id="1966959319">
          <w:marLeft w:val="640"/>
          <w:marRight w:val="0"/>
          <w:marTop w:val="0"/>
          <w:marBottom w:val="0"/>
          <w:divBdr>
            <w:top w:val="none" w:sz="0" w:space="0" w:color="auto"/>
            <w:left w:val="none" w:sz="0" w:space="0" w:color="auto"/>
            <w:bottom w:val="none" w:sz="0" w:space="0" w:color="auto"/>
            <w:right w:val="none" w:sz="0" w:space="0" w:color="auto"/>
          </w:divBdr>
        </w:div>
        <w:div w:id="2026789312">
          <w:marLeft w:val="640"/>
          <w:marRight w:val="0"/>
          <w:marTop w:val="0"/>
          <w:marBottom w:val="0"/>
          <w:divBdr>
            <w:top w:val="none" w:sz="0" w:space="0" w:color="auto"/>
            <w:left w:val="none" w:sz="0" w:space="0" w:color="auto"/>
            <w:bottom w:val="none" w:sz="0" w:space="0" w:color="auto"/>
            <w:right w:val="none" w:sz="0" w:space="0" w:color="auto"/>
          </w:divBdr>
        </w:div>
      </w:divsChild>
    </w:div>
    <w:div w:id="1849900960">
      <w:marLeft w:val="640"/>
      <w:marRight w:val="0"/>
      <w:marTop w:val="0"/>
      <w:marBottom w:val="0"/>
      <w:divBdr>
        <w:top w:val="none" w:sz="0" w:space="0" w:color="auto"/>
        <w:left w:val="none" w:sz="0" w:space="0" w:color="auto"/>
        <w:bottom w:val="none" w:sz="0" w:space="0" w:color="auto"/>
        <w:right w:val="none" w:sz="0" w:space="0" w:color="auto"/>
      </w:divBdr>
    </w:div>
    <w:div w:id="1851724244">
      <w:marLeft w:val="640"/>
      <w:marRight w:val="0"/>
      <w:marTop w:val="0"/>
      <w:marBottom w:val="0"/>
      <w:divBdr>
        <w:top w:val="none" w:sz="0" w:space="0" w:color="auto"/>
        <w:left w:val="none" w:sz="0" w:space="0" w:color="auto"/>
        <w:bottom w:val="none" w:sz="0" w:space="0" w:color="auto"/>
        <w:right w:val="none" w:sz="0" w:space="0" w:color="auto"/>
      </w:divBdr>
    </w:div>
    <w:div w:id="1861122666">
      <w:bodyDiv w:val="1"/>
      <w:marLeft w:val="0"/>
      <w:marRight w:val="0"/>
      <w:marTop w:val="0"/>
      <w:marBottom w:val="0"/>
      <w:divBdr>
        <w:top w:val="none" w:sz="0" w:space="0" w:color="auto"/>
        <w:left w:val="none" w:sz="0" w:space="0" w:color="auto"/>
        <w:bottom w:val="none" w:sz="0" w:space="0" w:color="auto"/>
        <w:right w:val="none" w:sz="0" w:space="0" w:color="auto"/>
      </w:divBdr>
    </w:div>
    <w:div w:id="1895191674">
      <w:bodyDiv w:val="1"/>
      <w:marLeft w:val="0"/>
      <w:marRight w:val="0"/>
      <w:marTop w:val="0"/>
      <w:marBottom w:val="0"/>
      <w:divBdr>
        <w:top w:val="none" w:sz="0" w:space="0" w:color="auto"/>
        <w:left w:val="none" w:sz="0" w:space="0" w:color="auto"/>
        <w:bottom w:val="none" w:sz="0" w:space="0" w:color="auto"/>
        <w:right w:val="none" w:sz="0" w:space="0" w:color="auto"/>
      </w:divBdr>
      <w:divsChild>
        <w:div w:id="13506771">
          <w:marLeft w:val="640"/>
          <w:marRight w:val="0"/>
          <w:marTop w:val="0"/>
          <w:marBottom w:val="0"/>
          <w:divBdr>
            <w:top w:val="none" w:sz="0" w:space="0" w:color="auto"/>
            <w:left w:val="none" w:sz="0" w:space="0" w:color="auto"/>
            <w:bottom w:val="none" w:sz="0" w:space="0" w:color="auto"/>
            <w:right w:val="none" w:sz="0" w:space="0" w:color="auto"/>
          </w:divBdr>
        </w:div>
        <w:div w:id="131555635">
          <w:marLeft w:val="640"/>
          <w:marRight w:val="0"/>
          <w:marTop w:val="0"/>
          <w:marBottom w:val="0"/>
          <w:divBdr>
            <w:top w:val="none" w:sz="0" w:space="0" w:color="auto"/>
            <w:left w:val="none" w:sz="0" w:space="0" w:color="auto"/>
            <w:bottom w:val="none" w:sz="0" w:space="0" w:color="auto"/>
            <w:right w:val="none" w:sz="0" w:space="0" w:color="auto"/>
          </w:divBdr>
        </w:div>
        <w:div w:id="250236435">
          <w:marLeft w:val="640"/>
          <w:marRight w:val="0"/>
          <w:marTop w:val="0"/>
          <w:marBottom w:val="0"/>
          <w:divBdr>
            <w:top w:val="none" w:sz="0" w:space="0" w:color="auto"/>
            <w:left w:val="none" w:sz="0" w:space="0" w:color="auto"/>
            <w:bottom w:val="none" w:sz="0" w:space="0" w:color="auto"/>
            <w:right w:val="none" w:sz="0" w:space="0" w:color="auto"/>
          </w:divBdr>
        </w:div>
        <w:div w:id="300772516">
          <w:marLeft w:val="640"/>
          <w:marRight w:val="0"/>
          <w:marTop w:val="0"/>
          <w:marBottom w:val="0"/>
          <w:divBdr>
            <w:top w:val="none" w:sz="0" w:space="0" w:color="auto"/>
            <w:left w:val="none" w:sz="0" w:space="0" w:color="auto"/>
            <w:bottom w:val="none" w:sz="0" w:space="0" w:color="auto"/>
            <w:right w:val="none" w:sz="0" w:space="0" w:color="auto"/>
          </w:divBdr>
        </w:div>
        <w:div w:id="1248732415">
          <w:marLeft w:val="640"/>
          <w:marRight w:val="0"/>
          <w:marTop w:val="0"/>
          <w:marBottom w:val="0"/>
          <w:divBdr>
            <w:top w:val="none" w:sz="0" w:space="0" w:color="auto"/>
            <w:left w:val="none" w:sz="0" w:space="0" w:color="auto"/>
            <w:bottom w:val="none" w:sz="0" w:space="0" w:color="auto"/>
            <w:right w:val="none" w:sz="0" w:space="0" w:color="auto"/>
          </w:divBdr>
        </w:div>
        <w:div w:id="1469860972">
          <w:marLeft w:val="640"/>
          <w:marRight w:val="0"/>
          <w:marTop w:val="0"/>
          <w:marBottom w:val="0"/>
          <w:divBdr>
            <w:top w:val="none" w:sz="0" w:space="0" w:color="auto"/>
            <w:left w:val="none" w:sz="0" w:space="0" w:color="auto"/>
            <w:bottom w:val="none" w:sz="0" w:space="0" w:color="auto"/>
            <w:right w:val="none" w:sz="0" w:space="0" w:color="auto"/>
          </w:divBdr>
        </w:div>
        <w:div w:id="1893426241">
          <w:marLeft w:val="640"/>
          <w:marRight w:val="0"/>
          <w:marTop w:val="0"/>
          <w:marBottom w:val="0"/>
          <w:divBdr>
            <w:top w:val="none" w:sz="0" w:space="0" w:color="auto"/>
            <w:left w:val="none" w:sz="0" w:space="0" w:color="auto"/>
            <w:bottom w:val="none" w:sz="0" w:space="0" w:color="auto"/>
            <w:right w:val="none" w:sz="0" w:space="0" w:color="auto"/>
          </w:divBdr>
        </w:div>
      </w:divsChild>
    </w:div>
    <w:div w:id="1895658788">
      <w:bodyDiv w:val="1"/>
      <w:marLeft w:val="0"/>
      <w:marRight w:val="0"/>
      <w:marTop w:val="0"/>
      <w:marBottom w:val="0"/>
      <w:divBdr>
        <w:top w:val="none" w:sz="0" w:space="0" w:color="auto"/>
        <w:left w:val="none" w:sz="0" w:space="0" w:color="auto"/>
        <w:bottom w:val="none" w:sz="0" w:space="0" w:color="auto"/>
        <w:right w:val="none" w:sz="0" w:space="0" w:color="auto"/>
      </w:divBdr>
      <w:divsChild>
        <w:div w:id="291331274">
          <w:marLeft w:val="640"/>
          <w:marRight w:val="0"/>
          <w:marTop w:val="0"/>
          <w:marBottom w:val="0"/>
          <w:divBdr>
            <w:top w:val="none" w:sz="0" w:space="0" w:color="auto"/>
            <w:left w:val="none" w:sz="0" w:space="0" w:color="auto"/>
            <w:bottom w:val="none" w:sz="0" w:space="0" w:color="auto"/>
            <w:right w:val="none" w:sz="0" w:space="0" w:color="auto"/>
          </w:divBdr>
        </w:div>
        <w:div w:id="360937557">
          <w:marLeft w:val="640"/>
          <w:marRight w:val="0"/>
          <w:marTop w:val="0"/>
          <w:marBottom w:val="0"/>
          <w:divBdr>
            <w:top w:val="none" w:sz="0" w:space="0" w:color="auto"/>
            <w:left w:val="none" w:sz="0" w:space="0" w:color="auto"/>
            <w:bottom w:val="none" w:sz="0" w:space="0" w:color="auto"/>
            <w:right w:val="none" w:sz="0" w:space="0" w:color="auto"/>
          </w:divBdr>
        </w:div>
        <w:div w:id="382874872">
          <w:marLeft w:val="640"/>
          <w:marRight w:val="0"/>
          <w:marTop w:val="0"/>
          <w:marBottom w:val="0"/>
          <w:divBdr>
            <w:top w:val="none" w:sz="0" w:space="0" w:color="auto"/>
            <w:left w:val="none" w:sz="0" w:space="0" w:color="auto"/>
            <w:bottom w:val="none" w:sz="0" w:space="0" w:color="auto"/>
            <w:right w:val="none" w:sz="0" w:space="0" w:color="auto"/>
          </w:divBdr>
        </w:div>
        <w:div w:id="390932100">
          <w:marLeft w:val="640"/>
          <w:marRight w:val="0"/>
          <w:marTop w:val="0"/>
          <w:marBottom w:val="0"/>
          <w:divBdr>
            <w:top w:val="none" w:sz="0" w:space="0" w:color="auto"/>
            <w:left w:val="none" w:sz="0" w:space="0" w:color="auto"/>
            <w:bottom w:val="none" w:sz="0" w:space="0" w:color="auto"/>
            <w:right w:val="none" w:sz="0" w:space="0" w:color="auto"/>
          </w:divBdr>
        </w:div>
        <w:div w:id="487480160">
          <w:marLeft w:val="640"/>
          <w:marRight w:val="0"/>
          <w:marTop w:val="0"/>
          <w:marBottom w:val="0"/>
          <w:divBdr>
            <w:top w:val="none" w:sz="0" w:space="0" w:color="auto"/>
            <w:left w:val="none" w:sz="0" w:space="0" w:color="auto"/>
            <w:bottom w:val="none" w:sz="0" w:space="0" w:color="auto"/>
            <w:right w:val="none" w:sz="0" w:space="0" w:color="auto"/>
          </w:divBdr>
        </w:div>
        <w:div w:id="550119248">
          <w:marLeft w:val="640"/>
          <w:marRight w:val="0"/>
          <w:marTop w:val="0"/>
          <w:marBottom w:val="0"/>
          <w:divBdr>
            <w:top w:val="none" w:sz="0" w:space="0" w:color="auto"/>
            <w:left w:val="none" w:sz="0" w:space="0" w:color="auto"/>
            <w:bottom w:val="none" w:sz="0" w:space="0" w:color="auto"/>
            <w:right w:val="none" w:sz="0" w:space="0" w:color="auto"/>
          </w:divBdr>
        </w:div>
        <w:div w:id="576673576">
          <w:marLeft w:val="640"/>
          <w:marRight w:val="0"/>
          <w:marTop w:val="0"/>
          <w:marBottom w:val="0"/>
          <w:divBdr>
            <w:top w:val="none" w:sz="0" w:space="0" w:color="auto"/>
            <w:left w:val="none" w:sz="0" w:space="0" w:color="auto"/>
            <w:bottom w:val="none" w:sz="0" w:space="0" w:color="auto"/>
            <w:right w:val="none" w:sz="0" w:space="0" w:color="auto"/>
          </w:divBdr>
        </w:div>
        <w:div w:id="583028263">
          <w:marLeft w:val="640"/>
          <w:marRight w:val="0"/>
          <w:marTop w:val="0"/>
          <w:marBottom w:val="0"/>
          <w:divBdr>
            <w:top w:val="none" w:sz="0" w:space="0" w:color="auto"/>
            <w:left w:val="none" w:sz="0" w:space="0" w:color="auto"/>
            <w:bottom w:val="none" w:sz="0" w:space="0" w:color="auto"/>
            <w:right w:val="none" w:sz="0" w:space="0" w:color="auto"/>
          </w:divBdr>
        </w:div>
        <w:div w:id="600258790">
          <w:marLeft w:val="640"/>
          <w:marRight w:val="0"/>
          <w:marTop w:val="0"/>
          <w:marBottom w:val="0"/>
          <w:divBdr>
            <w:top w:val="none" w:sz="0" w:space="0" w:color="auto"/>
            <w:left w:val="none" w:sz="0" w:space="0" w:color="auto"/>
            <w:bottom w:val="none" w:sz="0" w:space="0" w:color="auto"/>
            <w:right w:val="none" w:sz="0" w:space="0" w:color="auto"/>
          </w:divBdr>
        </w:div>
        <w:div w:id="676274583">
          <w:marLeft w:val="640"/>
          <w:marRight w:val="0"/>
          <w:marTop w:val="0"/>
          <w:marBottom w:val="0"/>
          <w:divBdr>
            <w:top w:val="none" w:sz="0" w:space="0" w:color="auto"/>
            <w:left w:val="none" w:sz="0" w:space="0" w:color="auto"/>
            <w:bottom w:val="none" w:sz="0" w:space="0" w:color="auto"/>
            <w:right w:val="none" w:sz="0" w:space="0" w:color="auto"/>
          </w:divBdr>
        </w:div>
        <w:div w:id="1043871713">
          <w:marLeft w:val="640"/>
          <w:marRight w:val="0"/>
          <w:marTop w:val="0"/>
          <w:marBottom w:val="0"/>
          <w:divBdr>
            <w:top w:val="none" w:sz="0" w:space="0" w:color="auto"/>
            <w:left w:val="none" w:sz="0" w:space="0" w:color="auto"/>
            <w:bottom w:val="none" w:sz="0" w:space="0" w:color="auto"/>
            <w:right w:val="none" w:sz="0" w:space="0" w:color="auto"/>
          </w:divBdr>
        </w:div>
        <w:div w:id="1378240050">
          <w:marLeft w:val="640"/>
          <w:marRight w:val="0"/>
          <w:marTop w:val="0"/>
          <w:marBottom w:val="0"/>
          <w:divBdr>
            <w:top w:val="none" w:sz="0" w:space="0" w:color="auto"/>
            <w:left w:val="none" w:sz="0" w:space="0" w:color="auto"/>
            <w:bottom w:val="none" w:sz="0" w:space="0" w:color="auto"/>
            <w:right w:val="none" w:sz="0" w:space="0" w:color="auto"/>
          </w:divBdr>
        </w:div>
        <w:div w:id="1515460561">
          <w:marLeft w:val="640"/>
          <w:marRight w:val="0"/>
          <w:marTop w:val="0"/>
          <w:marBottom w:val="0"/>
          <w:divBdr>
            <w:top w:val="none" w:sz="0" w:space="0" w:color="auto"/>
            <w:left w:val="none" w:sz="0" w:space="0" w:color="auto"/>
            <w:bottom w:val="none" w:sz="0" w:space="0" w:color="auto"/>
            <w:right w:val="none" w:sz="0" w:space="0" w:color="auto"/>
          </w:divBdr>
        </w:div>
        <w:div w:id="1633246554">
          <w:marLeft w:val="640"/>
          <w:marRight w:val="0"/>
          <w:marTop w:val="0"/>
          <w:marBottom w:val="0"/>
          <w:divBdr>
            <w:top w:val="none" w:sz="0" w:space="0" w:color="auto"/>
            <w:left w:val="none" w:sz="0" w:space="0" w:color="auto"/>
            <w:bottom w:val="none" w:sz="0" w:space="0" w:color="auto"/>
            <w:right w:val="none" w:sz="0" w:space="0" w:color="auto"/>
          </w:divBdr>
        </w:div>
        <w:div w:id="1779058694">
          <w:marLeft w:val="640"/>
          <w:marRight w:val="0"/>
          <w:marTop w:val="0"/>
          <w:marBottom w:val="0"/>
          <w:divBdr>
            <w:top w:val="none" w:sz="0" w:space="0" w:color="auto"/>
            <w:left w:val="none" w:sz="0" w:space="0" w:color="auto"/>
            <w:bottom w:val="none" w:sz="0" w:space="0" w:color="auto"/>
            <w:right w:val="none" w:sz="0" w:space="0" w:color="auto"/>
          </w:divBdr>
        </w:div>
        <w:div w:id="1969316919">
          <w:marLeft w:val="640"/>
          <w:marRight w:val="0"/>
          <w:marTop w:val="0"/>
          <w:marBottom w:val="0"/>
          <w:divBdr>
            <w:top w:val="none" w:sz="0" w:space="0" w:color="auto"/>
            <w:left w:val="none" w:sz="0" w:space="0" w:color="auto"/>
            <w:bottom w:val="none" w:sz="0" w:space="0" w:color="auto"/>
            <w:right w:val="none" w:sz="0" w:space="0" w:color="auto"/>
          </w:divBdr>
        </w:div>
      </w:divsChild>
    </w:div>
    <w:div w:id="1903784200">
      <w:marLeft w:val="640"/>
      <w:marRight w:val="0"/>
      <w:marTop w:val="0"/>
      <w:marBottom w:val="0"/>
      <w:divBdr>
        <w:top w:val="none" w:sz="0" w:space="0" w:color="auto"/>
        <w:left w:val="none" w:sz="0" w:space="0" w:color="auto"/>
        <w:bottom w:val="none" w:sz="0" w:space="0" w:color="auto"/>
        <w:right w:val="none" w:sz="0" w:space="0" w:color="auto"/>
      </w:divBdr>
    </w:div>
    <w:div w:id="1919748551">
      <w:bodyDiv w:val="1"/>
      <w:marLeft w:val="0"/>
      <w:marRight w:val="0"/>
      <w:marTop w:val="0"/>
      <w:marBottom w:val="0"/>
      <w:divBdr>
        <w:top w:val="none" w:sz="0" w:space="0" w:color="auto"/>
        <w:left w:val="none" w:sz="0" w:space="0" w:color="auto"/>
        <w:bottom w:val="none" w:sz="0" w:space="0" w:color="auto"/>
        <w:right w:val="none" w:sz="0" w:space="0" w:color="auto"/>
      </w:divBdr>
    </w:div>
    <w:div w:id="1927495407">
      <w:marLeft w:val="640"/>
      <w:marRight w:val="0"/>
      <w:marTop w:val="0"/>
      <w:marBottom w:val="0"/>
      <w:divBdr>
        <w:top w:val="none" w:sz="0" w:space="0" w:color="auto"/>
        <w:left w:val="none" w:sz="0" w:space="0" w:color="auto"/>
        <w:bottom w:val="none" w:sz="0" w:space="0" w:color="auto"/>
        <w:right w:val="none" w:sz="0" w:space="0" w:color="auto"/>
      </w:divBdr>
    </w:div>
    <w:div w:id="1932737285">
      <w:bodyDiv w:val="1"/>
      <w:marLeft w:val="0"/>
      <w:marRight w:val="0"/>
      <w:marTop w:val="0"/>
      <w:marBottom w:val="0"/>
      <w:divBdr>
        <w:top w:val="none" w:sz="0" w:space="0" w:color="auto"/>
        <w:left w:val="none" w:sz="0" w:space="0" w:color="auto"/>
        <w:bottom w:val="none" w:sz="0" w:space="0" w:color="auto"/>
        <w:right w:val="none" w:sz="0" w:space="0" w:color="auto"/>
      </w:divBdr>
    </w:div>
    <w:div w:id="1934244045">
      <w:marLeft w:val="640"/>
      <w:marRight w:val="0"/>
      <w:marTop w:val="0"/>
      <w:marBottom w:val="0"/>
      <w:divBdr>
        <w:top w:val="none" w:sz="0" w:space="0" w:color="auto"/>
        <w:left w:val="none" w:sz="0" w:space="0" w:color="auto"/>
        <w:bottom w:val="none" w:sz="0" w:space="0" w:color="auto"/>
        <w:right w:val="none" w:sz="0" w:space="0" w:color="auto"/>
      </w:divBdr>
    </w:div>
    <w:div w:id="1939362516">
      <w:marLeft w:val="640"/>
      <w:marRight w:val="0"/>
      <w:marTop w:val="0"/>
      <w:marBottom w:val="0"/>
      <w:divBdr>
        <w:top w:val="none" w:sz="0" w:space="0" w:color="auto"/>
        <w:left w:val="none" w:sz="0" w:space="0" w:color="auto"/>
        <w:bottom w:val="none" w:sz="0" w:space="0" w:color="auto"/>
        <w:right w:val="none" w:sz="0" w:space="0" w:color="auto"/>
      </w:divBdr>
    </w:div>
    <w:div w:id="1941067124">
      <w:marLeft w:val="640"/>
      <w:marRight w:val="0"/>
      <w:marTop w:val="0"/>
      <w:marBottom w:val="0"/>
      <w:divBdr>
        <w:top w:val="none" w:sz="0" w:space="0" w:color="auto"/>
        <w:left w:val="none" w:sz="0" w:space="0" w:color="auto"/>
        <w:bottom w:val="none" w:sz="0" w:space="0" w:color="auto"/>
        <w:right w:val="none" w:sz="0" w:space="0" w:color="auto"/>
      </w:divBdr>
    </w:div>
    <w:div w:id="1941644695">
      <w:marLeft w:val="640"/>
      <w:marRight w:val="0"/>
      <w:marTop w:val="0"/>
      <w:marBottom w:val="0"/>
      <w:divBdr>
        <w:top w:val="none" w:sz="0" w:space="0" w:color="auto"/>
        <w:left w:val="none" w:sz="0" w:space="0" w:color="auto"/>
        <w:bottom w:val="none" w:sz="0" w:space="0" w:color="auto"/>
        <w:right w:val="none" w:sz="0" w:space="0" w:color="auto"/>
      </w:divBdr>
    </w:div>
    <w:div w:id="1947030732">
      <w:marLeft w:val="640"/>
      <w:marRight w:val="0"/>
      <w:marTop w:val="0"/>
      <w:marBottom w:val="0"/>
      <w:divBdr>
        <w:top w:val="none" w:sz="0" w:space="0" w:color="auto"/>
        <w:left w:val="none" w:sz="0" w:space="0" w:color="auto"/>
        <w:bottom w:val="none" w:sz="0" w:space="0" w:color="auto"/>
        <w:right w:val="none" w:sz="0" w:space="0" w:color="auto"/>
      </w:divBdr>
    </w:div>
    <w:div w:id="1950813819">
      <w:bodyDiv w:val="1"/>
      <w:marLeft w:val="0"/>
      <w:marRight w:val="0"/>
      <w:marTop w:val="0"/>
      <w:marBottom w:val="0"/>
      <w:divBdr>
        <w:top w:val="none" w:sz="0" w:space="0" w:color="auto"/>
        <w:left w:val="none" w:sz="0" w:space="0" w:color="auto"/>
        <w:bottom w:val="none" w:sz="0" w:space="0" w:color="auto"/>
        <w:right w:val="none" w:sz="0" w:space="0" w:color="auto"/>
      </w:divBdr>
      <w:divsChild>
        <w:div w:id="83649088">
          <w:marLeft w:val="640"/>
          <w:marRight w:val="0"/>
          <w:marTop w:val="0"/>
          <w:marBottom w:val="0"/>
          <w:divBdr>
            <w:top w:val="none" w:sz="0" w:space="0" w:color="auto"/>
            <w:left w:val="none" w:sz="0" w:space="0" w:color="auto"/>
            <w:bottom w:val="none" w:sz="0" w:space="0" w:color="auto"/>
            <w:right w:val="none" w:sz="0" w:space="0" w:color="auto"/>
          </w:divBdr>
        </w:div>
        <w:div w:id="163395138">
          <w:marLeft w:val="640"/>
          <w:marRight w:val="0"/>
          <w:marTop w:val="0"/>
          <w:marBottom w:val="0"/>
          <w:divBdr>
            <w:top w:val="none" w:sz="0" w:space="0" w:color="auto"/>
            <w:left w:val="none" w:sz="0" w:space="0" w:color="auto"/>
            <w:bottom w:val="none" w:sz="0" w:space="0" w:color="auto"/>
            <w:right w:val="none" w:sz="0" w:space="0" w:color="auto"/>
          </w:divBdr>
        </w:div>
        <w:div w:id="196428723">
          <w:marLeft w:val="640"/>
          <w:marRight w:val="0"/>
          <w:marTop w:val="0"/>
          <w:marBottom w:val="0"/>
          <w:divBdr>
            <w:top w:val="none" w:sz="0" w:space="0" w:color="auto"/>
            <w:left w:val="none" w:sz="0" w:space="0" w:color="auto"/>
            <w:bottom w:val="none" w:sz="0" w:space="0" w:color="auto"/>
            <w:right w:val="none" w:sz="0" w:space="0" w:color="auto"/>
          </w:divBdr>
        </w:div>
        <w:div w:id="285891443">
          <w:marLeft w:val="640"/>
          <w:marRight w:val="0"/>
          <w:marTop w:val="0"/>
          <w:marBottom w:val="0"/>
          <w:divBdr>
            <w:top w:val="none" w:sz="0" w:space="0" w:color="auto"/>
            <w:left w:val="none" w:sz="0" w:space="0" w:color="auto"/>
            <w:bottom w:val="none" w:sz="0" w:space="0" w:color="auto"/>
            <w:right w:val="none" w:sz="0" w:space="0" w:color="auto"/>
          </w:divBdr>
        </w:div>
        <w:div w:id="301885192">
          <w:marLeft w:val="640"/>
          <w:marRight w:val="0"/>
          <w:marTop w:val="0"/>
          <w:marBottom w:val="0"/>
          <w:divBdr>
            <w:top w:val="none" w:sz="0" w:space="0" w:color="auto"/>
            <w:left w:val="none" w:sz="0" w:space="0" w:color="auto"/>
            <w:bottom w:val="none" w:sz="0" w:space="0" w:color="auto"/>
            <w:right w:val="none" w:sz="0" w:space="0" w:color="auto"/>
          </w:divBdr>
        </w:div>
        <w:div w:id="458307278">
          <w:marLeft w:val="640"/>
          <w:marRight w:val="0"/>
          <w:marTop w:val="0"/>
          <w:marBottom w:val="0"/>
          <w:divBdr>
            <w:top w:val="none" w:sz="0" w:space="0" w:color="auto"/>
            <w:left w:val="none" w:sz="0" w:space="0" w:color="auto"/>
            <w:bottom w:val="none" w:sz="0" w:space="0" w:color="auto"/>
            <w:right w:val="none" w:sz="0" w:space="0" w:color="auto"/>
          </w:divBdr>
        </w:div>
        <w:div w:id="563687610">
          <w:marLeft w:val="640"/>
          <w:marRight w:val="0"/>
          <w:marTop w:val="0"/>
          <w:marBottom w:val="0"/>
          <w:divBdr>
            <w:top w:val="none" w:sz="0" w:space="0" w:color="auto"/>
            <w:left w:val="none" w:sz="0" w:space="0" w:color="auto"/>
            <w:bottom w:val="none" w:sz="0" w:space="0" w:color="auto"/>
            <w:right w:val="none" w:sz="0" w:space="0" w:color="auto"/>
          </w:divBdr>
        </w:div>
        <w:div w:id="695273939">
          <w:marLeft w:val="640"/>
          <w:marRight w:val="0"/>
          <w:marTop w:val="0"/>
          <w:marBottom w:val="0"/>
          <w:divBdr>
            <w:top w:val="none" w:sz="0" w:space="0" w:color="auto"/>
            <w:left w:val="none" w:sz="0" w:space="0" w:color="auto"/>
            <w:bottom w:val="none" w:sz="0" w:space="0" w:color="auto"/>
            <w:right w:val="none" w:sz="0" w:space="0" w:color="auto"/>
          </w:divBdr>
        </w:div>
        <w:div w:id="868447711">
          <w:marLeft w:val="640"/>
          <w:marRight w:val="0"/>
          <w:marTop w:val="0"/>
          <w:marBottom w:val="0"/>
          <w:divBdr>
            <w:top w:val="none" w:sz="0" w:space="0" w:color="auto"/>
            <w:left w:val="none" w:sz="0" w:space="0" w:color="auto"/>
            <w:bottom w:val="none" w:sz="0" w:space="0" w:color="auto"/>
            <w:right w:val="none" w:sz="0" w:space="0" w:color="auto"/>
          </w:divBdr>
        </w:div>
        <w:div w:id="932781444">
          <w:marLeft w:val="640"/>
          <w:marRight w:val="0"/>
          <w:marTop w:val="0"/>
          <w:marBottom w:val="0"/>
          <w:divBdr>
            <w:top w:val="none" w:sz="0" w:space="0" w:color="auto"/>
            <w:left w:val="none" w:sz="0" w:space="0" w:color="auto"/>
            <w:bottom w:val="none" w:sz="0" w:space="0" w:color="auto"/>
            <w:right w:val="none" w:sz="0" w:space="0" w:color="auto"/>
          </w:divBdr>
        </w:div>
        <w:div w:id="1114638896">
          <w:marLeft w:val="640"/>
          <w:marRight w:val="0"/>
          <w:marTop w:val="0"/>
          <w:marBottom w:val="0"/>
          <w:divBdr>
            <w:top w:val="none" w:sz="0" w:space="0" w:color="auto"/>
            <w:left w:val="none" w:sz="0" w:space="0" w:color="auto"/>
            <w:bottom w:val="none" w:sz="0" w:space="0" w:color="auto"/>
            <w:right w:val="none" w:sz="0" w:space="0" w:color="auto"/>
          </w:divBdr>
        </w:div>
        <w:div w:id="1187476216">
          <w:marLeft w:val="640"/>
          <w:marRight w:val="0"/>
          <w:marTop w:val="0"/>
          <w:marBottom w:val="0"/>
          <w:divBdr>
            <w:top w:val="none" w:sz="0" w:space="0" w:color="auto"/>
            <w:left w:val="none" w:sz="0" w:space="0" w:color="auto"/>
            <w:bottom w:val="none" w:sz="0" w:space="0" w:color="auto"/>
            <w:right w:val="none" w:sz="0" w:space="0" w:color="auto"/>
          </w:divBdr>
        </w:div>
        <w:div w:id="1253972040">
          <w:marLeft w:val="640"/>
          <w:marRight w:val="0"/>
          <w:marTop w:val="0"/>
          <w:marBottom w:val="0"/>
          <w:divBdr>
            <w:top w:val="none" w:sz="0" w:space="0" w:color="auto"/>
            <w:left w:val="none" w:sz="0" w:space="0" w:color="auto"/>
            <w:bottom w:val="none" w:sz="0" w:space="0" w:color="auto"/>
            <w:right w:val="none" w:sz="0" w:space="0" w:color="auto"/>
          </w:divBdr>
        </w:div>
        <w:div w:id="1510952189">
          <w:marLeft w:val="640"/>
          <w:marRight w:val="0"/>
          <w:marTop w:val="0"/>
          <w:marBottom w:val="0"/>
          <w:divBdr>
            <w:top w:val="none" w:sz="0" w:space="0" w:color="auto"/>
            <w:left w:val="none" w:sz="0" w:space="0" w:color="auto"/>
            <w:bottom w:val="none" w:sz="0" w:space="0" w:color="auto"/>
            <w:right w:val="none" w:sz="0" w:space="0" w:color="auto"/>
          </w:divBdr>
        </w:div>
        <w:div w:id="1768034712">
          <w:marLeft w:val="640"/>
          <w:marRight w:val="0"/>
          <w:marTop w:val="0"/>
          <w:marBottom w:val="0"/>
          <w:divBdr>
            <w:top w:val="none" w:sz="0" w:space="0" w:color="auto"/>
            <w:left w:val="none" w:sz="0" w:space="0" w:color="auto"/>
            <w:bottom w:val="none" w:sz="0" w:space="0" w:color="auto"/>
            <w:right w:val="none" w:sz="0" w:space="0" w:color="auto"/>
          </w:divBdr>
        </w:div>
        <w:div w:id="1835680142">
          <w:marLeft w:val="640"/>
          <w:marRight w:val="0"/>
          <w:marTop w:val="0"/>
          <w:marBottom w:val="0"/>
          <w:divBdr>
            <w:top w:val="none" w:sz="0" w:space="0" w:color="auto"/>
            <w:left w:val="none" w:sz="0" w:space="0" w:color="auto"/>
            <w:bottom w:val="none" w:sz="0" w:space="0" w:color="auto"/>
            <w:right w:val="none" w:sz="0" w:space="0" w:color="auto"/>
          </w:divBdr>
        </w:div>
      </w:divsChild>
    </w:div>
    <w:div w:id="1954289183">
      <w:marLeft w:val="640"/>
      <w:marRight w:val="0"/>
      <w:marTop w:val="0"/>
      <w:marBottom w:val="0"/>
      <w:divBdr>
        <w:top w:val="none" w:sz="0" w:space="0" w:color="auto"/>
        <w:left w:val="none" w:sz="0" w:space="0" w:color="auto"/>
        <w:bottom w:val="none" w:sz="0" w:space="0" w:color="auto"/>
        <w:right w:val="none" w:sz="0" w:space="0" w:color="auto"/>
      </w:divBdr>
    </w:div>
    <w:div w:id="1958364756">
      <w:marLeft w:val="640"/>
      <w:marRight w:val="0"/>
      <w:marTop w:val="0"/>
      <w:marBottom w:val="0"/>
      <w:divBdr>
        <w:top w:val="none" w:sz="0" w:space="0" w:color="auto"/>
        <w:left w:val="none" w:sz="0" w:space="0" w:color="auto"/>
        <w:bottom w:val="none" w:sz="0" w:space="0" w:color="auto"/>
        <w:right w:val="none" w:sz="0" w:space="0" w:color="auto"/>
      </w:divBdr>
    </w:div>
    <w:div w:id="1969385419">
      <w:bodyDiv w:val="1"/>
      <w:marLeft w:val="0"/>
      <w:marRight w:val="0"/>
      <w:marTop w:val="0"/>
      <w:marBottom w:val="0"/>
      <w:divBdr>
        <w:top w:val="none" w:sz="0" w:space="0" w:color="auto"/>
        <w:left w:val="none" w:sz="0" w:space="0" w:color="auto"/>
        <w:bottom w:val="none" w:sz="0" w:space="0" w:color="auto"/>
        <w:right w:val="none" w:sz="0" w:space="0" w:color="auto"/>
      </w:divBdr>
      <w:divsChild>
        <w:div w:id="38364627">
          <w:marLeft w:val="640"/>
          <w:marRight w:val="0"/>
          <w:marTop w:val="0"/>
          <w:marBottom w:val="0"/>
          <w:divBdr>
            <w:top w:val="none" w:sz="0" w:space="0" w:color="auto"/>
            <w:left w:val="none" w:sz="0" w:space="0" w:color="auto"/>
            <w:bottom w:val="none" w:sz="0" w:space="0" w:color="auto"/>
            <w:right w:val="none" w:sz="0" w:space="0" w:color="auto"/>
          </w:divBdr>
        </w:div>
        <w:div w:id="132716962">
          <w:marLeft w:val="640"/>
          <w:marRight w:val="0"/>
          <w:marTop w:val="0"/>
          <w:marBottom w:val="0"/>
          <w:divBdr>
            <w:top w:val="none" w:sz="0" w:space="0" w:color="auto"/>
            <w:left w:val="none" w:sz="0" w:space="0" w:color="auto"/>
            <w:bottom w:val="none" w:sz="0" w:space="0" w:color="auto"/>
            <w:right w:val="none" w:sz="0" w:space="0" w:color="auto"/>
          </w:divBdr>
        </w:div>
        <w:div w:id="143670457">
          <w:marLeft w:val="640"/>
          <w:marRight w:val="0"/>
          <w:marTop w:val="0"/>
          <w:marBottom w:val="0"/>
          <w:divBdr>
            <w:top w:val="none" w:sz="0" w:space="0" w:color="auto"/>
            <w:left w:val="none" w:sz="0" w:space="0" w:color="auto"/>
            <w:bottom w:val="none" w:sz="0" w:space="0" w:color="auto"/>
            <w:right w:val="none" w:sz="0" w:space="0" w:color="auto"/>
          </w:divBdr>
        </w:div>
        <w:div w:id="274140912">
          <w:marLeft w:val="640"/>
          <w:marRight w:val="0"/>
          <w:marTop w:val="0"/>
          <w:marBottom w:val="0"/>
          <w:divBdr>
            <w:top w:val="none" w:sz="0" w:space="0" w:color="auto"/>
            <w:left w:val="none" w:sz="0" w:space="0" w:color="auto"/>
            <w:bottom w:val="none" w:sz="0" w:space="0" w:color="auto"/>
            <w:right w:val="none" w:sz="0" w:space="0" w:color="auto"/>
          </w:divBdr>
        </w:div>
        <w:div w:id="334503018">
          <w:marLeft w:val="640"/>
          <w:marRight w:val="0"/>
          <w:marTop w:val="0"/>
          <w:marBottom w:val="0"/>
          <w:divBdr>
            <w:top w:val="none" w:sz="0" w:space="0" w:color="auto"/>
            <w:left w:val="none" w:sz="0" w:space="0" w:color="auto"/>
            <w:bottom w:val="none" w:sz="0" w:space="0" w:color="auto"/>
            <w:right w:val="none" w:sz="0" w:space="0" w:color="auto"/>
          </w:divBdr>
        </w:div>
        <w:div w:id="449013380">
          <w:marLeft w:val="640"/>
          <w:marRight w:val="0"/>
          <w:marTop w:val="0"/>
          <w:marBottom w:val="0"/>
          <w:divBdr>
            <w:top w:val="none" w:sz="0" w:space="0" w:color="auto"/>
            <w:left w:val="none" w:sz="0" w:space="0" w:color="auto"/>
            <w:bottom w:val="none" w:sz="0" w:space="0" w:color="auto"/>
            <w:right w:val="none" w:sz="0" w:space="0" w:color="auto"/>
          </w:divBdr>
        </w:div>
        <w:div w:id="623581802">
          <w:marLeft w:val="640"/>
          <w:marRight w:val="0"/>
          <w:marTop w:val="0"/>
          <w:marBottom w:val="0"/>
          <w:divBdr>
            <w:top w:val="none" w:sz="0" w:space="0" w:color="auto"/>
            <w:left w:val="none" w:sz="0" w:space="0" w:color="auto"/>
            <w:bottom w:val="none" w:sz="0" w:space="0" w:color="auto"/>
            <w:right w:val="none" w:sz="0" w:space="0" w:color="auto"/>
          </w:divBdr>
        </w:div>
        <w:div w:id="627276236">
          <w:marLeft w:val="640"/>
          <w:marRight w:val="0"/>
          <w:marTop w:val="0"/>
          <w:marBottom w:val="0"/>
          <w:divBdr>
            <w:top w:val="none" w:sz="0" w:space="0" w:color="auto"/>
            <w:left w:val="none" w:sz="0" w:space="0" w:color="auto"/>
            <w:bottom w:val="none" w:sz="0" w:space="0" w:color="auto"/>
            <w:right w:val="none" w:sz="0" w:space="0" w:color="auto"/>
          </w:divBdr>
        </w:div>
        <w:div w:id="678312768">
          <w:marLeft w:val="640"/>
          <w:marRight w:val="0"/>
          <w:marTop w:val="0"/>
          <w:marBottom w:val="0"/>
          <w:divBdr>
            <w:top w:val="none" w:sz="0" w:space="0" w:color="auto"/>
            <w:left w:val="none" w:sz="0" w:space="0" w:color="auto"/>
            <w:bottom w:val="none" w:sz="0" w:space="0" w:color="auto"/>
            <w:right w:val="none" w:sz="0" w:space="0" w:color="auto"/>
          </w:divBdr>
        </w:div>
        <w:div w:id="767316528">
          <w:marLeft w:val="640"/>
          <w:marRight w:val="0"/>
          <w:marTop w:val="0"/>
          <w:marBottom w:val="0"/>
          <w:divBdr>
            <w:top w:val="none" w:sz="0" w:space="0" w:color="auto"/>
            <w:left w:val="none" w:sz="0" w:space="0" w:color="auto"/>
            <w:bottom w:val="none" w:sz="0" w:space="0" w:color="auto"/>
            <w:right w:val="none" w:sz="0" w:space="0" w:color="auto"/>
          </w:divBdr>
        </w:div>
        <w:div w:id="947854495">
          <w:marLeft w:val="640"/>
          <w:marRight w:val="0"/>
          <w:marTop w:val="0"/>
          <w:marBottom w:val="0"/>
          <w:divBdr>
            <w:top w:val="none" w:sz="0" w:space="0" w:color="auto"/>
            <w:left w:val="none" w:sz="0" w:space="0" w:color="auto"/>
            <w:bottom w:val="none" w:sz="0" w:space="0" w:color="auto"/>
            <w:right w:val="none" w:sz="0" w:space="0" w:color="auto"/>
          </w:divBdr>
        </w:div>
        <w:div w:id="964044031">
          <w:marLeft w:val="640"/>
          <w:marRight w:val="0"/>
          <w:marTop w:val="0"/>
          <w:marBottom w:val="0"/>
          <w:divBdr>
            <w:top w:val="none" w:sz="0" w:space="0" w:color="auto"/>
            <w:left w:val="none" w:sz="0" w:space="0" w:color="auto"/>
            <w:bottom w:val="none" w:sz="0" w:space="0" w:color="auto"/>
            <w:right w:val="none" w:sz="0" w:space="0" w:color="auto"/>
          </w:divBdr>
        </w:div>
        <w:div w:id="1060783409">
          <w:marLeft w:val="640"/>
          <w:marRight w:val="0"/>
          <w:marTop w:val="0"/>
          <w:marBottom w:val="0"/>
          <w:divBdr>
            <w:top w:val="none" w:sz="0" w:space="0" w:color="auto"/>
            <w:left w:val="none" w:sz="0" w:space="0" w:color="auto"/>
            <w:bottom w:val="none" w:sz="0" w:space="0" w:color="auto"/>
            <w:right w:val="none" w:sz="0" w:space="0" w:color="auto"/>
          </w:divBdr>
        </w:div>
        <w:div w:id="1180123449">
          <w:marLeft w:val="640"/>
          <w:marRight w:val="0"/>
          <w:marTop w:val="0"/>
          <w:marBottom w:val="0"/>
          <w:divBdr>
            <w:top w:val="none" w:sz="0" w:space="0" w:color="auto"/>
            <w:left w:val="none" w:sz="0" w:space="0" w:color="auto"/>
            <w:bottom w:val="none" w:sz="0" w:space="0" w:color="auto"/>
            <w:right w:val="none" w:sz="0" w:space="0" w:color="auto"/>
          </w:divBdr>
        </w:div>
        <w:div w:id="1330791579">
          <w:marLeft w:val="640"/>
          <w:marRight w:val="0"/>
          <w:marTop w:val="0"/>
          <w:marBottom w:val="0"/>
          <w:divBdr>
            <w:top w:val="none" w:sz="0" w:space="0" w:color="auto"/>
            <w:left w:val="none" w:sz="0" w:space="0" w:color="auto"/>
            <w:bottom w:val="none" w:sz="0" w:space="0" w:color="auto"/>
            <w:right w:val="none" w:sz="0" w:space="0" w:color="auto"/>
          </w:divBdr>
        </w:div>
      </w:divsChild>
    </w:div>
    <w:div w:id="1989673471">
      <w:bodyDiv w:val="1"/>
      <w:marLeft w:val="0"/>
      <w:marRight w:val="0"/>
      <w:marTop w:val="0"/>
      <w:marBottom w:val="0"/>
      <w:divBdr>
        <w:top w:val="none" w:sz="0" w:space="0" w:color="auto"/>
        <w:left w:val="none" w:sz="0" w:space="0" w:color="auto"/>
        <w:bottom w:val="none" w:sz="0" w:space="0" w:color="auto"/>
        <w:right w:val="none" w:sz="0" w:space="0" w:color="auto"/>
      </w:divBdr>
      <w:divsChild>
        <w:div w:id="283580180">
          <w:marLeft w:val="640"/>
          <w:marRight w:val="0"/>
          <w:marTop w:val="0"/>
          <w:marBottom w:val="0"/>
          <w:divBdr>
            <w:top w:val="none" w:sz="0" w:space="0" w:color="auto"/>
            <w:left w:val="none" w:sz="0" w:space="0" w:color="auto"/>
            <w:bottom w:val="none" w:sz="0" w:space="0" w:color="auto"/>
            <w:right w:val="none" w:sz="0" w:space="0" w:color="auto"/>
          </w:divBdr>
        </w:div>
        <w:div w:id="584459368">
          <w:marLeft w:val="640"/>
          <w:marRight w:val="0"/>
          <w:marTop w:val="0"/>
          <w:marBottom w:val="0"/>
          <w:divBdr>
            <w:top w:val="none" w:sz="0" w:space="0" w:color="auto"/>
            <w:left w:val="none" w:sz="0" w:space="0" w:color="auto"/>
            <w:bottom w:val="none" w:sz="0" w:space="0" w:color="auto"/>
            <w:right w:val="none" w:sz="0" w:space="0" w:color="auto"/>
          </w:divBdr>
        </w:div>
        <w:div w:id="635840222">
          <w:marLeft w:val="640"/>
          <w:marRight w:val="0"/>
          <w:marTop w:val="0"/>
          <w:marBottom w:val="0"/>
          <w:divBdr>
            <w:top w:val="none" w:sz="0" w:space="0" w:color="auto"/>
            <w:left w:val="none" w:sz="0" w:space="0" w:color="auto"/>
            <w:bottom w:val="none" w:sz="0" w:space="0" w:color="auto"/>
            <w:right w:val="none" w:sz="0" w:space="0" w:color="auto"/>
          </w:divBdr>
        </w:div>
        <w:div w:id="815295985">
          <w:marLeft w:val="640"/>
          <w:marRight w:val="0"/>
          <w:marTop w:val="0"/>
          <w:marBottom w:val="0"/>
          <w:divBdr>
            <w:top w:val="none" w:sz="0" w:space="0" w:color="auto"/>
            <w:left w:val="none" w:sz="0" w:space="0" w:color="auto"/>
            <w:bottom w:val="none" w:sz="0" w:space="0" w:color="auto"/>
            <w:right w:val="none" w:sz="0" w:space="0" w:color="auto"/>
          </w:divBdr>
        </w:div>
        <w:div w:id="1020200341">
          <w:marLeft w:val="640"/>
          <w:marRight w:val="0"/>
          <w:marTop w:val="0"/>
          <w:marBottom w:val="0"/>
          <w:divBdr>
            <w:top w:val="none" w:sz="0" w:space="0" w:color="auto"/>
            <w:left w:val="none" w:sz="0" w:space="0" w:color="auto"/>
            <w:bottom w:val="none" w:sz="0" w:space="0" w:color="auto"/>
            <w:right w:val="none" w:sz="0" w:space="0" w:color="auto"/>
          </w:divBdr>
        </w:div>
        <w:div w:id="1088500975">
          <w:marLeft w:val="640"/>
          <w:marRight w:val="0"/>
          <w:marTop w:val="0"/>
          <w:marBottom w:val="0"/>
          <w:divBdr>
            <w:top w:val="none" w:sz="0" w:space="0" w:color="auto"/>
            <w:left w:val="none" w:sz="0" w:space="0" w:color="auto"/>
            <w:bottom w:val="none" w:sz="0" w:space="0" w:color="auto"/>
            <w:right w:val="none" w:sz="0" w:space="0" w:color="auto"/>
          </w:divBdr>
        </w:div>
        <w:div w:id="1257980295">
          <w:marLeft w:val="640"/>
          <w:marRight w:val="0"/>
          <w:marTop w:val="0"/>
          <w:marBottom w:val="0"/>
          <w:divBdr>
            <w:top w:val="none" w:sz="0" w:space="0" w:color="auto"/>
            <w:left w:val="none" w:sz="0" w:space="0" w:color="auto"/>
            <w:bottom w:val="none" w:sz="0" w:space="0" w:color="auto"/>
            <w:right w:val="none" w:sz="0" w:space="0" w:color="auto"/>
          </w:divBdr>
        </w:div>
        <w:div w:id="1283071044">
          <w:marLeft w:val="640"/>
          <w:marRight w:val="0"/>
          <w:marTop w:val="0"/>
          <w:marBottom w:val="0"/>
          <w:divBdr>
            <w:top w:val="none" w:sz="0" w:space="0" w:color="auto"/>
            <w:left w:val="none" w:sz="0" w:space="0" w:color="auto"/>
            <w:bottom w:val="none" w:sz="0" w:space="0" w:color="auto"/>
            <w:right w:val="none" w:sz="0" w:space="0" w:color="auto"/>
          </w:divBdr>
        </w:div>
        <w:div w:id="1486704657">
          <w:marLeft w:val="640"/>
          <w:marRight w:val="0"/>
          <w:marTop w:val="0"/>
          <w:marBottom w:val="0"/>
          <w:divBdr>
            <w:top w:val="none" w:sz="0" w:space="0" w:color="auto"/>
            <w:left w:val="none" w:sz="0" w:space="0" w:color="auto"/>
            <w:bottom w:val="none" w:sz="0" w:space="0" w:color="auto"/>
            <w:right w:val="none" w:sz="0" w:space="0" w:color="auto"/>
          </w:divBdr>
        </w:div>
        <w:div w:id="1666323778">
          <w:marLeft w:val="640"/>
          <w:marRight w:val="0"/>
          <w:marTop w:val="0"/>
          <w:marBottom w:val="0"/>
          <w:divBdr>
            <w:top w:val="none" w:sz="0" w:space="0" w:color="auto"/>
            <w:left w:val="none" w:sz="0" w:space="0" w:color="auto"/>
            <w:bottom w:val="none" w:sz="0" w:space="0" w:color="auto"/>
            <w:right w:val="none" w:sz="0" w:space="0" w:color="auto"/>
          </w:divBdr>
        </w:div>
        <w:div w:id="1671563101">
          <w:marLeft w:val="640"/>
          <w:marRight w:val="0"/>
          <w:marTop w:val="0"/>
          <w:marBottom w:val="0"/>
          <w:divBdr>
            <w:top w:val="none" w:sz="0" w:space="0" w:color="auto"/>
            <w:left w:val="none" w:sz="0" w:space="0" w:color="auto"/>
            <w:bottom w:val="none" w:sz="0" w:space="0" w:color="auto"/>
            <w:right w:val="none" w:sz="0" w:space="0" w:color="auto"/>
          </w:divBdr>
        </w:div>
        <w:div w:id="2102985349">
          <w:marLeft w:val="640"/>
          <w:marRight w:val="0"/>
          <w:marTop w:val="0"/>
          <w:marBottom w:val="0"/>
          <w:divBdr>
            <w:top w:val="none" w:sz="0" w:space="0" w:color="auto"/>
            <w:left w:val="none" w:sz="0" w:space="0" w:color="auto"/>
            <w:bottom w:val="none" w:sz="0" w:space="0" w:color="auto"/>
            <w:right w:val="none" w:sz="0" w:space="0" w:color="auto"/>
          </w:divBdr>
        </w:div>
      </w:divsChild>
    </w:div>
    <w:div w:id="2016105111">
      <w:marLeft w:val="640"/>
      <w:marRight w:val="0"/>
      <w:marTop w:val="0"/>
      <w:marBottom w:val="0"/>
      <w:divBdr>
        <w:top w:val="none" w:sz="0" w:space="0" w:color="auto"/>
        <w:left w:val="none" w:sz="0" w:space="0" w:color="auto"/>
        <w:bottom w:val="none" w:sz="0" w:space="0" w:color="auto"/>
        <w:right w:val="none" w:sz="0" w:space="0" w:color="auto"/>
      </w:divBdr>
    </w:div>
    <w:div w:id="2026131993">
      <w:marLeft w:val="640"/>
      <w:marRight w:val="0"/>
      <w:marTop w:val="0"/>
      <w:marBottom w:val="0"/>
      <w:divBdr>
        <w:top w:val="none" w:sz="0" w:space="0" w:color="auto"/>
        <w:left w:val="none" w:sz="0" w:space="0" w:color="auto"/>
        <w:bottom w:val="none" w:sz="0" w:space="0" w:color="auto"/>
        <w:right w:val="none" w:sz="0" w:space="0" w:color="auto"/>
      </w:divBdr>
    </w:div>
    <w:div w:id="2032219330">
      <w:bodyDiv w:val="1"/>
      <w:marLeft w:val="0"/>
      <w:marRight w:val="0"/>
      <w:marTop w:val="0"/>
      <w:marBottom w:val="0"/>
      <w:divBdr>
        <w:top w:val="none" w:sz="0" w:space="0" w:color="auto"/>
        <w:left w:val="none" w:sz="0" w:space="0" w:color="auto"/>
        <w:bottom w:val="none" w:sz="0" w:space="0" w:color="auto"/>
        <w:right w:val="none" w:sz="0" w:space="0" w:color="auto"/>
      </w:divBdr>
      <w:divsChild>
        <w:div w:id="5135926">
          <w:marLeft w:val="640"/>
          <w:marRight w:val="0"/>
          <w:marTop w:val="0"/>
          <w:marBottom w:val="0"/>
          <w:divBdr>
            <w:top w:val="none" w:sz="0" w:space="0" w:color="auto"/>
            <w:left w:val="none" w:sz="0" w:space="0" w:color="auto"/>
            <w:bottom w:val="none" w:sz="0" w:space="0" w:color="auto"/>
            <w:right w:val="none" w:sz="0" w:space="0" w:color="auto"/>
          </w:divBdr>
        </w:div>
        <w:div w:id="116220636">
          <w:marLeft w:val="640"/>
          <w:marRight w:val="0"/>
          <w:marTop w:val="0"/>
          <w:marBottom w:val="0"/>
          <w:divBdr>
            <w:top w:val="none" w:sz="0" w:space="0" w:color="auto"/>
            <w:left w:val="none" w:sz="0" w:space="0" w:color="auto"/>
            <w:bottom w:val="none" w:sz="0" w:space="0" w:color="auto"/>
            <w:right w:val="none" w:sz="0" w:space="0" w:color="auto"/>
          </w:divBdr>
        </w:div>
        <w:div w:id="364327270">
          <w:marLeft w:val="640"/>
          <w:marRight w:val="0"/>
          <w:marTop w:val="0"/>
          <w:marBottom w:val="0"/>
          <w:divBdr>
            <w:top w:val="none" w:sz="0" w:space="0" w:color="auto"/>
            <w:left w:val="none" w:sz="0" w:space="0" w:color="auto"/>
            <w:bottom w:val="none" w:sz="0" w:space="0" w:color="auto"/>
            <w:right w:val="none" w:sz="0" w:space="0" w:color="auto"/>
          </w:divBdr>
        </w:div>
        <w:div w:id="632057082">
          <w:marLeft w:val="640"/>
          <w:marRight w:val="0"/>
          <w:marTop w:val="0"/>
          <w:marBottom w:val="0"/>
          <w:divBdr>
            <w:top w:val="none" w:sz="0" w:space="0" w:color="auto"/>
            <w:left w:val="none" w:sz="0" w:space="0" w:color="auto"/>
            <w:bottom w:val="none" w:sz="0" w:space="0" w:color="auto"/>
            <w:right w:val="none" w:sz="0" w:space="0" w:color="auto"/>
          </w:divBdr>
        </w:div>
        <w:div w:id="885988261">
          <w:marLeft w:val="640"/>
          <w:marRight w:val="0"/>
          <w:marTop w:val="0"/>
          <w:marBottom w:val="0"/>
          <w:divBdr>
            <w:top w:val="none" w:sz="0" w:space="0" w:color="auto"/>
            <w:left w:val="none" w:sz="0" w:space="0" w:color="auto"/>
            <w:bottom w:val="none" w:sz="0" w:space="0" w:color="auto"/>
            <w:right w:val="none" w:sz="0" w:space="0" w:color="auto"/>
          </w:divBdr>
        </w:div>
        <w:div w:id="1345864902">
          <w:marLeft w:val="640"/>
          <w:marRight w:val="0"/>
          <w:marTop w:val="0"/>
          <w:marBottom w:val="0"/>
          <w:divBdr>
            <w:top w:val="none" w:sz="0" w:space="0" w:color="auto"/>
            <w:left w:val="none" w:sz="0" w:space="0" w:color="auto"/>
            <w:bottom w:val="none" w:sz="0" w:space="0" w:color="auto"/>
            <w:right w:val="none" w:sz="0" w:space="0" w:color="auto"/>
          </w:divBdr>
        </w:div>
        <w:div w:id="1509520914">
          <w:marLeft w:val="640"/>
          <w:marRight w:val="0"/>
          <w:marTop w:val="0"/>
          <w:marBottom w:val="0"/>
          <w:divBdr>
            <w:top w:val="none" w:sz="0" w:space="0" w:color="auto"/>
            <w:left w:val="none" w:sz="0" w:space="0" w:color="auto"/>
            <w:bottom w:val="none" w:sz="0" w:space="0" w:color="auto"/>
            <w:right w:val="none" w:sz="0" w:space="0" w:color="auto"/>
          </w:divBdr>
        </w:div>
        <w:div w:id="1905142529">
          <w:marLeft w:val="640"/>
          <w:marRight w:val="0"/>
          <w:marTop w:val="0"/>
          <w:marBottom w:val="0"/>
          <w:divBdr>
            <w:top w:val="none" w:sz="0" w:space="0" w:color="auto"/>
            <w:left w:val="none" w:sz="0" w:space="0" w:color="auto"/>
            <w:bottom w:val="none" w:sz="0" w:space="0" w:color="auto"/>
            <w:right w:val="none" w:sz="0" w:space="0" w:color="auto"/>
          </w:divBdr>
        </w:div>
        <w:div w:id="2133016545">
          <w:marLeft w:val="640"/>
          <w:marRight w:val="0"/>
          <w:marTop w:val="0"/>
          <w:marBottom w:val="0"/>
          <w:divBdr>
            <w:top w:val="none" w:sz="0" w:space="0" w:color="auto"/>
            <w:left w:val="none" w:sz="0" w:space="0" w:color="auto"/>
            <w:bottom w:val="none" w:sz="0" w:space="0" w:color="auto"/>
            <w:right w:val="none" w:sz="0" w:space="0" w:color="auto"/>
          </w:divBdr>
        </w:div>
      </w:divsChild>
    </w:div>
    <w:div w:id="2048749891">
      <w:marLeft w:val="640"/>
      <w:marRight w:val="0"/>
      <w:marTop w:val="0"/>
      <w:marBottom w:val="0"/>
      <w:divBdr>
        <w:top w:val="none" w:sz="0" w:space="0" w:color="auto"/>
        <w:left w:val="none" w:sz="0" w:space="0" w:color="auto"/>
        <w:bottom w:val="none" w:sz="0" w:space="0" w:color="auto"/>
        <w:right w:val="none" w:sz="0" w:space="0" w:color="auto"/>
      </w:divBdr>
    </w:div>
    <w:div w:id="2066181114">
      <w:marLeft w:val="640"/>
      <w:marRight w:val="0"/>
      <w:marTop w:val="0"/>
      <w:marBottom w:val="0"/>
      <w:divBdr>
        <w:top w:val="none" w:sz="0" w:space="0" w:color="auto"/>
        <w:left w:val="none" w:sz="0" w:space="0" w:color="auto"/>
        <w:bottom w:val="none" w:sz="0" w:space="0" w:color="auto"/>
        <w:right w:val="none" w:sz="0" w:space="0" w:color="auto"/>
      </w:divBdr>
    </w:div>
    <w:div w:id="2069305447">
      <w:bodyDiv w:val="1"/>
      <w:marLeft w:val="0"/>
      <w:marRight w:val="0"/>
      <w:marTop w:val="0"/>
      <w:marBottom w:val="0"/>
      <w:divBdr>
        <w:top w:val="none" w:sz="0" w:space="0" w:color="auto"/>
        <w:left w:val="none" w:sz="0" w:space="0" w:color="auto"/>
        <w:bottom w:val="none" w:sz="0" w:space="0" w:color="auto"/>
        <w:right w:val="none" w:sz="0" w:space="0" w:color="auto"/>
      </w:divBdr>
    </w:div>
    <w:div w:id="2073119305">
      <w:marLeft w:val="640"/>
      <w:marRight w:val="0"/>
      <w:marTop w:val="0"/>
      <w:marBottom w:val="0"/>
      <w:divBdr>
        <w:top w:val="none" w:sz="0" w:space="0" w:color="auto"/>
        <w:left w:val="none" w:sz="0" w:space="0" w:color="auto"/>
        <w:bottom w:val="none" w:sz="0" w:space="0" w:color="auto"/>
        <w:right w:val="none" w:sz="0" w:space="0" w:color="auto"/>
      </w:divBdr>
    </w:div>
    <w:div w:id="2090878989">
      <w:marLeft w:val="640"/>
      <w:marRight w:val="0"/>
      <w:marTop w:val="0"/>
      <w:marBottom w:val="0"/>
      <w:divBdr>
        <w:top w:val="none" w:sz="0" w:space="0" w:color="auto"/>
        <w:left w:val="none" w:sz="0" w:space="0" w:color="auto"/>
        <w:bottom w:val="none" w:sz="0" w:space="0" w:color="auto"/>
        <w:right w:val="none" w:sz="0" w:space="0" w:color="auto"/>
      </w:divBdr>
    </w:div>
    <w:div w:id="2117824196">
      <w:marLeft w:val="640"/>
      <w:marRight w:val="0"/>
      <w:marTop w:val="0"/>
      <w:marBottom w:val="0"/>
      <w:divBdr>
        <w:top w:val="none" w:sz="0" w:space="0" w:color="auto"/>
        <w:left w:val="none" w:sz="0" w:space="0" w:color="auto"/>
        <w:bottom w:val="none" w:sz="0" w:space="0" w:color="auto"/>
        <w:right w:val="none" w:sz="0" w:space="0" w:color="auto"/>
      </w:divBdr>
    </w:div>
    <w:div w:id="2128573917">
      <w:marLeft w:val="640"/>
      <w:marRight w:val="0"/>
      <w:marTop w:val="0"/>
      <w:marBottom w:val="0"/>
      <w:divBdr>
        <w:top w:val="none" w:sz="0" w:space="0" w:color="auto"/>
        <w:left w:val="none" w:sz="0" w:space="0" w:color="auto"/>
        <w:bottom w:val="none" w:sz="0" w:space="0" w:color="auto"/>
        <w:right w:val="none" w:sz="0" w:space="0" w:color="auto"/>
      </w:divBdr>
    </w:div>
    <w:div w:id="2132094113">
      <w:marLeft w:val="640"/>
      <w:marRight w:val="0"/>
      <w:marTop w:val="0"/>
      <w:marBottom w:val="0"/>
      <w:divBdr>
        <w:top w:val="none" w:sz="0" w:space="0" w:color="auto"/>
        <w:left w:val="none" w:sz="0" w:space="0" w:color="auto"/>
        <w:bottom w:val="none" w:sz="0" w:space="0" w:color="auto"/>
        <w:right w:val="none" w:sz="0" w:space="0" w:color="auto"/>
      </w:divBdr>
    </w:div>
    <w:div w:id="2143232878">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yl.cheng@ucl.ac.uk"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5A3F57-56F0-4542-B1AB-751A65BC6382}">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86107053227"/>
    <we:property name="MENDELEY_CITATIONS" value="[{&quot;citationID&quot;:&quot;MENDELEY_CITATION_d00867e6-4713-4e6a-822e-19d2f0178dbd&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&quot;,&quot;citationItems&quot;:[{&quot;id&quot;:&quot;e98c1a3f-5990-3d32-af66-62777384d872&quot;,&quot;itemData&quot;:{&quot;type&quot;:&quot;article-journal&quot;,&quot;id&quot;:&quot;e98c1a3f-5990-3d32-af66-62777384d872&quot;,&quot;title&quot;:&quot;TotalSegmentator: Robust Segmentation of 104 Anatomic Structures in CT Images&quot;,&quot;author&quot;:[{&quot;family&quot;:&quot;Wasserthal&quot;,&quot;given&quot;:&quot;Jakob&quot;,&quot;parse-names&quot;:false,&quot;dropping-particle&quot;:&quot;&quot;,&quot;non-dropping-particle&quot;:&quot;&quot;},{&quot;family&quot;:&quot;Breit&quot;,&quot;given&quot;:&quot;Hanns Christian&quot;,&quot;parse-names&quot;:false,&quot;dropping-particle&quot;:&quot;&quot;,&quot;non-dropping-particle&quot;:&quot;&quot;},{&quot;family&quot;:&quot;Meyer&quot;,&quot;given&quot;:&quot;Manfred T.&quot;,&quot;parse-names&quot;:false,&quot;dropping-particle&quot;:&quot;&quot;,&quot;non-dropping-particle&quot;:&quot;&quot;},{&quot;family&quot;:&quot;Pradella&quot;,&quot;given&quot;:&quot;Maurice&quot;,&quot;parse-names&quot;:false,&quot;dropping-particle&quot;:&quot;&quot;,&quot;non-dropping-particle&quot;:&quot;&quot;},{&quot;family&quot;:&quot;Hinck&quot;,&quot;given&quot;:&quot;Daniel&quot;,&quot;parse-names&quot;:false,&quot;dropping-particle&quot;:&quot;&quot;,&quot;non-dropping-particle&quot;:&quot;&quot;},{&quot;family&quot;:&quot;Sauter&quot;,&quot;given&quot;:&quot;Alexander W.&quot;,&quot;parse-names&quot;:false,&quot;dropping-particle&quot;:&quot;&quot;,&quot;non-dropping-particle&quot;:&quot;&quot;},{&quot;family&quot;:&quot;Heye&quot;,&quot;given&quot;:&quot;Tobias&quot;,&quot;parse-names&quot;:false,&quot;dropping-particle&quot;:&quot;&quot;,&quot;non-dropping-particle&quot;:&quot;&quot;},{&quot;family&quot;:&quot;Boll&quot;,&quot;given&quot;:&quot;Daniel T.&quot;,&quot;parse-names&quot;:false,&quot;dropping-particle&quot;:&quot;&quot;,&quot;non-dropping-particle&quot;:&quot;&quot;},{&quot;family&quot;:&quot;Cyriac&quot;,&quot;given&quot;:&quot;Joshy&quot;,&quot;parse-names&quot;:false,&quot;dropping-particle&quot;:&quot;&quot;,&quot;non-dropping-particle&quot;:&quot;&quot;},{&quot;family&quot;:&quot;Yang&quot;,&quot;given&quot;:&quot;Shan&quot;,&quot;parse-names&quot;:false,&quot;dropping-particle&quot;:&quot;&quot;,&quot;non-dropping-particle&quot;:&quot;&quot;},{&quot;family&quot;:&quot;Bach&quot;,&quot;given&quot;:&quot;Michael&quot;,&quot;parse-names&quot;:false,&quot;dropping-particle&quot;:&quot;&quot;,&quot;non-dropping-particle&quot;:&quot;&quot;},{&quot;family&quot;:&quot;Segeroth&quot;,&quot;given&quot;:&quot;Martin&quot;,&quot;parse-names&quot;:false,&quot;dropping-particle&quot;:&quot;&quot;,&quot;non-dropping-particle&quot;:&quot;&quot;}],&quot;container-title&quot;:&quot;https://doi.org/10.1148/ryai.230024&quot;,&quot;accessed&quot;:{&quot;date-parts&quot;:[[2025,11,27]]},&quot;DOI&quot;:&quot;10.1148/RYAI.230024&quot;,&quot;ISSN&quot;:&quot;26386100&quot;,&quot;PMID&quot;:&quot;37795137&quot;,&quot;URL&quot;:&quot;/doi/pdf/10.1148/ryai.230024?download=true&quot;,&quot;issued&quot;:{&quot;date-parts&quot;:[[2023,7,5]]},&quot;abstract&quot;:&quot;TotalSegmentator provides automatic, easily accessible segmentations of major anatomic structures on CT images.&quot;,&quot;publisher&quot;:&quot; Radiological Society of North America &quot;,&quot;issue&quot;:&quot;5&quot;,&quot;volume&quot;:&quot;5&quot;,&quot;container-title-short&quot;:&quot;&quot;},&quot;isTemporary&quot;:false}]},{&quot;citationID&quot;:&quot;MENDELEY_CITATION_61a3ad13-8d4f-4c04-8ac7-17c1aa2c7b6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&quot;,&quot;citationItems&quot;:[{&quot;id&quot;:&quot;c06187a2-c231-3ee3-8fc6-ebde2cd87f05&quot;,&quot;itemData&quot;:{&quot;type&quot;:&quot;article-journal&quot;,&quot;id&quot;:&quot;c06187a2-c231-3ee3-8fc6-ebde2cd87f05&quot;,&quot;title&quot;:&quot;Opportunistic Osteoporosis Screening at Routine Abdominal and Thoracic CT: Normative L1 Trabecular Attenuation Values in More than 20 000 Adults&quot;,&quot;author&quot;:[{&quot;family&quot;:&quot;Jang&quot;,&quot;given&quot;:&quot;Samuel&quot;,&quot;parse-names&quot;:false,&quot;dropping-particle&quot;:&quot;&quot;,&quot;non-dropping-particle&quot;:&quot;&quot;},{&quot;family&quot;:&quot;Graffy&quot;,&quot;given&quot;:&quot;Peter M.&quot;,&quot;parse-names&quot;:false,&quot;dropping-particle&quot;:&quot;&quot;,&quot;non-dropping-particle&quot;:&quot;&quot;},{&quot;family&quot;:&quot;Ziemlewicz&quot;,&quot;given&quot;:&quot;Timothy J.&quot;,&quot;parse-names&quot;:false,&quot;dropping-particle&quot;:&quot;&quot;,&quot;non-dropping-particle&quot;:&quot;&quot;},{&quot;family&quot;:&quot;Lee&quot;,&quot;given&quot;:&quot;Scott J.&quot;,&quot;parse-names&quot;:false,&quot;dropping-particle&quot;:&quot;&quot;,&quot;non-dropping-particle&quot;:&quot;&quot;},{&quot;family&quot;:&quot;Summers&quot;,&quot;given&quot;:&quot;Ronald M.&quot;,&quot;parse-names&quot;:false,&quot;dropping-particle&quot;:&quot;&quot;,&quot;non-dropping-particle&quot;:&quot;&quot;},{&quot;family&quot;:&quot;Pickhardt&quot;,&quot;given&quot;:&quot;Perry J.&quot;,&quot;parse-names&quot;:false,&quot;dropping-particle&quot;:&quot;&quot;,&quot;non-dropping-particle&quot;:&quot;&quot;}],&quot;container-title&quot;:&quot;https://doi.org/10.1148/radiol.2019181648&quot;,&quot;accessed&quot;:{&quot;date-parts&quot;:[[2026,8,7]]},&quot;DOI&quot;:&quot;10.1148/RADIOL.2019181648&quot;,&quot;ISSN&quot;:&quot;15271315&quot;,&quot;PMID&quot;:&quot;30912719&quot;,&quot;URL&quot;:&quot;/doi/pdf/10.1148/radiol.2019181648?download=true&quot;,&quot;issued&quot;:{&quot;date-parts&quot;:[[2019,3,26]]},&quot;page&quot;:&quot;360-367&quot;,&quot;abstract&quot;:&quot;Our study provides normative values of L1 vertebra trabecular attenuation, which can serve as a quick reference for opportunistic osteoporosis screening at routine CT to identify adults with low bo...&quot;,&quot;publisher&quot;:&quot;Radiological Society of North America&quot;,&quot;issue&quot;:&quot;2&quot;,&quot;volume&quot;:&quot;291&quot;,&quot;container-title-short&quot;:&quot;&quot;},&quot;isTemporary&quot;:false}]},{&quot;citationID&quot;:&quot;MENDELEY_CITATION_9e14e32c-6072-48b0-8f74-5cf118854e72&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&quot;,&quot;citationItems&quot;:[{&quot;id&quot;:&quot;955778de-e3ce-3818-9c36-ed18f6161517&quot;,&quot;itemData&quot;:{&quot;type&quot;:&quot;article-journal&quot;,&quot;id&quot;:&quot;955778de-e3ce-3818-9c36-ed18f6161517&quot;,&quot;title&quot;:&quot;Uptake of invitations to a lung health check offering low-dose CT lung cancer screening among an ethnically and socioeconomically diverse population at risk of lung cancer in the UK (SUMMIT): a prospective, longitudinal cohort study&quot;,&quot;author&quot;:[{&quot;family&quot;:&quot;Dickson&quot;,&quot;given&quot;:&quot;Jennifer L.&quot;,&quot;parse-names&quot;:false,&quot;dropping-particle&quot;:&quot;&quot;,&quot;non-dropping-particle&quot;:&quot;&quot;},{&quot;family&quot;:&quot;Hall&quot;,&quot;given&quot;:&quot;Helen&quot;,&quot;parse-names&quot;:false,&quot;dropping-particle&quot;:&quot;&quot;,&quot;non-dropping-particle&quot;:&quot;&quot;},{&quot;family&quot;:&quot;Horst&quot;,&quot;given&quot;:&quot;Carolyn&quot;,&quot;parse-names&quot;:false,&quot;dropping-particle&quot;:&quot;&quot;,&quot;non-dropping-particle&quot;:&quot;&quot;},{&quot;family&quot;:&quot;Tisi&quot;,&quot;given&quot;:&quot;Sophie&quot;,&quot;parse-names&quot;:false,&quot;dropping-particle&quot;:&quot;&quot;,&quot;non-dropping-particle&quot;:&quot;&quot;},{&quot;family&quot;:&quot;Verghese&quot;,&quot;given&quot;:&quot;Priyam&quot;,&quot;parse-names&quot;:false,&quot;dropping-particle&quot;:&quot;&quot;,&quot;non-dropping-particle&quot;:&quot;&quot;},{&quot;family&quot;:&quot;Mullin&quot;,&quot;given&quot;:&quot;Anne Marie&quot;,&quot;parse-names&quot;:false,&quot;dropping-particle&quot;:&quot;&quot;,&quot;non-dropping-particle&quot;:&quot;&quot;},{&quot;family&quot;:&quot;Teague&quot;,&quot;given&quot;:&quot;Jon&quot;,&quot;parse-names&quot;:false,&quot;dropping-particle&quot;:&quot;&quot;,&quot;non-dropping-particle&quot;:&quot;&quot;},{&quot;family&quot;:&quot;Farrelly&quot;,&quot;given&quot;:&quot;Laura&quot;,&quot;parse-names&quot;:false,&quot;dropping-particle&quot;:&quot;&quot;,&quot;non-dropping-particle&quot;:&quot;&quot;},{&quot;family&quot;:&quot;Bowyer&quot;,&quot;given&quot;:&quot;Vicky&quot;,&quot;parse-names&quot;:false,&quot;dropping-particle&quot;:&quot;&quot;,&quot;non-dropping-particle&quot;:&quot;&quot;},{&quot;family&quot;:&quot;Gyertson&quot;,&quot;given&quot;:&quot;Kylie&quot;,&quot;parse-names&quot;:false,&quot;dropping-particle&quot;:&quot;&quot;,&quot;non-dropping-particle&quot;:&quot;&quot;},{&quot;family&quot;:&quot;Bojang&quot;,&quot;given&quot;:&quot;Fanta&quot;,&quot;parse-names&quot;:false,&quot;dropping-particle&quot;:&quot;&quot;,&quot;non-dropping-particle&quot;:&quot;&quot;},{&quot;family&quot;:&quot;Levermore&quot;,&quot;given&quot;:&quot;Claire&quot;,&quot;parse-names&quot;:false,&quot;dropping-particle&quot;:&quot;&quot;,&quot;non-dropping-particle&quot;:&quot;&quot;},{&quot;family&quot;:&quot;Anastasiadis&quot;,&quot;given&quot;:&quot;Tania&quot;,&quot;parse-names&quot;:false,&quot;dropping-particle&quot;:&quot;&quot;,&quot;non-dropping-particle&quot;:&quot;&quot;},{&quot;family&quot;:&quot;McCabe&quot;,&quot;given&quot;:&quot;John&quot;,&quot;parse-names&quot;:false,&quot;dropping-particle&quot;:&quot;&quot;,&quot;non-dropping-particle&quot;:&quot;&quot;},{&quot;family&quot;:&quot;Navani&quot;,&quot;given&quot;:&quot;Neal&quot;,&quot;parse-names&quot;:false,&quot;dropping-particle&quot;:&quot;&quot;,&quot;non-dropping-particle&quot;:&quot;&quot;},{&quot;family&quot;:&quot;Nair&quot;,&quot;given&quot;:&quot;Arjun&quot;,&quot;parse-names&quot;:false,&quot;dropping-particle&quot;:&quot;&quot;,&quot;non-dropping-particle&quot;:&quot;&quot;},{&quot;family&quot;:&quot;Devaraj&quot;,&quot;given&quot;:&quot;Anand&quot;,&quot;parse-names&quot;:false,&quot;dropping-particle&quot;:&quot;&quot;,&quot;non-dropping-particle&quot;:&quot;&quot;},{&quot;family&quot;:&quot;Hackshaw&quot;,&quot;given&quot;:&quot;Allan&quot;,&quot;parse-names&quot;:false,&quot;dropping-particle&quot;:&quot;&quot;,&quot;non-dropping-particle&quot;:&quot;&quot;},{&quot;family&quot;:&quot;Quaife&quot;,&quot;given&quot;:&quot;Samantha L.&quot;,&quot;parse-names&quot;:false,&quot;dropping-particle&quot;:&quot;&quot;,&quot;non-dropping-particle&quot;:&quot;&quot;},{&quot;family&quot;:&quot;Janes&quot;,&quot;given&quot;:&quot;Sam M.&quot;,&quot;parse-names&quot;:false,&quot;dropping-particle&quot;:&quot;&quot;,&quot;non-dropping-particle&quot;:&quot;&quot;}],&quot;container-title&quot;:&quot;The Lancet Public Health&quot;,&quot;accessed&quot;:{&quot;date-parts&quot;:[[2025,11,27]]},&quot;DOI&quot;:&quot;10.1016/S2468-2667(22)00258-4&quot;,&quot;ISSN&quot;:&quot;24682667&quot;,&quot;PMID&quot;:&quot;36709053&quot;,&quot;URL&quot;:&quot;https://www.thelancet.com/action/showFullText?pii=S2468266722002584&quot;,&quot;issued&quot;:{&quot;date-parts&quot;:[[2023,2,1]]},&quot;page&quot;:&quot;e130-e140&quot;,&quot;abstract&quot;:&quot;Background: Lung cancer screening with low-dose CT reduces lung cancer mortality, but screening requires equitable uptake from candidates at high risk of lung cancer across ethnic and socioeconomic groups that are under-represented in clinical studies. We aimed to assess the uptake of invitations to a lung health check offering low-dose CT lung cancer screening in an ethnically and socioeconomically diverse cohort at high risk of lung cancer. Methods: In this multicentre, prospective, longitudinal cohort study (SUMMIT), individuals aged 55–77 years with a history of smoking in the past 20 years were identified via National Health Service England primary care records at practices in northeast and north-central London, UK, using electronic searches. Eligible individuals were invited by letter to a lung health check offering lung cancer screening at one of four hospital sites, with non-responders re-invited after 4 months. Individuals were excluded if they had dementia or metastatic cancer, were receiving palliative care or were housebound, or declined research participation. The proportion of individuals invited who responded to the lung health check invitation by telephone was used to measure uptake. We used univariable and multivariable logistic regression analyses to estimate associations between uptake of a lung health check invitation and re-invitation of non-responders, adjusted for sex, age, ethnicity, smoking, and deprivation score. This study was registered prospectively with ClinicalTrials.gov, NCT03934866. Findings: Between March 20 and Dec 12, 2019, the records of 2 333 488 individuals from 251 primary care practices across northeast and north-central London were screened for eligibility; 1 974 919 (84·6%) individuals were outside the eligible age range, 7578 (2·1%) had pre-existing medical conditions, and 11 962 (3·3%) had opted out of particpation in research and thus were not invited. 95 297 individuals were eligible for invitation, of whom 29 545 (31·0%) responded. Due to the COVID-19 pandemic, re-invitation letters were sent to only a subsample of 4594 non-responders, of whom 642 (14·0%) responded. Overall, uptake was lower among men than among women (odds ratio [OR] 0·91 [95% CI 0·88–0·94]; p&lt;0·0001), and higher among older age groups (1·48 [1·42–1·54] among those aged 65–69 years vs those aged 55–59 years; p&lt;0·0001), groups with less deprivation (1·89 [1·76–2·04] for the most vs the least deprived areas; p&lt;0·0001), individuals of Asian ethnicity (1·14 [1·09–1·20] vs White ethnicity; p&lt;0·0001), and individuals who were former smokers (1·89 [1·83–1·95] vs current smokers; p&lt;0·0001). When ethnicity was subdivided into 16 groups, uptake was lower among individuals of other White ethnicity than among those with White British ethnicity (0·86 [0·83–0·90]), whereas uptake was higher among Chinese, Indian, and other Asian ethnicities than among those with White British ethnicity (1·33 [1·13–1·56] for Chinese ethnicity; 1·29 [1·19–1·40] for Indian ethnicity; and 1·19 [1·08–1·31] for other Asian ethnicity). Interpretation: Inviting eligible adults for lung health checks in areas of socioeconomic and ethnic diversity should achieve favourable participation in lung cancer screening overall, but inequalities by smoking, deprivation, and ethnicity persist. Reminder and re-invitation strategies should be used to increase uptake and the equity of response. Funding: GRAIL.&quot;,&quot;publisher&quot;:&quot;Elsevier Ltd&quot;,&quot;issue&quot;:&quot;2&quot;,&quot;volume&quot;:&quot;8&quot;,&quot;container-title-short&quot;:&quot;Lancet Public Health&quot;},&quot;isTemporary&quot;:false}]},{&quot;citationID&quot;:&quot;MENDELEY_CITATION_47936272-0581-491d-b63e-1dd803927526&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&quot;,&quot;citationItems&quot;:[{&quot;id&quot;:&quot;ed96ae6b-5d78-3fd2-96ae-1b44b142f985&quot;,&quot;itemData&quot;:{&quot;type&quot;:&quot;article-journal&quot;,&quot;id&quot;:&quot;ed96ae6b-5d78-3fd2-96ae-1b44b142f985&quot;,&quot;title&quot;:&quot;A note on estimating the Cox-Snell R2 from a reported C statistic (AUROC) to inform sample size calculations for developing a prediction model with a binary outcome&quot;,&quot;author&quot;:[{&quot;family&quot;:&quot;Riley&quot;,&quot;given&quot;:&quot;Richard D.&quot;,&quot;parse-names&quot;:false,&quot;dropping-particle&quot;:&quot;&quot;,&quot;non-dropping-particle&quot;:&quot;&quot;},{&quot;family&quot;:&quot;Calster&quot;,&quot;given&quot;:&quot;Ben&quot;,&quot;parse-names&quot;:false,&quot;dropping-particle&quot;:&quot;&quot;,&quot;non-dropping-particle&quot;:&quot;Van&quot;},{&quot;family&quot;:&quot;Collins&quot;,&quot;given&quot;:&quot;Gary S.&quot;,&quot;parse-names&quot;:false,&quot;dropping-particle&quot;:&quot;&quot;,&quot;non-dropping-particle&quot;:&quot;&quot;}],&quot;container-title&quot;:&quot;Statistics in Medicine&quot;,&quot;container-title-short&quot;:&quot;Stat. Med.&quot;,&quot;accessed&quot;:{&quot;date-parts&quot;:[[2025,8,5]]},&quot;DOI&quot;:&quot;10.1002/SIM.8806&quot;,&quot;ISSN&quot;:&quot;1097-0258&quot;,&quot;PMID&quot;:&quot;33283904&quot;,&quot;URL&quot;:&quot;/doi/pdf/10.1002/sim.8806&quot;,&quot;issued&quot;:{&quot;date-parts&quot;:[[2021,2,20]]},&quot;page&quot;:&quot;859-864&quot;,&quot;abstract&quot;:&quot;In 2019 we published a pair of articles in Statistics in Medicine that describe how to calculate the minimum sample size for developing a multivariable prediction model with a continuous outcome, or with a binary or time-to-event outcome. As for any sample size calculation, the approach requires the user to specify anticipated values for key parameters. In particular, for a prediction model with a binary outcome, the outcome proportion and a conservative estimate for the overall fit of the developed model as measured by the Cox-Snell R2 (proportion of variance explained) must be specified. This proposal raises the question of how to identify a plausible value for R2 in advance of model development. Our articles suggest researchers should identify R2 from closely related models already published in their field. In this letter, we present details on how to derive R2 using the reported C statistic (AUROC) for such existing prediction models with a binary outcome. The C statistic is commonly reported, and so our approach allows researchers to obtain R2 for subsequent sample size calculations for new models. Stata and R code is provided, and a small simulation study.&quot;,&quot;publisher&quot;:&quot;John Wiley &amp; Sons, Ltd&quot;,&quot;issue&quot;:&quot;4&quot;,&quot;volume&quot;:&quot;40&quot;},&quot;isTemporary&quot;:false},{&quot;id&quot;:&quot;0c31625e-4ecd-373d-a8d7-91e77d4486e2&quot;,&quot;itemData&quot;:{&quot;type&quot;:&quot;article-journal&quot;,&quot;id&quot;:&quot;0c31625e-4ecd-373d-a8d7-91e77d4486e2&quot;,&quot;title&quot;:&quot;Calculating the sample size required for developing a clinical prediction model&quot;,&quot;author&quot;:[{&quot;family&quot;:&quot;Riley&quot;,&quot;given&quot;:&quot;Richard D.&quot;,&quot;parse-names&quot;:false,&quot;dropping-particle&quot;:&quot;&quot;,&quot;non-dropping-particle&quot;:&quot;&quot;},{&quot;family&quot;:&quot;Ensor&quot;,&quot;given&quot;:&quot;Joie&quot;,&quot;parse-names&quot;:false,&quot;dropping-particle&quot;:&quot;&quot;,&quot;non-dropping-particle&quot;:&quot;&quot;},{&quot;family&quot;:&quot;Snell&quot;,&quot;given&quot;:&quot;Kym I.E.&quot;,&quot;parse-names&quot;:false,&quot;dropping-particle&quot;:&quot;&quot;,&quot;non-dropping-particle&quot;:&quot;&quot;},{&quot;family&quot;:&quot;Harrell&quot;,&quot;given&quot;:&quot;Frank E.&quot;,&quot;parse-names&quot;:false,&quot;dropping-particle&quot;:&quot;&quot;,&quot;non-dropping-particle&quot;:&quot;&quot;},{&quot;family&quot;:&quot;Martin&quot;,&quot;given&quot;:&quot;Glen P.&quot;,&quot;parse-names&quot;:false,&quot;dropping-particle&quot;:&quot;&quot;,&quot;non-dropping-particle&quot;:&quot;&quot;},{&quot;family&quot;:&quot;Reitsma&quot;,&quot;given&quot;:&quot;Johannes B.&quot;,&quot;parse-names&quot;:false,&quot;dropping-particle&quot;:&quot;&quot;,&quot;non-dropping-particle&quot;:&quot;&quot;},{&quot;family&quot;:&quot;Moons&quot;,&quot;given&quot;:&quot;Karel G.M.&quot;,&quot;parse-names&quot;:false,&quot;dropping-particle&quot;:&quot;&quot;,&quot;non-dropping-particle&quot;:&quot;&quot;},{&quot;family&quot;:&quot;Collins&quot;,&quot;given&quot;:&quot;Gary&quot;,&quot;parse-names&quot;:false,&quot;dropping-particle&quot;:&quot;&quot;,&quot;non-dropping-particle&quot;:&quot;&quot;},{&quot;family&quot;:&quot;Smeden&quot;,&quot;given&quot;:&quot;Maarten&quot;,&quot;parse-names&quot;:false,&quot;dropping-particle&quot;:&quot;&quot;,&quot;non-dropping-particle&quot;:&quot;Van&quot;}],&quot;container-title&quot;:&quot;BMJ&quot;,&quot;accessed&quot;:{&quot;date-parts&quot;:[[2026,8,7]]},&quot;DOI&quot;:&quot;10.1136/BMJ.M441&quot;,&quot;ISSN&quot;:&quot;1756-1833&quot;,&quot;PMID&quot;:&quot;32188600&quot;,&quot;URL&quot;:&quot;https://www.bmj.com/content/368/bmj.m441%20&quot;,&quot;issued&quot;:{&quot;date-parts&quot;:[[2020,3,18]]},&quot;abstract&quot;:&quot;Clinical prediction models aim to predict outcomes in individuals, to inform diagnosis or prognosis in healthcare. Hundreds of prediction models are published in the medical literature each year, yet many are developed using a dataset that is too small for the total number of participants or outcome events. This leads to inaccurate predictions and consequently incorrect healthcare decisions for some individuals. In this article, the authors provide guidance on how to calculate the sample size required to develop a clinical prediction model.\n\n#### Summary points\n\nClinical prediction models are needed to …&quot;,&quot;publisher&quot;:&quot;British Medical Journal Publishing Group&quot;,&quot;volume&quot;:&quot;368&quot;,&quot;container-title-short&quot;:&quot;&quot;},&quot;isTemporary&quot;:false}]},{&quot;citationID&quot;:&quot;MENDELEY_CITATION_57902d54-a7e9-46d0-a4c0-499b52388758&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&quot;,&quot;citationItems&quot;:[{&quot;id&quot;:&quot;7553cf44-bf56-3bc7-9d9f-526a732076b2&quot;,&quot;itemData&quot;:{&quot;type&quot;:&quot;article-journal&quot;,&quot;id&quot;:&quot;7553cf44-bf56-3bc7-9d9f-526a732076b2&quot;,&quot;title&quot;:&quot;Estimating and comparing time-dependent areas under receiver operating characteristic curves for censored event times with competing risks&quot;,&quot;author&quot;:[{&quot;family&quot;:&quot;Blanche&quot;,&quot;given&quot;:&quot;Paul&quot;,&quot;parse-names&quot;:false,&quot;dropping-particle&quot;:&quot;&quot;,&quot;non-dropping-particle&quot;:&quot;&quot;},{&quot;family&quot;:&quot;Dartigues&quot;,&quot;given&quot;:&quot;Jean François&quot;,&quot;parse-names&quot;:false,&quot;dropping-particle&quot;:&quot;&quot;,&quot;non-dropping-particle&quot;:&quot;&quot;},{&quot;family&quot;:&quot;Jacqmin-Gadda&quot;,&quot;given&quot;:&quot;Hélène&quot;,&quot;parse-names&quot;:false,&quot;dropping-particle&quot;:&quot;&quot;,&quot;non-dropping-particle&quot;:&quot;&quot;}],&quot;container-title&quot;:&quot;Statistics in medicine&quot;,&quot;accessed&quot;:{&quot;date-parts&quot;:[[2025,11,27]]},&quot;DOI&quot;:&quot;10.1002/SIM.5958&quot;,&quot;ISSN&quot;:&quot;1097-0258&quot;,&quot;PMID&quot;:&quot;24027076&quot;,&quot;URL&quot;:&quot;https://pubmed.ncbi.nlm.nih.gov/24027076/&quot;,&quot;issued&quot;:{&quot;date-parts&quot;:[[2013,12,30]]},&quot;page&quot;:&quot;5381-5397&quot;,&quot;abstract&quot;:&quot;The area under the time-dependent ROC curve (AUC) may be used to quantify the ability of a marker to predict the onset of a clinical outcome in the future. For survival analysis with competing risks, two alternative definitions of the specificity may be proposed depending of the way to deal with subjects who undergo the competing events. In this work, we propose nonparametric inverse probability of censoring weighting estimators of the AUC corresponding to these two definitions, and we study their asymptotic properties. We derive confidence intervals and test statistics for the equality of the AUCs obtained with two markers measured on the same subjects. A simulation study is performed to investigate the finite sample behaviour of the test and the confidence intervals. The method is applied to the French cohort PAQUID to compare the abilities of two psychometric tests to predict dementia onset in the elderly accounting for death without dementia competing risk. The 'timeROC' R package is provided to make the methodology easily usable. © 2013 John Wiley &amp; Sons, Ltd.&quot;,&quot;publisher&quot;:&quot;Stat Med&quot;,&quot;issue&quot;:&quot;30&quot;,&quot;volume&quot;:&quot;32&quot;,&quot;container-title-short&quot;:&quot;Stat. Med.&quot;},&quot;isTemporary&quot;:false}]},{&quot;citationID&quot;:&quot;MENDELEY_CITATION_b4d92f45-3af1-4be7-b2b0-a9ae5f54c3fe&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&quot;,&quot;citationItems&quot;:[{&quot;id&quot;:&quot;c538b143-4825-3083-80f8-1593b02989bb&quot;,&quot;itemData&quot;:{&quot;type&quot;:&quot;article-journal&quot;,&quot;id&quot;:&quot;c538b143-4825-3083-80f8-1593b02989bb&quot;,&quot;title&quot;:&quot;Impact of Comorbidities on the Mortality Benefits of Lung Cancer Screening: A Post-Hoc Analysis of the PLCO and NLST Trials&quot;,&quot;author&quot;:[{&quot;family&quot;:&quot;Gendarme&quot;,&quot;given&quot;:&quot;Sebastien&quot;,&quot;parse-names&quot;:false,&quot;dropping-particle&quot;:&quot;&quot;,&quot;non-dropping-particle&quot;:&quot;&quot;},{&quot;family&quot;:&quot;Irajizad&quot;,&quot;given&quot;:&quot;Ehsan&quot;,&quot;parse-names&quot;:false,&quot;dropping-particle&quot;:&quot;&quot;,&quot;non-dropping-particle&quot;:&quot;&quot;},{&quot;family&quot;:&quot;Long&quot;,&quot;given&quot;:&quot;James P.&quot;,&quot;parse-names&quot;:false,&quot;dropping-particle&quot;:&quot;&quot;,&quot;non-dropping-particle&quot;:&quot;&quot;},{&quot;family&quot;:&quot;Fahrmann&quot;,&quot;given&quot;:&quot;Johannes F.&quot;,&quot;parse-names&quot;:false,&quot;dropping-particle&quot;:&quot;&quot;,&quot;non-dropping-particle&quot;:&quot;&quot;},{&quot;family&quot;:&quot;Dennison&quot;,&quot;given&quot;:&quot;Jennifer B.&quot;,&quot;parse-names&quot;:false,&quot;dropping-particle&quot;:&quot;&quot;,&quot;non-dropping-particle&quot;:&quot;&quot;},{&quot;family&quot;:&quot;Ghasemi&quot;,&quot;given&quot;:&quot;Seyyed Mahmood&quot;,&quot;parse-names&quot;:false,&quot;dropping-particle&quot;:&quot;&quot;,&quot;non-dropping-particle&quot;:&quot;&quot;},{&quot;family&quot;:&quot;Dou&quot;,&quot;given&quot;:&quot;Rongzhang&quot;,&quot;parse-names&quot;:false,&quot;dropping-particle&quot;:&quot;&quot;,&quot;non-dropping-particle&quot;:&quot;&quot;},{&quot;family&quot;:&quot;Volk&quot;,&quot;given&quot;:&quot;Robert J.&quot;,&quot;parse-names&quot;:false,&quot;dropping-particle&quot;:&quot;&quot;,&quot;non-dropping-particle&quot;:&quot;&quot;},{&quot;family&quot;:&quot;Meza&quot;,&quot;given&quot;:&quot;Rafael&quot;,&quot;parse-names&quot;:false,&quot;dropping-particle&quot;:&quot;&quot;,&quot;non-dropping-particle&quot;:&quot;&quot;},{&quot;family&quot;:&quot;Toumazis&quot;,&quot;given&quot;:&quot;Iakovos&quot;,&quot;parse-names&quot;:false,&quot;dropping-particle&quot;:&quot;&quot;,&quot;non-dropping-particle&quot;:&quot;&quot;},{&quot;family&quot;:&quot;Canoui-Poitrine&quot;,&quot;given&quot;:&quot;Florence&quot;,&quot;parse-names&quot;:false,&quot;dropping-particle&quot;:&quot;&quot;,&quot;non-dropping-particle&quot;:&quot;&quot;},{&quot;family&quot;:&quot;Hanash&quot;,&quot;given&quot;:&quot;Samir M.&quot;,&quot;parse-names&quot;:false,&quot;dropping-particle&quot;:&quot;&quot;,&quot;non-dropping-particle&quot;:&quot;&quot;},{&quot;family&quot;:&quot;Ostrin&quot;,&quot;given&quot;:&quot;Edwin J.&quot;,&quot;parse-names&quot;:false,&quot;dropping-particle&quot;:&quot;&quot;,&quot;non-dropping-particle&quot;:&quot;&quot;}],&quot;container-title&quot;:&quot;Journal of Thoracic Oncology&quot;,&quot;accessed&quot;:{&quot;date-parts&quot;:[[2025,11,27]]},&quot;DOI&quot;:&quot;10.1016/j.jtho.2025.01.003&quot;,&quot;ISSN&quot;:&quot;15561380&quot;,&quot;PMID&quot;:&quot;39798695&quot;,&quot;URL&quot;:&quot;https://www.jto.org/action/showFullText?pii=S1556086425000048&quot;,&quot;issued&quot;:{&quot;date-parts&quot;:[[2025,5,1]]},&quot;page&quot;:&quot;565-576&quot;,&quot;abstract&quot;:&quot;Objectives: To evaluate how comorbidities affect mortality benefits of lung cancer screening (LCS) with low-dose computed tomography. Methods: We developed a comorbidity index (Prostate, Lung, Colorectal, and Ovarian comorbidity index [PLCO-ci]) using LCS-eligible participants’ data from the Prostate, Lung, Colorectal, and Ovarian (PLCO) trial (training set) and the National Lung Screening Trial (NLST) (validation set). PLCO-ci predicts five-year non–lung cancer (LC) mortality using a regularized Cox model; with performance evaluated using the area under the receiver operating characteristics curve. In NLST, LC mortality (per original publication) was compared between low-dose computed tomography and chest radiograph arms across the PLCO-ci quintile (Q1–5) using a cause-specific hazard ratio (csHR) with 95% confidence intervals (CIs). Results: Analyses included 34,690 PLCO and 53,452 NLST participants (mean age: 62 y [±5 y] and 61 y [±5 y], 58% and 59% male individuals, and 39% and 41% active smokers, respectively). PLCO-ci predicted five-year non-LC mortality with an area under the receiver operating characteristics curve of 0.72 (95% CI: 0.71–0.74) in PLCO and 0.69 (95% CI: 0.67–0.70) in NLST. In NLST, at a median follow-up of 6.5 years, LC mortality was significantly reduced for participants with intermediate comorbidity (Q2, Q3, and Q4): csHR 0.62 (95% CI: 0.41–0.95), 0.68 (95% CI: 0.48–0.96), and 0.72 (95% CI: 0.54–0.96) respectively, with a nonstatistically significant reduction for Q1 (csHR = 0.72, 95% CI: 0.45–1.17) and no reduction for Q5 participants (csHR = 0.99, 95% CI: 0.79–1.23). Participants in Q2, Q3, and Q4 (60%) accounted for 89% of LC deaths averted among all NLST participants. Q1 participants had low LC incidence, whereas Q5 had higher localized LC lethality, more squamous cell carcinomas, and untreated LC. Conclusions: The PLCO-ci developed in this work shows that individuals with intermediate comorbidity benefited the most from LCS, highlighting the need of addressing comorbidities to achieve LC mortality benefits.&quot;,&quot;publisher&quot;:&quot;Elsevier Inc.&quot;,&quot;issue&quot;:&quot;5&quot;,&quot;volume&quot;:&quot;20&quot;,&quot;container-title-short&quot;:&quot;&quot;},&quot;isTemporary&quot;:false}]},{&quot;citationID&quot;:&quot;MENDELEY_CITATION_1e523add-4477-4f25-b8a4-a5a9f7efe5c8&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&quot;,&quot;citationItems&quot;:[{&quot;id&quot;:&quot;4d2290d4-4c5d-3df5-a5bb-546cdc523c16&quot;,&quot;itemData&quot;:{&quot;type&quot;:&quot;article-journal&quot;,&quot;id&quot;:&quot;4d2290d4-4c5d-3df5-a5bb-546cdc523c16&quot;,&quot;title&quot;:&quot;Life-Gained–Based Versus Risk-Based Selection of Smokers for Lung Cancer Screening&quot;,&quot;author&quot;:[{&quot;family&quot;:&quot;Cheung&quot;,&quot;given&quot;:&quot;Li C.&quot;,&quot;parse-names&quot;:false,&quot;dropping-particle&quot;:&quot;&quot;,&quot;non-dropping-particle&quot;:&quot;&quot;},{&quot;family&quot;:&quot;Berg&quot;,&quot;given&quot;:&quot;Christine D.&quot;,&quot;parse-names&quot;:false,&quot;dropping-particle&quot;:&quot;&quot;,&quot;non-dropping-particle&quot;:&quot;&quot;},{&quot;family&quot;:&quot;Castle&quot;,&quot;given&quot;:&quot;Philip E.&quot;,&quot;parse-names&quot;:false,&quot;dropping-particle&quot;:&quot;&quot;,&quot;non-dropping-particle&quot;:&quot;&quot;},{&quot;family&quot;:&quot;Katki&quot;,&quot;given&quot;:&quot;Hormuzd A.&quot;,&quot;parse-names&quot;:false,&quot;dropping-particle&quot;:&quot;&quot;,&quot;non-dropping-particle&quot;:&quot;&quot;},{&quot;family&quot;:&quot;Chaturvedi&quot;,&quot;given&quot;:&quot;Anil K.&quot;,&quot;parse-names&quot;:false,&quot;dropping-particle&quot;:&quot;&quot;,&quot;non-dropping-particle&quot;:&quot;&quot;}],&quot;container-title&quot;:&quot;https://doi.org/10.7326/M19-1263&quot;,&quot;accessed&quot;:{&quot;date-parts&quot;:[[2025,11,27]]},&quot;DOI&quot;:&quot;10.7326/M19-1263&quot;,&quot;ISSN&quot;:&quot;15393704&quot;,&quot;PMID&quot;:&quot;31634914&quot;,&quot;URL&quot;:&quot;/doi/pdf/10.7326/M19-1263?download=true&quot;,&quot;issued&quot;:{&quot;date-parts&quot;:[[2019,10,22]]},&quot;page&quot;:&quot;623-632&quot;,&quot;abstract&quot;:&quot;The best approach to selecting patients for low-dose computed tomography screening for lung cancer is not clear. This study compared the population benefits when persons are chosen for lung cancer ...&quot;,&quot;publisher&quot;:&quot; American College of Physicians &quot;,&quot;issue&quot;:&quot;9&quot;,&quot;volume&quot;:&quot;171&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71EA4-EF0A-4F5F-8E58-03F35309E478}">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Template>
  <TotalTime>1</TotalTime>
  <Pages>49</Pages>
  <Words>8034</Words>
  <Characters>45795</Characters>
  <Application>Microsoft Office Word</Application>
  <DocSecurity>0</DocSecurity>
  <Lines>381</Lines>
  <Paragraphs>107</Paragraphs>
  <ScaleCrop>false</ScaleCrop>
  <Company/>
  <LinksUpToDate>false</LinksUpToDate>
  <CharactersWithSpaces>53722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Daryl</dc:creator>
  <cp:keywords/>
  <dc:description/>
  <cp:lastModifiedBy>Daryl Cheng</cp:lastModifiedBy>
  <cp:revision>3</cp:revision>
  <cp:lastPrinted>2025-04-15T08:16:00Z</cp:lastPrinted>
  <dcterms:created xsi:type="dcterms:W3CDTF">2026-08-07T16:12:00Z</dcterms:created>
  <dcterms:modified xsi:type="dcterms:W3CDTF">2026-08-07T16:13:00Z</dcterms:modified>
</cp:coreProperties>
</file>