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0A9F3" w14:textId="6F9EA412" w:rsidR="00711735" w:rsidRPr="002B2EE8" w:rsidRDefault="002653F2">
      <w:pPr>
        <w:rPr>
          <w:rFonts w:asciiTheme="majorBidi" w:hAnsiTheme="majorBidi" w:cstheme="majorBidi"/>
        </w:rPr>
      </w:pPr>
      <w:r w:rsidRPr="002B2EE8">
        <w:rPr>
          <w:rFonts w:asciiTheme="majorBidi" w:hAnsiTheme="majorBidi" w:cstheme="majorBidi"/>
        </w:rPr>
        <w:t>Suppleman</w:t>
      </w:r>
      <w:r w:rsidR="00381346" w:rsidRPr="002B2EE8">
        <w:rPr>
          <w:rFonts w:asciiTheme="majorBidi" w:hAnsiTheme="majorBidi" w:cstheme="majorBidi"/>
        </w:rPr>
        <w:t>tary</w:t>
      </w:r>
    </w:p>
    <w:p w14:paraId="6053B691" w14:textId="79CADFAE" w:rsidR="00381346" w:rsidRPr="002B2EE8" w:rsidRDefault="003D23AB">
      <w:pPr>
        <w:rPr>
          <w:rFonts w:asciiTheme="majorBidi" w:hAnsiTheme="majorBidi" w:cstheme="majorBidi"/>
        </w:rPr>
      </w:pPr>
      <w:r>
        <w:rPr>
          <w:rFonts w:asciiTheme="majorBidi" w:hAnsiTheme="majorBidi" w:cstheme="majorBidi"/>
          <w:noProof/>
        </w:rPr>
        <w:drawing>
          <wp:inline distT="0" distB="0" distL="0" distR="0" wp14:anchorId="5C80B7F1" wp14:editId="6826EAD1">
            <wp:extent cx="6561510" cy="3205075"/>
            <wp:effectExtent l="0" t="0" r="0" b="0"/>
            <wp:docPr id="14866783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61510" cy="3205075"/>
                    </a:xfrm>
                    <a:prstGeom prst="rect">
                      <a:avLst/>
                    </a:prstGeom>
                    <a:noFill/>
                  </pic:spPr>
                </pic:pic>
              </a:graphicData>
            </a:graphic>
          </wp:inline>
        </w:drawing>
      </w:r>
    </w:p>
    <w:p w14:paraId="41B8A1EF" w14:textId="4B61FF97" w:rsidR="00D903AF" w:rsidRPr="002B2EE8" w:rsidRDefault="004908D8" w:rsidP="004908D8">
      <w:pPr>
        <w:jc w:val="both"/>
        <w:rPr>
          <w:rFonts w:asciiTheme="majorBidi" w:hAnsiTheme="majorBidi" w:cstheme="majorBidi"/>
          <w:lang w:val="en-GB"/>
        </w:rPr>
      </w:pPr>
      <w:r w:rsidRPr="002B2EE8">
        <w:rPr>
          <w:rFonts w:asciiTheme="majorBidi" w:hAnsiTheme="majorBidi" w:cstheme="majorBidi"/>
          <w:lang w:val="en-GB"/>
        </w:rPr>
        <w:t xml:space="preserve">Figure </w:t>
      </w:r>
      <w:r w:rsidR="004611D3">
        <w:rPr>
          <w:rFonts w:asciiTheme="majorBidi" w:hAnsiTheme="majorBidi" w:cstheme="majorBidi"/>
          <w:lang w:val="en-GB"/>
        </w:rPr>
        <w:t>1S</w:t>
      </w:r>
      <w:r w:rsidRPr="002B2EE8">
        <w:rPr>
          <w:rFonts w:asciiTheme="majorBidi" w:hAnsiTheme="majorBidi" w:cstheme="majorBidi"/>
          <w:lang w:val="en-GB"/>
        </w:rPr>
        <w:t>. Representative surface images of carbon steel coupons exposed under (A) static</w:t>
      </w:r>
      <w:r w:rsidR="002B2EE8">
        <w:rPr>
          <w:rFonts w:asciiTheme="majorBidi" w:hAnsiTheme="majorBidi" w:cstheme="majorBidi"/>
          <w:lang w:val="en-GB"/>
        </w:rPr>
        <w:t>-</w:t>
      </w:r>
      <w:r w:rsidRPr="002B2EE8">
        <w:rPr>
          <w:rFonts w:asciiTheme="majorBidi" w:hAnsiTheme="majorBidi" w:cstheme="majorBidi"/>
          <w:lang w:val="en-GB"/>
        </w:rPr>
        <w:t>sediment and (B) low-flow</w:t>
      </w:r>
      <w:r w:rsidR="002B2EE8">
        <w:rPr>
          <w:rFonts w:asciiTheme="majorBidi" w:hAnsiTheme="majorBidi" w:cstheme="majorBidi"/>
          <w:lang w:val="en-GB"/>
        </w:rPr>
        <w:t>-</w:t>
      </w:r>
      <w:r w:rsidRPr="002B2EE8">
        <w:rPr>
          <w:rFonts w:asciiTheme="majorBidi" w:hAnsiTheme="majorBidi" w:cstheme="majorBidi"/>
          <w:lang w:val="en-GB"/>
        </w:rPr>
        <w:t>sediment conditions. Locally elevated thickness values observed in both treatments are attributed to adherent sand particles rather than intrinsic corrosion product or biofilm growth. As indicated by the yellow arrows, several sand grains were firmly embedded within the surface layer and could not be removed without disrupting the underlying corrosion film.</w:t>
      </w:r>
    </w:p>
    <w:p w14:paraId="565DAE79" w14:textId="77777777" w:rsidR="00381346" w:rsidRPr="002B2EE8" w:rsidRDefault="00381346">
      <w:pPr>
        <w:rPr>
          <w:rFonts w:asciiTheme="majorBidi" w:hAnsiTheme="majorBidi" w:cstheme="majorBidi"/>
          <w:lang w:val="en-GB"/>
        </w:rPr>
      </w:pPr>
    </w:p>
    <w:p w14:paraId="02F6B751" w14:textId="5243AE5C" w:rsidR="00E0248E" w:rsidRPr="002B2EE8" w:rsidRDefault="00D54495">
      <w:pPr>
        <w:rPr>
          <w:rFonts w:asciiTheme="majorBidi" w:hAnsiTheme="majorBidi" w:cstheme="majorBidi"/>
          <w:lang w:val="en-GB"/>
        </w:rPr>
      </w:pPr>
      <w:r w:rsidRPr="002B2EE8">
        <w:rPr>
          <w:rFonts w:asciiTheme="majorBidi" w:hAnsiTheme="majorBidi" w:cstheme="majorBidi"/>
          <w:noProof/>
          <w:lang w:val="en-GB"/>
        </w:rPr>
        <w:drawing>
          <wp:inline distT="0" distB="0" distL="0" distR="0" wp14:anchorId="2FB4EEF0" wp14:editId="67736DAF">
            <wp:extent cx="5182235" cy="3048000"/>
            <wp:effectExtent l="0" t="0" r="0" b="0"/>
            <wp:docPr id="1237901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2235" cy="3048000"/>
                    </a:xfrm>
                    <a:prstGeom prst="rect">
                      <a:avLst/>
                    </a:prstGeom>
                    <a:noFill/>
                  </pic:spPr>
                </pic:pic>
              </a:graphicData>
            </a:graphic>
          </wp:inline>
        </w:drawing>
      </w:r>
    </w:p>
    <w:p w14:paraId="437B10CE" w14:textId="0FC8C3A8" w:rsidR="008B4C56" w:rsidRPr="002B2EE8" w:rsidRDefault="004611D3">
      <w:pPr>
        <w:rPr>
          <w:rFonts w:asciiTheme="majorBidi" w:hAnsiTheme="majorBidi" w:cstheme="majorBidi"/>
          <w:lang w:val="en-GB"/>
        </w:rPr>
      </w:pPr>
      <w:r w:rsidRPr="002B2EE8">
        <w:rPr>
          <w:rFonts w:asciiTheme="majorBidi" w:hAnsiTheme="majorBidi" w:cstheme="majorBidi"/>
          <w:lang w:val="en-GB"/>
        </w:rPr>
        <w:t xml:space="preserve">Figure </w:t>
      </w:r>
      <w:r>
        <w:rPr>
          <w:rFonts w:asciiTheme="majorBidi" w:hAnsiTheme="majorBidi" w:cstheme="majorBidi"/>
          <w:lang w:val="en-GB"/>
        </w:rPr>
        <w:t>2S</w:t>
      </w:r>
      <w:r w:rsidR="00B37061" w:rsidRPr="002B2EE8">
        <w:rPr>
          <w:rFonts w:asciiTheme="majorBidi" w:hAnsiTheme="majorBidi" w:cstheme="majorBidi"/>
          <w:lang w:val="en-GB"/>
        </w:rPr>
        <w:t xml:space="preserve">. </w:t>
      </w:r>
      <w:r w:rsidR="00683358" w:rsidRPr="00683358">
        <w:rPr>
          <w:rFonts w:asciiTheme="majorBidi" w:hAnsiTheme="majorBidi" w:cstheme="majorBidi"/>
          <w:lang w:val="en-GB"/>
        </w:rPr>
        <w:t>Scanning electron microscopy (SEM)</w:t>
      </w:r>
      <w:r w:rsidR="00683358">
        <w:rPr>
          <w:rFonts w:asciiTheme="majorBidi" w:hAnsiTheme="majorBidi" w:cstheme="majorBidi"/>
          <w:lang w:val="en-GB"/>
        </w:rPr>
        <w:t xml:space="preserve"> </w:t>
      </w:r>
      <w:r w:rsidR="00B37061" w:rsidRPr="002B2EE8">
        <w:rPr>
          <w:rFonts w:asciiTheme="majorBidi" w:hAnsiTheme="majorBidi" w:cstheme="majorBidi"/>
          <w:lang w:val="en-GB"/>
        </w:rPr>
        <w:t>images of coupons exposed to different hydrodynamic conditions. Red arrows indicate vertically oriented microchimney structures. (D) The biofilm is very thin, and such structures are not formed. (F) The biofilm is very thick, and the surface is covered by a continuous, coherent layer.</w:t>
      </w:r>
    </w:p>
    <w:p w14:paraId="0226C94C" w14:textId="77777777" w:rsidR="008B4C56" w:rsidRPr="002B2EE8" w:rsidRDefault="008B4C56">
      <w:pPr>
        <w:rPr>
          <w:rFonts w:asciiTheme="majorBidi" w:hAnsiTheme="majorBidi" w:cstheme="majorBidi"/>
          <w:lang w:val="en-GB"/>
        </w:rPr>
      </w:pPr>
    </w:p>
    <w:p w14:paraId="5274AE40" w14:textId="77777777" w:rsidR="008B4C56" w:rsidRPr="002B2EE8" w:rsidRDefault="008B4C56">
      <w:pPr>
        <w:rPr>
          <w:rFonts w:asciiTheme="majorBidi" w:hAnsiTheme="majorBidi" w:cstheme="majorBidi"/>
          <w:lang w:val="en-GB"/>
        </w:rPr>
      </w:pPr>
    </w:p>
    <w:p w14:paraId="2C07ECF1" w14:textId="0FBAA916" w:rsidR="00E0248E" w:rsidRPr="002B2EE8" w:rsidRDefault="003C1A03" w:rsidP="00E0248E">
      <w:pPr>
        <w:rPr>
          <w:rFonts w:asciiTheme="majorBidi" w:hAnsiTheme="majorBidi" w:cstheme="majorBidi"/>
        </w:rPr>
      </w:pPr>
      <w:r>
        <w:rPr>
          <w:rFonts w:asciiTheme="majorBidi" w:hAnsiTheme="majorBidi" w:cstheme="majorBidi"/>
          <w:noProof/>
        </w:rPr>
        <w:lastRenderedPageBreak/>
        <w:drawing>
          <wp:inline distT="0" distB="0" distL="0" distR="0" wp14:anchorId="26260CAC" wp14:editId="06B429A8">
            <wp:extent cx="4837815" cy="4118776"/>
            <wp:effectExtent l="0" t="0" r="1270" b="0"/>
            <wp:docPr id="13080976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8348" cy="4119229"/>
                    </a:xfrm>
                    <a:prstGeom prst="rect">
                      <a:avLst/>
                    </a:prstGeom>
                    <a:noFill/>
                  </pic:spPr>
                </pic:pic>
              </a:graphicData>
            </a:graphic>
          </wp:inline>
        </w:drawing>
      </w:r>
    </w:p>
    <w:p w14:paraId="471994D2" w14:textId="79EF38D0" w:rsidR="00E0248E" w:rsidRPr="005D674E" w:rsidRDefault="00E0248E" w:rsidP="00E0248E">
      <w:pPr>
        <w:rPr>
          <w:rFonts w:asciiTheme="majorBidi" w:hAnsiTheme="majorBidi" w:cstheme="majorBidi"/>
          <w:lang w:val="en-GB"/>
        </w:rPr>
      </w:pPr>
      <w:r w:rsidRPr="005D674E">
        <w:rPr>
          <w:rFonts w:asciiTheme="majorBidi" w:hAnsiTheme="majorBidi" w:cstheme="majorBidi"/>
          <w:lang w:val="en-US"/>
        </w:rPr>
        <w:t xml:space="preserve">Figure </w:t>
      </w:r>
      <w:r w:rsidRPr="005D674E">
        <w:rPr>
          <w:rFonts w:asciiTheme="majorBidi" w:hAnsiTheme="majorBidi" w:cstheme="majorBidi"/>
          <w:lang w:val="en-GB"/>
        </w:rPr>
        <w:t>3</w:t>
      </w:r>
      <w:r w:rsidR="005D674E">
        <w:rPr>
          <w:rFonts w:asciiTheme="majorBidi" w:hAnsiTheme="majorBidi" w:cstheme="majorBidi"/>
          <w:lang w:val="en-GB"/>
        </w:rPr>
        <w:t>S</w:t>
      </w:r>
      <w:r w:rsidR="005D674E" w:rsidRPr="005D674E">
        <w:rPr>
          <w:rFonts w:asciiTheme="majorBidi" w:hAnsiTheme="majorBidi" w:cstheme="majorBidi"/>
          <w:lang w:val="en-GB"/>
        </w:rPr>
        <w:t>.</w:t>
      </w:r>
      <w:r w:rsidRPr="005D674E">
        <w:rPr>
          <w:rFonts w:asciiTheme="majorBidi" w:hAnsiTheme="majorBidi" w:cstheme="majorBidi"/>
          <w:lang w:val="en-GB"/>
        </w:rPr>
        <w:t xml:space="preserve"> Top ten most abundant Taxa by Treatment</w:t>
      </w:r>
    </w:p>
    <w:p w14:paraId="25A452C4" w14:textId="77777777" w:rsidR="00E0248E" w:rsidRDefault="00E0248E">
      <w:pPr>
        <w:rPr>
          <w:rFonts w:asciiTheme="majorBidi" w:hAnsiTheme="majorBidi" w:cstheme="majorBidi"/>
          <w:lang w:val="en-GB"/>
        </w:rPr>
      </w:pPr>
    </w:p>
    <w:p w14:paraId="3E2FC89F" w14:textId="6EF4B152" w:rsidR="000132B6" w:rsidRDefault="00D11B23" w:rsidP="000132B6">
      <w:pPr>
        <w:pStyle w:val="GFZStandard"/>
        <w:spacing w:line="276" w:lineRule="auto"/>
        <w:rPr>
          <w:lang w:val="en-US"/>
        </w:rPr>
      </w:pPr>
      <w:r>
        <w:rPr>
          <w:noProof/>
          <w:lang w:val="en-US"/>
        </w:rPr>
        <w:drawing>
          <wp:inline distT="0" distB="0" distL="0" distR="0" wp14:anchorId="4F680784" wp14:editId="15F8B379">
            <wp:extent cx="4041223" cy="3682794"/>
            <wp:effectExtent l="0" t="0" r="0" b="0"/>
            <wp:docPr id="4589555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1223" cy="3682794"/>
                    </a:xfrm>
                    <a:prstGeom prst="rect">
                      <a:avLst/>
                    </a:prstGeom>
                    <a:noFill/>
                  </pic:spPr>
                </pic:pic>
              </a:graphicData>
            </a:graphic>
          </wp:inline>
        </w:drawing>
      </w:r>
    </w:p>
    <w:p w14:paraId="4A305C32" w14:textId="77777777" w:rsidR="000132B6" w:rsidRPr="0038194C" w:rsidRDefault="000132B6" w:rsidP="000132B6">
      <w:pPr>
        <w:jc w:val="both"/>
        <w:rPr>
          <w:lang w:val="en-US"/>
        </w:rPr>
      </w:pPr>
    </w:p>
    <w:p w14:paraId="3C4DBB3D" w14:textId="2A6FD8B0" w:rsidR="000132B6" w:rsidRPr="000132B6" w:rsidRDefault="000132B6" w:rsidP="000132B6">
      <w:pPr>
        <w:pStyle w:val="GFZStandard"/>
        <w:spacing w:line="276" w:lineRule="auto"/>
        <w:rPr>
          <w:rFonts w:asciiTheme="majorBidi" w:hAnsiTheme="majorBidi" w:cstheme="majorBidi"/>
          <w:sz w:val="22"/>
          <w:szCs w:val="22"/>
          <w:lang w:val="en-GB"/>
        </w:rPr>
      </w:pPr>
      <w:r w:rsidRPr="000132B6">
        <w:rPr>
          <w:rFonts w:asciiTheme="majorBidi" w:hAnsiTheme="majorBidi" w:cstheme="majorBidi"/>
          <w:sz w:val="22"/>
          <w:szCs w:val="22"/>
          <w:lang w:val="en-US"/>
        </w:rPr>
        <w:t>Figure 4</w:t>
      </w:r>
      <w:r w:rsidRPr="000132B6">
        <w:rPr>
          <w:rFonts w:asciiTheme="majorBidi" w:hAnsiTheme="majorBidi" w:cstheme="majorBidi"/>
          <w:sz w:val="22"/>
          <w:szCs w:val="22"/>
          <w:lang w:val="en-US"/>
        </w:rPr>
        <w:t>S</w:t>
      </w:r>
      <w:r w:rsidRPr="000132B6">
        <w:rPr>
          <w:rFonts w:asciiTheme="majorBidi" w:hAnsiTheme="majorBidi" w:cstheme="majorBidi"/>
          <w:sz w:val="22"/>
          <w:szCs w:val="22"/>
          <w:lang w:val="en-US"/>
        </w:rPr>
        <w:t xml:space="preserve">: Stachbar plot showing the relative abundance of ASVs summarized on the taxonomic level of families. </w:t>
      </w:r>
      <w:r w:rsidRPr="000132B6">
        <w:rPr>
          <w:rFonts w:asciiTheme="majorBidi" w:hAnsiTheme="majorBidi" w:cstheme="majorBidi"/>
          <w:sz w:val="22"/>
          <w:szCs w:val="22"/>
          <w:lang w:val="en-GB"/>
        </w:rPr>
        <w:t>'Taxa (%) by treatment — ≥2% shown</w:t>
      </w:r>
    </w:p>
    <w:p w14:paraId="0D9F9550" w14:textId="77777777" w:rsidR="000132B6" w:rsidRPr="002B2EE8" w:rsidRDefault="000132B6">
      <w:pPr>
        <w:rPr>
          <w:rFonts w:asciiTheme="majorBidi" w:hAnsiTheme="majorBidi" w:cstheme="majorBidi"/>
          <w:lang w:val="en-GB"/>
        </w:rPr>
      </w:pPr>
    </w:p>
    <w:sectPr w:rsidR="000132B6" w:rsidRPr="002B2EE8" w:rsidSect="007117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735"/>
    <w:rsid w:val="000132B6"/>
    <w:rsid w:val="000702AB"/>
    <w:rsid w:val="000E328B"/>
    <w:rsid w:val="00133D61"/>
    <w:rsid w:val="001372BA"/>
    <w:rsid w:val="002653F2"/>
    <w:rsid w:val="002B2EE8"/>
    <w:rsid w:val="00381346"/>
    <w:rsid w:val="003A0388"/>
    <w:rsid w:val="003C1A03"/>
    <w:rsid w:val="003D23AB"/>
    <w:rsid w:val="004611D3"/>
    <w:rsid w:val="004614B5"/>
    <w:rsid w:val="00472046"/>
    <w:rsid w:val="004908D8"/>
    <w:rsid w:val="005440A2"/>
    <w:rsid w:val="00557951"/>
    <w:rsid w:val="005D674E"/>
    <w:rsid w:val="005E5FD0"/>
    <w:rsid w:val="00683358"/>
    <w:rsid w:val="006C0CBC"/>
    <w:rsid w:val="00711735"/>
    <w:rsid w:val="00784C74"/>
    <w:rsid w:val="0079767E"/>
    <w:rsid w:val="008B4C56"/>
    <w:rsid w:val="00A51DC0"/>
    <w:rsid w:val="00B37061"/>
    <w:rsid w:val="00D11B23"/>
    <w:rsid w:val="00D256E8"/>
    <w:rsid w:val="00D54495"/>
    <w:rsid w:val="00D903AF"/>
    <w:rsid w:val="00E0248E"/>
    <w:rsid w:val="00F021FC"/>
    <w:rsid w:val="00F82E5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87A8E"/>
  <w15:chartTrackingRefBased/>
  <w15:docId w15:val="{145684B0-5C40-498E-862C-D7E07D39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117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117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1173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1173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1173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1173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1173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1173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1173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1173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1173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1173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1173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1173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1173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1173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1173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11735"/>
    <w:rPr>
      <w:rFonts w:eastAsiaTheme="majorEastAsia" w:cstheme="majorBidi"/>
      <w:color w:val="272727" w:themeColor="text1" w:themeTint="D8"/>
    </w:rPr>
  </w:style>
  <w:style w:type="paragraph" w:styleId="Titel">
    <w:name w:val="Title"/>
    <w:basedOn w:val="Standard"/>
    <w:next w:val="Standard"/>
    <w:link w:val="TitelZchn"/>
    <w:uiPriority w:val="10"/>
    <w:qFormat/>
    <w:rsid w:val="007117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1173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1173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1173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1173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11735"/>
    <w:rPr>
      <w:i/>
      <w:iCs/>
      <w:color w:val="404040" w:themeColor="text1" w:themeTint="BF"/>
    </w:rPr>
  </w:style>
  <w:style w:type="paragraph" w:styleId="Listenabsatz">
    <w:name w:val="List Paragraph"/>
    <w:basedOn w:val="Standard"/>
    <w:uiPriority w:val="34"/>
    <w:qFormat/>
    <w:rsid w:val="00711735"/>
    <w:pPr>
      <w:ind w:left="720"/>
      <w:contextualSpacing/>
    </w:pPr>
  </w:style>
  <w:style w:type="character" w:styleId="IntensiveHervorhebung">
    <w:name w:val="Intense Emphasis"/>
    <w:basedOn w:val="Absatz-Standardschriftart"/>
    <w:uiPriority w:val="21"/>
    <w:qFormat/>
    <w:rsid w:val="00711735"/>
    <w:rPr>
      <w:i/>
      <w:iCs/>
      <w:color w:val="0F4761" w:themeColor="accent1" w:themeShade="BF"/>
    </w:rPr>
  </w:style>
  <w:style w:type="paragraph" w:styleId="IntensivesZitat">
    <w:name w:val="Intense Quote"/>
    <w:basedOn w:val="Standard"/>
    <w:next w:val="Standard"/>
    <w:link w:val="IntensivesZitatZchn"/>
    <w:uiPriority w:val="30"/>
    <w:qFormat/>
    <w:rsid w:val="007117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11735"/>
    <w:rPr>
      <w:i/>
      <w:iCs/>
      <w:color w:val="0F4761" w:themeColor="accent1" w:themeShade="BF"/>
    </w:rPr>
  </w:style>
  <w:style w:type="character" w:styleId="IntensiverVerweis">
    <w:name w:val="Intense Reference"/>
    <w:basedOn w:val="Absatz-Standardschriftart"/>
    <w:uiPriority w:val="32"/>
    <w:qFormat/>
    <w:rsid w:val="00711735"/>
    <w:rPr>
      <w:b/>
      <w:bCs/>
      <w:smallCaps/>
      <w:color w:val="0F4761" w:themeColor="accent1" w:themeShade="BF"/>
      <w:spacing w:val="5"/>
    </w:rPr>
  </w:style>
  <w:style w:type="table" w:styleId="Tabellenraster">
    <w:name w:val="Table Grid"/>
    <w:basedOn w:val="NormaleTabelle"/>
    <w:uiPriority w:val="39"/>
    <w:rsid w:val="00557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FZStandard">
    <w:name w:val="GFZ Standard"/>
    <w:basedOn w:val="Standard"/>
    <w:rsid w:val="000132B6"/>
    <w:pPr>
      <w:widowControl w:val="0"/>
      <w:suppressAutoHyphens/>
      <w:spacing w:after="0" w:line="240" w:lineRule="auto"/>
    </w:pPr>
    <w:rPr>
      <w:rFonts w:ascii="Verdana" w:eastAsia="SimSun" w:hAnsi="Verdana" w:cs="Mangal"/>
      <w:kern w:val="1"/>
      <w:sz w:val="20"/>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141</Words>
  <Characters>892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Taghavi Kalajahi, Sara</dc:creator>
  <cp:keywords/>
  <dc:description/>
  <cp:lastModifiedBy>Taghavi Kalajahi, Sara</cp:lastModifiedBy>
  <cp:revision>24</cp:revision>
  <dcterms:created xsi:type="dcterms:W3CDTF">2026-02-18T09:52:00Z</dcterms:created>
  <dcterms:modified xsi:type="dcterms:W3CDTF">2026-02-25T17:41:00Z</dcterms:modified>
</cp:coreProperties>
</file>