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5166" w14:textId="38B832D1" w:rsidR="006A187D" w:rsidRPr="00267942" w:rsidRDefault="006A187D" w:rsidP="3A74018A">
      <w:pPr>
        <w:spacing w:after="0" w:line="360" w:lineRule="auto"/>
        <w:jc w:val="center"/>
        <w:textAlignment w:val="baseline"/>
        <w:rPr>
          <w:rFonts w:ascii="Times New Roman" w:eastAsia="Times New Roman" w:hAnsi="Times New Roman" w:cs="Times New Roman"/>
          <w:b/>
          <w:bCs/>
          <w:lang w:val="en-US" w:eastAsia="es-ES"/>
        </w:rPr>
      </w:pPr>
      <w:bookmarkStart w:id="0" w:name="_Toc586998111"/>
      <w:r w:rsidRPr="3FF61BCF">
        <w:rPr>
          <w:rFonts w:ascii="Times New Roman" w:eastAsia="Times New Roman" w:hAnsi="Times New Roman" w:cs="Times New Roman"/>
          <w:b/>
          <w:bCs/>
          <w:lang w:val="en-US" w:eastAsia="es-ES"/>
        </w:rPr>
        <w:t xml:space="preserve">Appendix </w:t>
      </w:r>
      <w:r w:rsidR="59F84EFA" w:rsidRPr="3FF61BCF">
        <w:rPr>
          <w:rFonts w:ascii="Times New Roman" w:eastAsia="Times New Roman" w:hAnsi="Times New Roman" w:cs="Times New Roman"/>
          <w:b/>
          <w:bCs/>
          <w:lang w:val="en-US" w:eastAsia="es-ES"/>
        </w:rPr>
        <w:t>B</w:t>
      </w:r>
      <w:r w:rsidR="4B7893F8" w:rsidRPr="3FF61BCF">
        <w:rPr>
          <w:rFonts w:ascii="Times New Roman" w:eastAsia="Times New Roman" w:hAnsi="Times New Roman" w:cs="Times New Roman"/>
          <w:b/>
          <w:bCs/>
          <w:lang w:val="en-US" w:eastAsia="es-ES"/>
        </w:rPr>
        <w:t xml:space="preserve">. </w:t>
      </w:r>
      <w:r w:rsidRPr="3FF61BCF">
        <w:rPr>
          <w:rFonts w:ascii="Times New Roman" w:eastAsia="Times New Roman" w:hAnsi="Times New Roman" w:cs="Times New Roman"/>
          <w:b/>
          <w:bCs/>
          <w:lang w:val="en-US" w:eastAsia="es-ES"/>
        </w:rPr>
        <w:t>Description and Justification for the Use of Feasibility Indicators by SET</w:t>
      </w:r>
      <w:r w:rsidR="6CDAB6C4" w:rsidRPr="3FF61BCF">
        <w:rPr>
          <w:rFonts w:ascii="Times New Roman" w:eastAsia="Times New Roman" w:hAnsi="Times New Roman" w:cs="Times New Roman"/>
          <w:b/>
          <w:bCs/>
          <w:lang w:val="en-US" w:eastAsia="es-ES"/>
        </w:rPr>
        <w:t>S</w:t>
      </w:r>
      <w:r w:rsidRPr="3FF61BCF">
        <w:rPr>
          <w:rFonts w:ascii="Times New Roman" w:eastAsia="Times New Roman" w:hAnsi="Times New Roman" w:cs="Times New Roman"/>
          <w:b/>
          <w:bCs/>
          <w:lang w:val="en-US" w:eastAsia="es-ES"/>
        </w:rPr>
        <w:t xml:space="preserve"> </w:t>
      </w:r>
      <w:r w:rsidR="190253D8" w:rsidRPr="3FF61BCF">
        <w:rPr>
          <w:rFonts w:ascii="Times New Roman" w:eastAsia="Times New Roman" w:hAnsi="Times New Roman" w:cs="Times New Roman"/>
          <w:b/>
          <w:bCs/>
          <w:lang w:val="en-US" w:eastAsia="es-ES"/>
        </w:rPr>
        <w:t>D</w:t>
      </w:r>
      <w:r w:rsidRPr="3FF61BCF">
        <w:rPr>
          <w:rFonts w:ascii="Times New Roman" w:eastAsia="Times New Roman" w:hAnsi="Times New Roman" w:cs="Times New Roman"/>
          <w:b/>
          <w:bCs/>
          <w:lang w:val="en-US" w:eastAsia="es-ES"/>
        </w:rPr>
        <w:t xml:space="preserve">omains </w:t>
      </w:r>
    </w:p>
    <w:p w14:paraId="352078AB"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 </w:t>
      </w:r>
    </w:p>
    <w:p w14:paraId="39C1FDF4" w14:textId="77777777" w:rsidR="006A187D" w:rsidRPr="00267942" w:rsidRDefault="006A187D" w:rsidP="00C70AFA">
      <w:pPr>
        <w:numPr>
          <w:ilvl w:val="0"/>
          <w:numId w:val="1"/>
        </w:numPr>
        <w:spacing w:before="120" w:after="0" w:line="360" w:lineRule="auto"/>
        <w:ind w:firstLine="0"/>
        <w:jc w:val="both"/>
        <w:textAlignment w:val="baseline"/>
        <w:rPr>
          <w:rFonts w:ascii="Times New Roman" w:eastAsia="Times New Roman" w:hAnsi="Times New Roman" w:cs="Times New Roman"/>
          <w:color w:val="000000"/>
          <w:u w:val="single"/>
          <w:lang w:val="en-US" w:eastAsia="es-ES"/>
        </w:rPr>
      </w:pPr>
      <w:r w:rsidRPr="00267942">
        <w:rPr>
          <w:rFonts w:ascii="Times New Roman" w:eastAsia="Times New Roman" w:hAnsi="Times New Roman" w:cs="Times New Roman"/>
          <w:color w:val="000000"/>
          <w:u w:val="single"/>
          <w:lang w:val="en-US" w:eastAsia="es-ES"/>
        </w:rPr>
        <w:t>Social feasibility </w:t>
      </w:r>
    </w:p>
    <w:p w14:paraId="62385E91"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 </w:t>
      </w:r>
    </w:p>
    <w:p w14:paraId="13E27098" w14:textId="6C988F23" w:rsidR="006A187D" w:rsidRPr="00267942" w:rsidRDefault="00B96205" w:rsidP="00C70AFA">
      <w:pPr>
        <w:spacing w:after="0" w:line="360" w:lineRule="auto"/>
        <w:jc w:val="both"/>
        <w:textAlignment w:val="baseline"/>
        <w:rPr>
          <w:rFonts w:ascii="Times New Roman" w:eastAsia="Times New Roman" w:hAnsi="Times New Roman" w:cs="Times New Roman"/>
          <w:lang w:val="en-US" w:eastAsia="es-ES"/>
        </w:rPr>
      </w:pPr>
      <w:r>
        <w:rPr>
          <w:rFonts w:ascii="Times New Roman" w:eastAsia="Times New Roman" w:hAnsi="Times New Roman" w:cs="Times New Roman"/>
          <w:b/>
          <w:lang w:val="en-US" w:eastAsia="es-ES"/>
        </w:rPr>
        <w:t>a</w:t>
      </w:r>
      <w:r w:rsidR="006A187D" w:rsidRPr="00267942">
        <w:rPr>
          <w:rFonts w:ascii="Times New Roman" w:eastAsia="Times New Roman" w:hAnsi="Times New Roman" w:cs="Times New Roman"/>
          <w:b/>
          <w:color w:val="000000"/>
          <w:lang w:val="en-US" w:eastAsia="es-ES"/>
        </w:rPr>
        <w:t>.</w:t>
      </w:r>
      <w:r w:rsidR="006A187D" w:rsidRPr="00267942">
        <w:rPr>
          <w:rFonts w:ascii="Times New Roman" w:eastAsia="Times New Roman" w:hAnsi="Times New Roman" w:cs="Times New Roman"/>
          <w:lang w:val="en-US" w:eastAsia="es-ES"/>
        </w:rPr>
        <w:t xml:space="preserve"> </w:t>
      </w:r>
      <w:r w:rsidR="006A187D" w:rsidRPr="00267942">
        <w:rPr>
          <w:rFonts w:ascii="Times New Roman" w:eastAsia="Times New Roman" w:hAnsi="Times New Roman" w:cs="Times New Roman"/>
          <w:b/>
          <w:color w:val="000000"/>
          <w:lang w:val="en-US" w:eastAsia="es-ES"/>
        </w:rPr>
        <w:t>Current land use</w:t>
      </w:r>
      <w:r w:rsidR="006A187D" w:rsidRPr="00267942">
        <w:rPr>
          <w:rFonts w:ascii="Times New Roman" w:eastAsia="Times New Roman" w:hAnsi="Times New Roman" w:cs="Times New Roman"/>
          <w:color w:val="000000"/>
          <w:lang w:val="en-US" w:eastAsia="es-ES"/>
        </w:rPr>
        <w:t> </w:t>
      </w:r>
    </w:p>
    <w:p w14:paraId="710630FC"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i/>
          <w:color w:val="000000"/>
          <w:lang w:val="en-US" w:eastAsia="es-ES"/>
        </w:rPr>
        <w:t>Description of the raster map</w:t>
      </w:r>
      <w:r w:rsidRPr="00267942">
        <w:rPr>
          <w:rFonts w:ascii="Times New Roman" w:eastAsia="Times New Roman" w:hAnsi="Times New Roman" w:cs="Times New Roman"/>
          <w:color w:val="000000"/>
          <w:lang w:val="en-US" w:eastAsia="es-ES"/>
        </w:rPr>
        <w:t> </w:t>
      </w:r>
    </w:p>
    <w:p w14:paraId="1592357A"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color w:val="000000"/>
          <w:lang w:val="en-US" w:eastAsia="es-ES"/>
        </w:rPr>
        <w:t> </w:t>
      </w:r>
    </w:p>
    <w:tbl>
      <w:tblPr>
        <w:tblStyle w:val="PlainTable2"/>
        <w:tblW w:w="7083" w:type="dxa"/>
        <w:tblLayout w:type="fixed"/>
        <w:tblLook w:val="04A0" w:firstRow="1" w:lastRow="0" w:firstColumn="1" w:lastColumn="0" w:noHBand="0" w:noVBand="1"/>
      </w:tblPr>
      <w:tblGrid>
        <w:gridCol w:w="1415"/>
        <w:gridCol w:w="1417"/>
        <w:gridCol w:w="1417"/>
        <w:gridCol w:w="1417"/>
        <w:gridCol w:w="1417"/>
      </w:tblGrid>
      <w:tr w:rsidR="005539A4" w:rsidRPr="00267942" w14:paraId="7F86F7C4" w14:textId="77777777" w:rsidTr="005D3316">
        <w:trPr>
          <w:cnfStyle w:val="100000000000" w:firstRow="1" w:lastRow="0" w:firstColumn="0" w:lastColumn="0" w:oddVBand="0" w:evenVBand="0" w:oddHBand="0" w:evenHBand="0" w:firstRowFirstColumn="0" w:firstRowLastColumn="0" w:lastRowFirstColumn="0" w:lastRowLastColumn="0"/>
          <w:trHeight w:val="1222"/>
        </w:trPr>
        <w:tc>
          <w:tcPr>
            <w:cnfStyle w:val="001000000000" w:firstRow="0" w:lastRow="0" w:firstColumn="1" w:lastColumn="0" w:oddVBand="0" w:evenVBand="0" w:oddHBand="0" w:evenHBand="0" w:firstRowFirstColumn="0" w:firstRowLastColumn="0" w:lastRowFirstColumn="0" w:lastRowLastColumn="0"/>
            <w:tcW w:w="1415" w:type="dxa"/>
            <w:noWrap/>
            <w:vAlign w:val="center"/>
            <w:hideMark/>
          </w:tcPr>
          <w:p w14:paraId="7A6D31D9" w14:textId="77777777" w:rsidR="005539A4" w:rsidRPr="005539A4" w:rsidRDefault="005539A4" w:rsidP="005D3316">
            <w:pPr>
              <w:spacing w:line="360" w:lineRule="auto"/>
              <w:jc w:val="center"/>
              <w:textAlignment w:val="baseline"/>
              <w:rPr>
                <w:rFonts w:ascii="Times New Roman" w:eastAsia="Times New Roman" w:hAnsi="Times New Roman" w:cs="Times New Roman"/>
                <w:sz w:val="18"/>
                <w:szCs w:val="18"/>
                <w:lang w:val="en-US" w:eastAsia="es-ES"/>
              </w:rPr>
            </w:pPr>
          </w:p>
          <w:p w14:paraId="4A1E46CB" w14:textId="77777777" w:rsidR="005539A4" w:rsidRPr="005539A4" w:rsidRDefault="005539A4" w:rsidP="005D3316">
            <w:pPr>
              <w:spacing w:line="360" w:lineRule="auto"/>
              <w:jc w:val="center"/>
              <w:textAlignment w:val="baseline"/>
              <w:rPr>
                <w:rFonts w:ascii="Times New Roman" w:eastAsia="Times New Roman" w:hAnsi="Times New Roman" w:cs="Times New Roman"/>
                <w:sz w:val="18"/>
                <w:szCs w:val="18"/>
                <w:lang w:val="en-US" w:eastAsia="es-ES"/>
              </w:rPr>
            </w:pPr>
            <w:r w:rsidRPr="005539A4">
              <w:rPr>
                <w:rFonts w:ascii="Times New Roman" w:eastAsia="Times New Roman" w:hAnsi="Times New Roman" w:cs="Times New Roman"/>
                <w:sz w:val="18"/>
                <w:szCs w:val="18"/>
                <w:lang w:val="en-US" w:eastAsia="es-ES"/>
              </w:rPr>
              <w:t>Land Use</w:t>
            </w:r>
          </w:p>
          <w:p w14:paraId="068EC86B" w14:textId="77777777" w:rsidR="005539A4" w:rsidRPr="005539A4" w:rsidRDefault="005539A4" w:rsidP="005D3316">
            <w:pPr>
              <w:spacing w:line="360" w:lineRule="auto"/>
              <w:jc w:val="center"/>
              <w:textAlignment w:val="baseline"/>
              <w:rPr>
                <w:rFonts w:ascii="Times New Roman" w:eastAsia="Times New Roman" w:hAnsi="Times New Roman" w:cs="Times New Roman"/>
                <w:sz w:val="18"/>
                <w:szCs w:val="18"/>
                <w:lang w:val="en-US" w:eastAsia="es-ES"/>
              </w:rPr>
            </w:pPr>
          </w:p>
        </w:tc>
        <w:tc>
          <w:tcPr>
            <w:tcW w:w="1417" w:type="dxa"/>
            <w:vAlign w:val="center"/>
            <w:hideMark/>
          </w:tcPr>
          <w:p w14:paraId="01D64941" w14:textId="77777777" w:rsidR="005539A4" w:rsidRPr="005D3316" w:rsidRDefault="005539A4" w:rsidP="005D3316">
            <w:pPr>
              <w:spacing w:line="36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5D3316">
              <w:rPr>
                <w:rFonts w:ascii="Times New Roman" w:eastAsia="Times New Roman" w:hAnsi="Times New Roman" w:cs="Times New Roman"/>
                <w:sz w:val="18"/>
                <w:szCs w:val="18"/>
                <w:lang w:val="en-US" w:eastAsia="es-ES"/>
              </w:rPr>
              <w:t>Green Roofs</w:t>
            </w:r>
          </w:p>
        </w:tc>
        <w:tc>
          <w:tcPr>
            <w:tcW w:w="1417" w:type="dxa"/>
            <w:vAlign w:val="center"/>
          </w:tcPr>
          <w:p w14:paraId="14C505E7" w14:textId="77777777" w:rsidR="005539A4" w:rsidRPr="005D3316" w:rsidRDefault="005539A4" w:rsidP="005D3316">
            <w:pPr>
              <w:spacing w:line="36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5D3316">
              <w:rPr>
                <w:rFonts w:ascii="Times New Roman" w:eastAsia="Times New Roman" w:hAnsi="Times New Roman" w:cs="Times New Roman"/>
                <w:sz w:val="18"/>
                <w:szCs w:val="18"/>
                <w:lang w:val="en-US" w:eastAsia="es-ES"/>
              </w:rPr>
              <w:t>Rain garden</w:t>
            </w:r>
          </w:p>
        </w:tc>
        <w:tc>
          <w:tcPr>
            <w:tcW w:w="1417" w:type="dxa"/>
            <w:vAlign w:val="center"/>
            <w:hideMark/>
          </w:tcPr>
          <w:p w14:paraId="005B1DDF" w14:textId="77777777" w:rsidR="005539A4" w:rsidRPr="005D3316" w:rsidRDefault="005539A4" w:rsidP="005D3316">
            <w:pPr>
              <w:spacing w:line="36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5D3316">
              <w:rPr>
                <w:rFonts w:ascii="Times New Roman" w:eastAsia="Times New Roman" w:hAnsi="Times New Roman" w:cs="Times New Roman"/>
                <w:sz w:val="18"/>
                <w:szCs w:val="18"/>
                <w:lang w:val="en-US" w:eastAsia="es-ES"/>
              </w:rPr>
              <w:t>Porous pavement</w:t>
            </w:r>
          </w:p>
        </w:tc>
        <w:tc>
          <w:tcPr>
            <w:tcW w:w="1417" w:type="dxa"/>
            <w:vAlign w:val="center"/>
            <w:hideMark/>
          </w:tcPr>
          <w:p w14:paraId="42959521" w14:textId="5186D2DD" w:rsidR="005539A4" w:rsidRPr="005D3316" w:rsidRDefault="005539A4" w:rsidP="005D3316">
            <w:pPr>
              <w:spacing w:line="36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5D3316">
              <w:rPr>
                <w:rFonts w:ascii="Times New Roman" w:eastAsia="Times New Roman" w:hAnsi="Times New Roman" w:cs="Times New Roman"/>
                <w:sz w:val="18"/>
                <w:szCs w:val="18"/>
                <w:lang w:val="en-US" w:eastAsia="es-ES"/>
              </w:rPr>
              <w:t>Urban parks</w:t>
            </w:r>
          </w:p>
        </w:tc>
      </w:tr>
      <w:tr w:rsidR="005539A4" w:rsidRPr="00267942" w14:paraId="7B28443E" w14:textId="77777777" w:rsidTr="005D331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15" w:type="dxa"/>
            <w:noWrap/>
            <w:vAlign w:val="center"/>
            <w:hideMark/>
          </w:tcPr>
          <w:p w14:paraId="77DC0E30" w14:textId="567DF2CA" w:rsidR="005539A4" w:rsidRPr="005539A4" w:rsidRDefault="005539A4" w:rsidP="005D3316">
            <w:pPr>
              <w:spacing w:line="360" w:lineRule="auto"/>
              <w:jc w:val="center"/>
              <w:textAlignment w:val="baseline"/>
              <w:rPr>
                <w:rFonts w:ascii="Times New Roman" w:eastAsia="Times New Roman" w:hAnsi="Times New Roman" w:cs="Times New Roman"/>
                <w:sz w:val="18"/>
                <w:szCs w:val="18"/>
                <w:lang w:val="en-US" w:eastAsia="es-ES"/>
              </w:rPr>
            </w:pPr>
            <w:r w:rsidRPr="005539A4">
              <w:rPr>
                <w:rFonts w:ascii="Times New Roman" w:eastAsia="Times New Roman" w:hAnsi="Times New Roman" w:cs="Times New Roman"/>
                <w:sz w:val="18"/>
                <w:szCs w:val="18"/>
                <w:lang w:val="en-US" w:eastAsia="es-ES"/>
              </w:rPr>
              <w:t>Existing urban parks and gardens</w:t>
            </w:r>
          </w:p>
        </w:tc>
        <w:tc>
          <w:tcPr>
            <w:tcW w:w="1417" w:type="dxa"/>
            <w:noWrap/>
            <w:vAlign w:val="center"/>
            <w:hideMark/>
          </w:tcPr>
          <w:p w14:paraId="75E6A46D" w14:textId="77777777" w:rsidR="005539A4" w:rsidRPr="00267942" w:rsidRDefault="005539A4" w:rsidP="005D3316">
            <w:pPr>
              <w:spacing w:line="36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vAlign w:val="center"/>
          </w:tcPr>
          <w:p w14:paraId="2C3ECE74" w14:textId="77777777" w:rsidR="005539A4" w:rsidRPr="00267942" w:rsidRDefault="005539A4" w:rsidP="005D3316">
            <w:pPr>
              <w:spacing w:line="36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1</w:t>
            </w:r>
          </w:p>
        </w:tc>
        <w:tc>
          <w:tcPr>
            <w:tcW w:w="1417" w:type="dxa"/>
            <w:noWrap/>
            <w:vAlign w:val="center"/>
            <w:hideMark/>
          </w:tcPr>
          <w:p w14:paraId="3C6A3D7B" w14:textId="77777777" w:rsidR="005539A4" w:rsidRPr="00267942" w:rsidRDefault="005539A4" w:rsidP="005D3316">
            <w:pPr>
              <w:spacing w:line="36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noWrap/>
            <w:vAlign w:val="center"/>
            <w:hideMark/>
          </w:tcPr>
          <w:p w14:paraId="52C56E60" w14:textId="77777777" w:rsidR="005539A4" w:rsidRPr="00267942" w:rsidRDefault="005539A4" w:rsidP="005D3316">
            <w:pPr>
              <w:spacing w:line="36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r>
      <w:tr w:rsidR="005539A4" w:rsidRPr="00267942" w14:paraId="69E7CCF1" w14:textId="77777777" w:rsidTr="005D3316">
        <w:trPr>
          <w:trHeight w:val="277"/>
        </w:trPr>
        <w:tc>
          <w:tcPr>
            <w:cnfStyle w:val="001000000000" w:firstRow="0" w:lastRow="0" w:firstColumn="1" w:lastColumn="0" w:oddVBand="0" w:evenVBand="0" w:oddHBand="0" w:evenHBand="0" w:firstRowFirstColumn="0" w:firstRowLastColumn="0" w:lastRowFirstColumn="0" w:lastRowLastColumn="0"/>
            <w:tcW w:w="1415" w:type="dxa"/>
            <w:noWrap/>
            <w:vAlign w:val="center"/>
            <w:hideMark/>
          </w:tcPr>
          <w:p w14:paraId="52CF09E4" w14:textId="38D81DFA" w:rsidR="005539A4" w:rsidRPr="005539A4" w:rsidRDefault="005539A4" w:rsidP="005D3316">
            <w:pPr>
              <w:spacing w:line="360" w:lineRule="auto"/>
              <w:jc w:val="center"/>
              <w:textAlignment w:val="baseline"/>
              <w:rPr>
                <w:rFonts w:ascii="Times New Roman" w:eastAsia="Times New Roman" w:hAnsi="Times New Roman" w:cs="Times New Roman"/>
                <w:sz w:val="18"/>
                <w:szCs w:val="18"/>
                <w:lang w:val="en-US" w:eastAsia="es-ES"/>
              </w:rPr>
            </w:pPr>
            <w:r w:rsidRPr="005539A4">
              <w:rPr>
                <w:rFonts w:ascii="Times New Roman" w:eastAsia="Times New Roman" w:hAnsi="Times New Roman" w:cs="Times New Roman"/>
                <w:sz w:val="18"/>
                <w:szCs w:val="18"/>
                <w:lang w:val="en-US" w:eastAsia="es-ES"/>
              </w:rPr>
              <w:t>Parking lots</w:t>
            </w:r>
          </w:p>
        </w:tc>
        <w:tc>
          <w:tcPr>
            <w:tcW w:w="1417" w:type="dxa"/>
            <w:noWrap/>
            <w:vAlign w:val="center"/>
            <w:hideMark/>
          </w:tcPr>
          <w:p w14:paraId="0A2B80A0" w14:textId="77777777" w:rsidR="005539A4" w:rsidRPr="00267942" w:rsidRDefault="005539A4" w:rsidP="005D3316">
            <w:pPr>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vAlign w:val="center"/>
          </w:tcPr>
          <w:p w14:paraId="41F23398" w14:textId="77777777" w:rsidR="005539A4" w:rsidRPr="00267942" w:rsidRDefault="005539A4" w:rsidP="005D3316">
            <w:pPr>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noWrap/>
            <w:vAlign w:val="center"/>
            <w:hideMark/>
          </w:tcPr>
          <w:p w14:paraId="668C240A" w14:textId="77777777" w:rsidR="005539A4" w:rsidRPr="00267942" w:rsidRDefault="005539A4" w:rsidP="005D3316">
            <w:pPr>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1</w:t>
            </w:r>
          </w:p>
        </w:tc>
        <w:tc>
          <w:tcPr>
            <w:tcW w:w="1417" w:type="dxa"/>
            <w:noWrap/>
            <w:vAlign w:val="center"/>
            <w:hideMark/>
          </w:tcPr>
          <w:p w14:paraId="294F7FD5" w14:textId="77777777" w:rsidR="005539A4" w:rsidRPr="00267942" w:rsidRDefault="005539A4" w:rsidP="005D3316">
            <w:pPr>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0.5</w:t>
            </w:r>
          </w:p>
        </w:tc>
      </w:tr>
      <w:tr w:rsidR="005539A4" w:rsidRPr="00267942" w14:paraId="5C9A9423" w14:textId="77777777" w:rsidTr="005D331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15" w:type="dxa"/>
            <w:noWrap/>
            <w:vAlign w:val="center"/>
            <w:hideMark/>
          </w:tcPr>
          <w:p w14:paraId="7CAE2D16" w14:textId="5602DD8E" w:rsidR="005539A4" w:rsidRPr="005539A4" w:rsidRDefault="005539A4" w:rsidP="005D3316">
            <w:pPr>
              <w:spacing w:line="360" w:lineRule="auto"/>
              <w:jc w:val="center"/>
              <w:textAlignment w:val="baseline"/>
              <w:rPr>
                <w:rFonts w:ascii="Times New Roman" w:eastAsia="Times New Roman" w:hAnsi="Times New Roman" w:cs="Times New Roman"/>
                <w:sz w:val="18"/>
                <w:szCs w:val="18"/>
                <w:lang w:val="en-US" w:eastAsia="es-ES"/>
              </w:rPr>
            </w:pPr>
            <w:r w:rsidRPr="005539A4">
              <w:rPr>
                <w:rFonts w:ascii="Times New Roman" w:eastAsia="Times New Roman" w:hAnsi="Times New Roman" w:cs="Times New Roman"/>
                <w:sz w:val="18"/>
                <w:szCs w:val="18"/>
                <w:lang w:val="en-US" w:eastAsia="es-ES"/>
              </w:rPr>
              <w:t>Buildings</w:t>
            </w:r>
          </w:p>
        </w:tc>
        <w:tc>
          <w:tcPr>
            <w:tcW w:w="1417" w:type="dxa"/>
            <w:noWrap/>
            <w:vAlign w:val="center"/>
            <w:hideMark/>
          </w:tcPr>
          <w:p w14:paraId="6AC67AF6" w14:textId="77777777" w:rsidR="005539A4" w:rsidRPr="00267942" w:rsidRDefault="005539A4" w:rsidP="005D3316">
            <w:pPr>
              <w:spacing w:line="36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1</w:t>
            </w:r>
          </w:p>
        </w:tc>
        <w:tc>
          <w:tcPr>
            <w:tcW w:w="1417" w:type="dxa"/>
            <w:vAlign w:val="center"/>
          </w:tcPr>
          <w:p w14:paraId="5B6811F9" w14:textId="77777777" w:rsidR="005539A4" w:rsidRPr="00267942" w:rsidRDefault="005539A4" w:rsidP="005D3316">
            <w:pPr>
              <w:spacing w:line="36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noWrap/>
            <w:vAlign w:val="center"/>
            <w:hideMark/>
          </w:tcPr>
          <w:p w14:paraId="37094DB2" w14:textId="77777777" w:rsidR="005539A4" w:rsidRPr="00267942" w:rsidRDefault="005539A4" w:rsidP="005D3316">
            <w:pPr>
              <w:spacing w:line="36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noWrap/>
            <w:vAlign w:val="center"/>
            <w:hideMark/>
          </w:tcPr>
          <w:p w14:paraId="7AF6795B" w14:textId="77777777" w:rsidR="005539A4" w:rsidRPr="00267942" w:rsidRDefault="005539A4" w:rsidP="005D3316">
            <w:pPr>
              <w:spacing w:line="36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r>
      <w:tr w:rsidR="005539A4" w:rsidRPr="00267942" w14:paraId="5A591992" w14:textId="77777777" w:rsidTr="005D3316">
        <w:trPr>
          <w:trHeight w:val="277"/>
        </w:trPr>
        <w:tc>
          <w:tcPr>
            <w:cnfStyle w:val="001000000000" w:firstRow="0" w:lastRow="0" w:firstColumn="1" w:lastColumn="0" w:oddVBand="0" w:evenVBand="0" w:oddHBand="0" w:evenHBand="0" w:firstRowFirstColumn="0" w:firstRowLastColumn="0" w:lastRowFirstColumn="0" w:lastRowLastColumn="0"/>
            <w:tcW w:w="1415" w:type="dxa"/>
            <w:noWrap/>
            <w:vAlign w:val="center"/>
            <w:hideMark/>
          </w:tcPr>
          <w:p w14:paraId="3131FB20" w14:textId="46FA7357" w:rsidR="005539A4" w:rsidRPr="005539A4" w:rsidRDefault="005539A4" w:rsidP="005D3316">
            <w:pPr>
              <w:spacing w:line="360" w:lineRule="auto"/>
              <w:jc w:val="center"/>
              <w:textAlignment w:val="baseline"/>
              <w:rPr>
                <w:rFonts w:ascii="Times New Roman" w:eastAsia="Times New Roman" w:hAnsi="Times New Roman" w:cs="Times New Roman"/>
                <w:sz w:val="18"/>
                <w:szCs w:val="18"/>
                <w:lang w:val="en-US" w:eastAsia="es-ES"/>
              </w:rPr>
            </w:pPr>
            <w:r w:rsidRPr="005539A4">
              <w:rPr>
                <w:rFonts w:ascii="Times New Roman" w:eastAsia="Times New Roman" w:hAnsi="Times New Roman" w:cs="Times New Roman"/>
                <w:sz w:val="18"/>
                <w:szCs w:val="18"/>
                <w:lang w:val="en-US" w:eastAsia="es-ES"/>
              </w:rPr>
              <w:t>Roads</w:t>
            </w:r>
          </w:p>
        </w:tc>
        <w:tc>
          <w:tcPr>
            <w:tcW w:w="1417" w:type="dxa"/>
            <w:noWrap/>
            <w:vAlign w:val="center"/>
            <w:hideMark/>
          </w:tcPr>
          <w:p w14:paraId="59FA51C1" w14:textId="77777777" w:rsidR="005539A4" w:rsidRPr="00267942" w:rsidRDefault="005539A4" w:rsidP="005D3316">
            <w:pPr>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vAlign w:val="center"/>
          </w:tcPr>
          <w:p w14:paraId="731F4D19" w14:textId="77777777" w:rsidR="005539A4" w:rsidRPr="00267942" w:rsidRDefault="005539A4" w:rsidP="005D3316">
            <w:pPr>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noWrap/>
            <w:vAlign w:val="center"/>
            <w:hideMark/>
          </w:tcPr>
          <w:p w14:paraId="5FFC0E5E" w14:textId="77777777" w:rsidR="005539A4" w:rsidRPr="00267942" w:rsidRDefault="005539A4" w:rsidP="005D3316">
            <w:pPr>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1</w:t>
            </w:r>
          </w:p>
        </w:tc>
        <w:tc>
          <w:tcPr>
            <w:tcW w:w="1417" w:type="dxa"/>
            <w:noWrap/>
            <w:vAlign w:val="center"/>
            <w:hideMark/>
          </w:tcPr>
          <w:p w14:paraId="63C01100" w14:textId="77777777" w:rsidR="005539A4" w:rsidRPr="00267942" w:rsidRDefault="005539A4" w:rsidP="005D3316">
            <w:pPr>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0.5</w:t>
            </w:r>
          </w:p>
        </w:tc>
      </w:tr>
      <w:tr w:rsidR="005539A4" w:rsidRPr="00267942" w14:paraId="08958853" w14:textId="77777777" w:rsidTr="005D331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15" w:type="dxa"/>
            <w:noWrap/>
            <w:vAlign w:val="center"/>
            <w:hideMark/>
          </w:tcPr>
          <w:p w14:paraId="2736D773" w14:textId="77777777" w:rsidR="005539A4" w:rsidRPr="005539A4" w:rsidRDefault="005539A4" w:rsidP="005D3316">
            <w:pPr>
              <w:spacing w:line="360" w:lineRule="auto"/>
              <w:jc w:val="center"/>
              <w:textAlignment w:val="baseline"/>
              <w:rPr>
                <w:rFonts w:ascii="Times New Roman" w:eastAsia="Times New Roman" w:hAnsi="Times New Roman" w:cs="Times New Roman"/>
                <w:sz w:val="18"/>
                <w:szCs w:val="18"/>
                <w:lang w:val="en-US" w:eastAsia="es-ES"/>
              </w:rPr>
            </w:pPr>
            <w:r w:rsidRPr="005539A4">
              <w:rPr>
                <w:rFonts w:ascii="Times New Roman" w:eastAsia="Times New Roman" w:hAnsi="Times New Roman" w:cs="Times New Roman"/>
                <w:sz w:val="18"/>
                <w:szCs w:val="18"/>
                <w:lang w:val="en-US" w:eastAsia="es-ES"/>
              </w:rPr>
              <w:t>Railroad</w:t>
            </w:r>
          </w:p>
          <w:p w14:paraId="7DF40F58" w14:textId="77777777" w:rsidR="005539A4" w:rsidRPr="005539A4" w:rsidRDefault="005539A4" w:rsidP="005D3316">
            <w:pPr>
              <w:spacing w:line="360" w:lineRule="auto"/>
              <w:jc w:val="center"/>
              <w:textAlignment w:val="baseline"/>
              <w:rPr>
                <w:rFonts w:ascii="Times New Roman" w:eastAsia="Times New Roman" w:hAnsi="Times New Roman" w:cs="Times New Roman"/>
                <w:sz w:val="18"/>
                <w:szCs w:val="18"/>
                <w:lang w:val="en-US" w:eastAsia="es-ES"/>
              </w:rPr>
            </w:pPr>
            <w:r w:rsidRPr="005539A4">
              <w:rPr>
                <w:rFonts w:ascii="Times New Roman" w:eastAsia="Times New Roman" w:hAnsi="Times New Roman" w:cs="Times New Roman"/>
                <w:sz w:val="18"/>
                <w:szCs w:val="18"/>
                <w:lang w:val="en-US" w:eastAsia="es-ES"/>
              </w:rPr>
              <w:t>track</w:t>
            </w:r>
          </w:p>
        </w:tc>
        <w:tc>
          <w:tcPr>
            <w:tcW w:w="1417" w:type="dxa"/>
            <w:noWrap/>
            <w:vAlign w:val="center"/>
            <w:hideMark/>
          </w:tcPr>
          <w:p w14:paraId="1C35B7A0" w14:textId="77777777" w:rsidR="005539A4" w:rsidRPr="00267942" w:rsidRDefault="005539A4" w:rsidP="005D3316">
            <w:pPr>
              <w:spacing w:line="36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vAlign w:val="center"/>
          </w:tcPr>
          <w:p w14:paraId="53D24466" w14:textId="77777777" w:rsidR="005539A4" w:rsidRPr="00267942" w:rsidRDefault="005539A4" w:rsidP="005D3316">
            <w:pPr>
              <w:spacing w:line="36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noWrap/>
            <w:vAlign w:val="center"/>
            <w:hideMark/>
          </w:tcPr>
          <w:p w14:paraId="6AC19539" w14:textId="77777777" w:rsidR="005539A4" w:rsidRPr="00267942" w:rsidRDefault="005539A4" w:rsidP="005D3316">
            <w:pPr>
              <w:spacing w:line="36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noWrap/>
            <w:vAlign w:val="center"/>
            <w:hideMark/>
          </w:tcPr>
          <w:p w14:paraId="1F8691D6" w14:textId="77777777" w:rsidR="005539A4" w:rsidRPr="00267942" w:rsidRDefault="005539A4" w:rsidP="005D3316">
            <w:pPr>
              <w:spacing w:line="36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r>
      <w:tr w:rsidR="005539A4" w:rsidRPr="00267942" w14:paraId="7CEBA800" w14:textId="77777777" w:rsidTr="005D3316">
        <w:trPr>
          <w:trHeight w:val="277"/>
        </w:trPr>
        <w:tc>
          <w:tcPr>
            <w:cnfStyle w:val="001000000000" w:firstRow="0" w:lastRow="0" w:firstColumn="1" w:lastColumn="0" w:oddVBand="0" w:evenVBand="0" w:oddHBand="0" w:evenHBand="0" w:firstRowFirstColumn="0" w:firstRowLastColumn="0" w:lastRowFirstColumn="0" w:lastRowLastColumn="0"/>
            <w:tcW w:w="1415" w:type="dxa"/>
            <w:noWrap/>
            <w:vAlign w:val="center"/>
            <w:hideMark/>
          </w:tcPr>
          <w:p w14:paraId="6B9B99DD" w14:textId="1127B9E2" w:rsidR="005539A4" w:rsidRPr="005539A4" w:rsidRDefault="005539A4" w:rsidP="005D3316">
            <w:pPr>
              <w:spacing w:line="360" w:lineRule="auto"/>
              <w:jc w:val="center"/>
              <w:textAlignment w:val="baseline"/>
              <w:rPr>
                <w:rFonts w:ascii="Times New Roman" w:eastAsia="Times New Roman" w:hAnsi="Times New Roman" w:cs="Times New Roman"/>
                <w:sz w:val="18"/>
                <w:szCs w:val="18"/>
                <w:lang w:val="en-US" w:eastAsia="es-ES"/>
              </w:rPr>
            </w:pPr>
            <w:r w:rsidRPr="005539A4">
              <w:rPr>
                <w:rFonts w:ascii="Times New Roman" w:eastAsia="Times New Roman" w:hAnsi="Times New Roman" w:cs="Times New Roman"/>
                <w:sz w:val="18"/>
                <w:szCs w:val="18"/>
                <w:lang w:val="en-US" w:eastAsia="es-ES"/>
              </w:rPr>
              <w:t>Sidewalk</w:t>
            </w:r>
          </w:p>
        </w:tc>
        <w:tc>
          <w:tcPr>
            <w:tcW w:w="1417" w:type="dxa"/>
            <w:noWrap/>
            <w:vAlign w:val="center"/>
            <w:hideMark/>
          </w:tcPr>
          <w:p w14:paraId="536CA282" w14:textId="77777777" w:rsidR="005539A4" w:rsidRPr="00267942" w:rsidRDefault="005539A4" w:rsidP="005D3316">
            <w:pPr>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vAlign w:val="center"/>
          </w:tcPr>
          <w:p w14:paraId="09A34446" w14:textId="77777777" w:rsidR="005539A4" w:rsidRPr="00267942" w:rsidRDefault="005539A4" w:rsidP="005D3316">
            <w:pPr>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noWrap/>
            <w:vAlign w:val="center"/>
            <w:hideMark/>
          </w:tcPr>
          <w:p w14:paraId="3B3A1D48" w14:textId="77777777" w:rsidR="005539A4" w:rsidRPr="00267942" w:rsidRDefault="005539A4" w:rsidP="005D3316">
            <w:pPr>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noWrap/>
            <w:vAlign w:val="center"/>
            <w:hideMark/>
          </w:tcPr>
          <w:p w14:paraId="3F821851" w14:textId="77777777" w:rsidR="005539A4" w:rsidRPr="00267942" w:rsidRDefault="005539A4" w:rsidP="005D3316">
            <w:pPr>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r>
      <w:tr w:rsidR="005539A4" w:rsidRPr="00267942" w14:paraId="79668ECB" w14:textId="77777777" w:rsidTr="005D331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415" w:type="dxa"/>
            <w:noWrap/>
            <w:vAlign w:val="center"/>
            <w:hideMark/>
          </w:tcPr>
          <w:p w14:paraId="7798FA43" w14:textId="77777777" w:rsidR="005539A4" w:rsidRPr="005539A4" w:rsidRDefault="005539A4" w:rsidP="005D3316">
            <w:pPr>
              <w:spacing w:line="360" w:lineRule="auto"/>
              <w:jc w:val="center"/>
              <w:textAlignment w:val="baseline"/>
              <w:rPr>
                <w:rFonts w:ascii="Times New Roman" w:eastAsia="Times New Roman" w:hAnsi="Times New Roman" w:cs="Times New Roman"/>
                <w:sz w:val="18"/>
                <w:szCs w:val="18"/>
                <w:lang w:val="en-US" w:eastAsia="es-ES"/>
              </w:rPr>
            </w:pPr>
            <w:r w:rsidRPr="005539A4">
              <w:rPr>
                <w:rFonts w:ascii="Times New Roman" w:eastAsia="Times New Roman" w:hAnsi="Times New Roman" w:cs="Times New Roman"/>
                <w:sz w:val="18"/>
                <w:szCs w:val="18"/>
                <w:lang w:val="en-US" w:eastAsia="es-ES"/>
              </w:rPr>
              <w:t>Sport fields</w:t>
            </w:r>
          </w:p>
        </w:tc>
        <w:tc>
          <w:tcPr>
            <w:tcW w:w="1417" w:type="dxa"/>
            <w:noWrap/>
            <w:vAlign w:val="center"/>
            <w:hideMark/>
          </w:tcPr>
          <w:p w14:paraId="3BB051FC" w14:textId="77777777" w:rsidR="005539A4" w:rsidRPr="00267942" w:rsidRDefault="005539A4" w:rsidP="005D3316">
            <w:pPr>
              <w:spacing w:line="36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vAlign w:val="center"/>
          </w:tcPr>
          <w:p w14:paraId="764608A9" w14:textId="77777777" w:rsidR="005539A4" w:rsidRPr="00267942" w:rsidRDefault="005539A4" w:rsidP="005D3316">
            <w:pPr>
              <w:spacing w:line="36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noWrap/>
            <w:vAlign w:val="center"/>
            <w:hideMark/>
          </w:tcPr>
          <w:p w14:paraId="2F074832" w14:textId="77777777" w:rsidR="005539A4" w:rsidRPr="00267942" w:rsidRDefault="005539A4" w:rsidP="005D3316">
            <w:pPr>
              <w:spacing w:line="36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noWrap/>
            <w:vAlign w:val="center"/>
            <w:hideMark/>
          </w:tcPr>
          <w:p w14:paraId="456972D1" w14:textId="77777777" w:rsidR="005539A4" w:rsidRPr="00267942" w:rsidRDefault="005539A4" w:rsidP="005D3316">
            <w:pPr>
              <w:spacing w:line="36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r>
      <w:tr w:rsidR="005539A4" w:rsidRPr="00267942" w14:paraId="0CCBDC8E" w14:textId="77777777" w:rsidTr="005D3316">
        <w:trPr>
          <w:trHeight w:val="833"/>
        </w:trPr>
        <w:tc>
          <w:tcPr>
            <w:cnfStyle w:val="001000000000" w:firstRow="0" w:lastRow="0" w:firstColumn="1" w:lastColumn="0" w:oddVBand="0" w:evenVBand="0" w:oddHBand="0" w:evenHBand="0" w:firstRowFirstColumn="0" w:firstRowLastColumn="0" w:lastRowFirstColumn="0" w:lastRowLastColumn="0"/>
            <w:tcW w:w="1415" w:type="dxa"/>
            <w:vAlign w:val="center"/>
            <w:hideMark/>
          </w:tcPr>
          <w:p w14:paraId="6E80FDE6" w14:textId="77777777" w:rsidR="005539A4" w:rsidRPr="005539A4" w:rsidRDefault="005539A4" w:rsidP="005D3316">
            <w:pPr>
              <w:spacing w:line="360" w:lineRule="auto"/>
              <w:jc w:val="center"/>
              <w:textAlignment w:val="baseline"/>
              <w:rPr>
                <w:rFonts w:ascii="Times New Roman" w:eastAsia="Times New Roman" w:hAnsi="Times New Roman" w:cs="Times New Roman"/>
                <w:sz w:val="18"/>
                <w:szCs w:val="18"/>
                <w:lang w:val="en-US" w:eastAsia="es-ES"/>
              </w:rPr>
            </w:pPr>
            <w:r w:rsidRPr="005539A4">
              <w:rPr>
                <w:rFonts w:ascii="Times New Roman" w:eastAsia="Times New Roman" w:hAnsi="Times New Roman" w:cs="Times New Roman"/>
                <w:sz w:val="18"/>
                <w:szCs w:val="18"/>
                <w:lang w:val="en-US" w:eastAsia="es-ES"/>
              </w:rPr>
              <w:t>Green area (which is not park)</w:t>
            </w:r>
          </w:p>
        </w:tc>
        <w:tc>
          <w:tcPr>
            <w:tcW w:w="1417" w:type="dxa"/>
            <w:noWrap/>
            <w:vAlign w:val="center"/>
            <w:hideMark/>
          </w:tcPr>
          <w:p w14:paraId="48050584" w14:textId="77777777" w:rsidR="005539A4" w:rsidRPr="00267942" w:rsidRDefault="005539A4" w:rsidP="005D3316">
            <w:pPr>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vAlign w:val="center"/>
          </w:tcPr>
          <w:p w14:paraId="03B17C2A" w14:textId="77777777" w:rsidR="005539A4" w:rsidRPr="00267942" w:rsidRDefault="005539A4" w:rsidP="005D3316">
            <w:pPr>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1</w:t>
            </w:r>
          </w:p>
        </w:tc>
        <w:tc>
          <w:tcPr>
            <w:tcW w:w="1417" w:type="dxa"/>
            <w:noWrap/>
            <w:vAlign w:val="center"/>
            <w:hideMark/>
          </w:tcPr>
          <w:p w14:paraId="32BE4198" w14:textId="77777777" w:rsidR="005539A4" w:rsidRPr="00267942" w:rsidRDefault="005539A4" w:rsidP="005D3316">
            <w:pPr>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c>
          <w:tcPr>
            <w:tcW w:w="1417" w:type="dxa"/>
            <w:noWrap/>
            <w:vAlign w:val="center"/>
            <w:hideMark/>
          </w:tcPr>
          <w:p w14:paraId="47E73AE9" w14:textId="77777777" w:rsidR="005539A4" w:rsidRPr="00267942" w:rsidRDefault="005539A4" w:rsidP="005D3316">
            <w:pPr>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US" w:eastAsia="es-ES"/>
              </w:rPr>
            </w:pPr>
            <w:r w:rsidRPr="00267942">
              <w:rPr>
                <w:rFonts w:ascii="Times New Roman" w:eastAsia="Times New Roman" w:hAnsi="Times New Roman" w:cs="Times New Roman"/>
                <w:sz w:val="18"/>
                <w:szCs w:val="18"/>
                <w:lang w:val="en-US" w:eastAsia="es-ES"/>
              </w:rPr>
              <w:t>0</w:t>
            </w:r>
          </w:p>
        </w:tc>
      </w:tr>
    </w:tbl>
    <w:p w14:paraId="03D8FA3F"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p>
    <w:p w14:paraId="36050161" w14:textId="07CFD36C"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 xml:space="preserve">Table </w:t>
      </w:r>
      <w:r w:rsidR="00267942" w:rsidRPr="00267942">
        <w:rPr>
          <w:rFonts w:ascii="Times New Roman" w:eastAsia="Times New Roman" w:hAnsi="Times New Roman" w:cs="Times New Roman"/>
          <w:lang w:val="en-US" w:eastAsia="es-ES"/>
        </w:rPr>
        <w:t>1</w:t>
      </w:r>
      <w:r w:rsidRPr="00267942">
        <w:rPr>
          <w:rFonts w:ascii="Times New Roman" w:eastAsia="Times New Roman" w:hAnsi="Times New Roman" w:cs="Times New Roman"/>
          <w:lang w:val="en-US" w:eastAsia="es-ES"/>
        </w:rPr>
        <w:t>: Overview of Land use allocation possibilities for the different NBS. (1</w:t>
      </w:r>
      <w:r w:rsidRPr="00267942">
        <w:rPr>
          <w:rFonts w:ascii="Times New Roman" w:eastAsia="Times New Roman" w:hAnsi="Times New Roman" w:cs="Times New Roman"/>
          <w:color w:val="70AD47"/>
          <w:lang w:val="en-US" w:eastAsia="es-ES"/>
        </w:rPr>
        <w:t xml:space="preserve"> </w:t>
      </w:r>
      <w:r w:rsidRPr="00267942">
        <w:rPr>
          <w:rFonts w:ascii="Times New Roman" w:eastAsia="Times New Roman" w:hAnsi="Times New Roman" w:cs="Times New Roman"/>
          <w:lang w:val="en-US" w:eastAsia="es-ES"/>
        </w:rPr>
        <w:t>-feasible, 0- not feasible) add literature</w:t>
      </w:r>
    </w:p>
    <w:p w14:paraId="7912AC71"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color w:val="000000"/>
          <w:lang w:val="en-US" w:eastAsia="es-ES"/>
        </w:rPr>
        <w:t> </w:t>
      </w:r>
    </w:p>
    <w:p w14:paraId="5C6E72D2"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i/>
          <w:color w:val="000000"/>
          <w:lang w:val="en-US" w:eastAsia="es-ES"/>
        </w:rPr>
        <w:t>Rationale</w:t>
      </w:r>
      <w:r w:rsidRPr="00267942">
        <w:rPr>
          <w:rFonts w:ascii="Times New Roman" w:eastAsia="Times New Roman" w:hAnsi="Times New Roman" w:cs="Times New Roman"/>
          <w:color w:val="000000"/>
          <w:lang w:val="en-US" w:eastAsia="es-ES"/>
        </w:rPr>
        <w:t> </w:t>
      </w:r>
    </w:p>
    <w:p w14:paraId="1437C13A"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 xml:space="preserve">Changing current land-use has been identified as a barrier to NBS implementation (Johns, 2019). For </w:t>
      </w:r>
      <w:proofErr w:type="gramStart"/>
      <w:r w:rsidRPr="00267942">
        <w:rPr>
          <w:rFonts w:ascii="Times New Roman" w:eastAsia="Times New Roman" w:hAnsi="Times New Roman" w:cs="Times New Roman"/>
          <w:lang w:val="en-US" w:eastAsia="es-ES"/>
        </w:rPr>
        <w:t>example</w:t>
      </w:r>
      <w:proofErr w:type="gramEnd"/>
      <w:r w:rsidRPr="00267942">
        <w:rPr>
          <w:rFonts w:ascii="Times New Roman" w:eastAsia="Times New Roman" w:hAnsi="Times New Roman" w:cs="Times New Roman"/>
          <w:lang w:val="en-US" w:eastAsia="es-ES"/>
        </w:rPr>
        <w:t xml:space="preserve"> NBS are less socially accepted by certain groups in society when they reduce parking lots (Everett et al., 2018). Building on this, we assume that unused land may be easier to transform whereas major changes in function will make </w:t>
      </w:r>
      <w:proofErr w:type="gramStart"/>
      <w:r w:rsidRPr="00267942">
        <w:rPr>
          <w:rFonts w:ascii="Times New Roman" w:eastAsia="Times New Roman" w:hAnsi="Times New Roman" w:cs="Times New Roman"/>
          <w:lang w:val="en-US" w:eastAsia="es-ES"/>
        </w:rPr>
        <w:t>a development</w:t>
      </w:r>
      <w:proofErr w:type="gramEnd"/>
      <w:r w:rsidRPr="00267942">
        <w:rPr>
          <w:rFonts w:ascii="Times New Roman" w:eastAsia="Times New Roman" w:hAnsi="Times New Roman" w:cs="Times New Roman"/>
          <w:lang w:val="en-US" w:eastAsia="es-ES"/>
        </w:rPr>
        <w:t xml:space="preserve"> less likely. Nevertheless, we don’t rule out functional changes as impossible, since changes might lead to perceived benefits and usage patterns can vary in the future. </w:t>
      </w:r>
    </w:p>
    <w:p w14:paraId="39FC86DE"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p>
    <w:p w14:paraId="27CEC05A" w14:textId="37C54B24"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lastRenderedPageBreak/>
        <w:t> </w:t>
      </w:r>
      <w:r w:rsidR="00B96205">
        <w:rPr>
          <w:rFonts w:ascii="Times New Roman" w:eastAsia="Times New Roman" w:hAnsi="Times New Roman" w:cs="Times New Roman"/>
          <w:b/>
          <w:lang w:val="en-US" w:eastAsia="es-ES"/>
        </w:rPr>
        <w:t>b</w:t>
      </w:r>
      <w:r w:rsidRPr="00267942">
        <w:rPr>
          <w:rFonts w:ascii="Times New Roman" w:eastAsia="Times New Roman" w:hAnsi="Times New Roman" w:cs="Times New Roman"/>
          <w:b/>
          <w:color w:val="000000"/>
          <w:lang w:val="en-US" w:eastAsia="es-ES"/>
        </w:rPr>
        <w:t>.</w:t>
      </w:r>
      <w:r w:rsidRPr="00267942">
        <w:rPr>
          <w:rFonts w:ascii="Times New Roman" w:eastAsia="Times New Roman" w:hAnsi="Times New Roman" w:cs="Times New Roman"/>
          <w:lang w:val="en-US" w:eastAsia="es-ES"/>
        </w:rPr>
        <w:t xml:space="preserve"> </w:t>
      </w:r>
      <w:proofErr w:type="gramStart"/>
      <w:r w:rsidRPr="00267942">
        <w:rPr>
          <w:rFonts w:ascii="Times New Roman" w:eastAsia="Times New Roman" w:hAnsi="Times New Roman" w:cs="Times New Roman"/>
          <w:b/>
          <w:color w:val="000000"/>
          <w:lang w:val="en-US" w:eastAsia="es-ES"/>
        </w:rPr>
        <w:t>Social</w:t>
      </w:r>
      <w:proofErr w:type="gramEnd"/>
      <w:r w:rsidRPr="00267942">
        <w:rPr>
          <w:rFonts w:ascii="Times New Roman" w:eastAsia="Times New Roman" w:hAnsi="Times New Roman" w:cs="Times New Roman"/>
          <w:b/>
          <w:color w:val="000000"/>
          <w:lang w:val="en-US" w:eastAsia="es-ES"/>
        </w:rPr>
        <w:t xml:space="preserve"> acceptance</w:t>
      </w:r>
      <w:r w:rsidRPr="00267942">
        <w:rPr>
          <w:rFonts w:ascii="Times New Roman" w:eastAsia="Times New Roman" w:hAnsi="Times New Roman" w:cs="Times New Roman"/>
          <w:color w:val="000000"/>
          <w:lang w:val="en-US" w:eastAsia="es-ES"/>
        </w:rPr>
        <w:t> </w:t>
      </w:r>
    </w:p>
    <w:p w14:paraId="41B5FE08" w14:textId="77777777" w:rsidR="006A187D" w:rsidRPr="00267942" w:rsidRDefault="006A187D" w:rsidP="00C70AFA">
      <w:pPr>
        <w:spacing w:after="0" w:line="360" w:lineRule="auto"/>
        <w:jc w:val="both"/>
        <w:textAlignment w:val="baseline"/>
        <w:rPr>
          <w:rFonts w:ascii="Times New Roman" w:eastAsia="Times New Roman" w:hAnsi="Times New Roman" w:cs="Times New Roman"/>
          <w:color w:val="000000"/>
          <w:lang w:val="en-US" w:eastAsia="es-ES"/>
        </w:rPr>
      </w:pPr>
      <w:r w:rsidRPr="00267942">
        <w:rPr>
          <w:rFonts w:ascii="Times New Roman" w:eastAsia="Times New Roman" w:hAnsi="Times New Roman" w:cs="Times New Roman"/>
          <w:i/>
          <w:color w:val="000000"/>
          <w:lang w:val="en-US" w:eastAsia="es-ES"/>
        </w:rPr>
        <w:t>Description of the raster map</w:t>
      </w:r>
      <w:r w:rsidRPr="00267942">
        <w:rPr>
          <w:rFonts w:ascii="Times New Roman" w:eastAsia="Times New Roman" w:hAnsi="Times New Roman" w:cs="Times New Roman"/>
          <w:color w:val="000000"/>
          <w:lang w:val="en-US" w:eastAsia="es-ES"/>
        </w:rPr>
        <w:t> </w:t>
      </w:r>
    </w:p>
    <w:tbl>
      <w:tblPr>
        <w:tblW w:w="77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5922"/>
      </w:tblGrid>
      <w:tr w:rsidR="005D3316" w:rsidRPr="00267942" w14:paraId="7F4079B2" w14:textId="77777777" w:rsidTr="005D3316">
        <w:trPr>
          <w:trHeight w:val="90"/>
        </w:trPr>
        <w:tc>
          <w:tcPr>
            <w:tcW w:w="1875" w:type="dxa"/>
            <w:tcBorders>
              <w:top w:val="nil"/>
              <w:left w:val="nil"/>
              <w:bottom w:val="single" w:sz="6" w:space="0" w:color="000000"/>
              <w:right w:val="nil"/>
            </w:tcBorders>
            <w:hideMark/>
          </w:tcPr>
          <w:p w14:paraId="7DDF61BA"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b/>
                <w:lang w:val="en-US" w:eastAsia="es-ES"/>
              </w:rPr>
              <w:t>Feasibility</w:t>
            </w:r>
            <w:r w:rsidRPr="00267942">
              <w:rPr>
                <w:rFonts w:ascii="Times New Roman" w:eastAsia="Times New Roman" w:hAnsi="Times New Roman" w:cs="Times New Roman"/>
                <w:lang w:val="en-US" w:eastAsia="es-ES"/>
              </w:rPr>
              <w:t> </w:t>
            </w:r>
          </w:p>
        </w:tc>
        <w:tc>
          <w:tcPr>
            <w:tcW w:w="5922" w:type="dxa"/>
            <w:tcBorders>
              <w:top w:val="nil"/>
              <w:left w:val="nil"/>
              <w:bottom w:val="single" w:sz="6" w:space="0" w:color="000000"/>
              <w:right w:val="nil"/>
            </w:tcBorders>
            <w:hideMark/>
          </w:tcPr>
          <w:p w14:paraId="28C7421F"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b/>
                <w:lang w:val="en-US" w:eastAsia="es-ES"/>
              </w:rPr>
              <w:t>Value</w:t>
            </w:r>
            <w:r w:rsidRPr="00267942">
              <w:rPr>
                <w:rFonts w:ascii="Times New Roman" w:eastAsia="Times New Roman" w:hAnsi="Times New Roman" w:cs="Times New Roman"/>
                <w:lang w:val="en-US" w:eastAsia="es-ES"/>
              </w:rPr>
              <w:t> </w:t>
            </w:r>
          </w:p>
        </w:tc>
      </w:tr>
      <w:tr w:rsidR="005D3316" w:rsidRPr="00A3689C" w14:paraId="268431A9" w14:textId="77777777" w:rsidTr="005D3316">
        <w:trPr>
          <w:trHeight w:val="90"/>
        </w:trPr>
        <w:tc>
          <w:tcPr>
            <w:tcW w:w="1875" w:type="dxa"/>
            <w:tcBorders>
              <w:top w:val="nil"/>
              <w:left w:val="nil"/>
              <w:bottom w:val="single" w:sz="6" w:space="0" w:color="000000"/>
              <w:right w:val="nil"/>
            </w:tcBorders>
            <w:hideMark/>
          </w:tcPr>
          <w:p w14:paraId="6789AB15"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1 </w:t>
            </w:r>
          </w:p>
        </w:tc>
        <w:tc>
          <w:tcPr>
            <w:tcW w:w="5922" w:type="dxa"/>
            <w:tcBorders>
              <w:top w:val="nil"/>
              <w:left w:val="nil"/>
              <w:bottom w:val="single" w:sz="6" w:space="0" w:color="000000"/>
              <w:right w:val="nil"/>
            </w:tcBorders>
            <w:hideMark/>
          </w:tcPr>
          <w:p w14:paraId="53E22A78"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 xml:space="preserve">High support (more than 38%) of party with green agenda </w:t>
            </w:r>
          </w:p>
        </w:tc>
      </w:tr>
      <w:tr w:rsidR="005D3316" w:rsidRPr="00A3689C" w14:paraId="54DF8C77" w14:textId="77777777" w:rsidTr="005D3316">
        <w:trPr>
          <w:trHeight w:val="75"/>
        </w:trPr>
        <w:tc>
          <w:tcPr>
            <w:tcW w:w="1875" w:type="dxa"/>
            <w:tcBorders>
              <w:top w:val="single" w:sz="6" w:space="0" w:color="000000"/>
              <w:left w:val="nil"/>
              <w:bottom w:val="single" w:sz="6" w:space="0" w:color="000000"/>
              <w:right w:val="nil"/>
            </w:tcBorders>
            <w:hideMark/>
          </w:tcPr>
          <w:p w14:paraId="3871E1BC"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0.5 </w:t>
            </w:r>
          </w:p>
        </w:tc>
        <w:tc>
          <w:tcPr>
            <w:tcW w:w="5922" w:type="dxa"/>
            <w:tcBorders>
              <w:top w:val="single" w:sz="6" w:space="0" w:color="000000"/>
              <w:left w:val="nil"/>
              <w:bottom w:val="single" w:sz="6" w:space="0" w:color="000000"/>
              <w:right w:val="nil"/>
            </w:tcBorders>
            <w:hideMark/>
          </w:tcPr>
          <w:p w14:paraId="4FE30FBC"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Low support (less than 38%) of party with green agenda</w:t>
            </w:r>
          </w:p>
        </w:tc>
      </w:tr>
    </w:tbl>
    <w:p w14:paraId="1F1CA406" w14:textId="77777777" w:rsidR="006A187D" w:rsidRPr="00267942" w:rsidRDefault="006A187D" w:rsidP="00C70AFA">
      <w:pPr>
        <w:spacing w:after="0" w:line="360" w:lineRule="auto"/>
        <w:jc w:val="both"/>
        <w:textAlignment w:val="baseline"/>
        <w:rPr>
          <w:rFonts w:ascii="Times New Roman" w:eastAsia="Times New Roman" w:hAnsi="Times New Roman" w:cs="Times New Roman"/>
          <w:i/>
          <w:color w:val="000000"/>
          <w:lang w:val="en-US" w:eastAsia="es-ES"/>
        </w:rPr>
      </w:pPr>
    </w:p>
    <w:p w14:paraId="28CD3826" w14:textId="77777777" w:rsidR="006A187D" w:rsidRPr="00267942" w:rsidRDefault="006A187D" w:rsidP="00C70AFA">
      <w:pPr>
        <w:spacing w:after="0" w:line="360" w:lineRule="auto"/>
        <w:jc w:val="both"/>
        <w:textAlignment w:val="baseline"/>
        <w:rPr>
          <w:rFonts w:ascii="Times New Roman" w:eastAsia="Times New Roman" w:hAnsi="Times New Roman" w:cs="Times New Roman"/>
          <w:color w:val="000000"/>
          <w:lang w:val="en-US" w:eastAsia="es-ES"/>
        </w:rPr>
      </w:pPr>
      <w:r w:rsidRPr="00267942">
        <w:rPr>
          <w:rFonts w:ascii="Times New Roman" w:eastAsia="Times New Roman" w:hAnsi="Times New Roman" w:cs="Times New Roman"/>
          <w:i/>
          <w:color w:val="000000"/>
          <w:lang w:val="en-US" w:eastAsia="es-ES"/>
        </w:rPr>
        <w:t>Rationale</w:t>
      </w:r>
      <w:r w:rsidRPr="00267942">
        <w:rPr>
          <w:rFonts w:ascii="Times New Roman" w:eastAsia="Times New Roman" w:hAnsi="Times New Roman" w:cs="Times New Roman"/>
          <w:color w:val="000000"/>
          <w:lang w:val="en-US" w:eastAsia="es-ES"/>
        </w:rPr>
        <w:t> </w:t>
      </w:r>
    </w:p>
    <w:p w14:paraId="7F90EDDA" w14:textId="77777777" w:rsidR="000513CC" w:rsidRPr="000513CC" w:rsidRDefault="000513CC" w:rsidP="000513CC">
      <w:pPr>
        <w:spacing w:after="0" w:line="360" w:lineRule="auto"/>
        <w:jc w:val="both"/>
        <w:textAlignment w:val="baseline"/>
        <w:rPr>
          <w:rFonts w:ascii="Times New Roman" w:eastAsia="Times New Roman" w:hAnsi="Times New Roman" w:cs="Times New Roman"/>
          <w:color w:val="000000"/>
          <w:lang w:val="en-US" w:eastAsia="es-ES"/>
        </w:rPr>
      </w:pPr>
      <w:r w:rsidRPr="000513CC">
        <w:rPr>
          <w:rFonts w:ascii="Times New Roman" w:eastAsia="Times New Roman" w:hAnsi="Times New Roman" w:cs="Times New Roman"/>
          <w:color w:val="000000"/>
          <w:lang w:val="en-US" w:eastAsia="es-ES"/>
        </w:rPr>
        <w:t>The acceptance of NBS by local citizens is crucial for their effective implementation in public and private spaces. To assess social acceptance of NBS, voting data were analyzed for each city based on the environmental agendas of political parties.</w:t>
      </w:r>
    </w:p>
    <w:p w14:paraId="3DD263A0" w14:textId="692FC00C" w:rsidR="000513CC" w:rsidRPr="000513CC" w:rsidRDefault="000513CC" w:rsidP="000513CC">
      <w:pPr>
        <w:spacing w:after="0" w:line="360" w:lineRule="auto"/>
        <w:jc w:val="both"/>
        <w:textAlignment w:val="baseline"/>
        <w:rPr>
          <w:rFonts w:ascii="Times New Roman" w:eastAsia="Times New Roman" w:hAnsi="Times New Roman" w:cs="Times New Roman"/>
          <w:color w:val="000000"/>
          <w:lang w:val="en-US" w:eastAsia="es-ES"/>
        </w:rPr>
      </w:pPr>
      <w:r w:rsidRPr="000513CC">
        <w:rPr>
          <w:rFonts w:ascii="Times New Roman" w:eastAsia="Times New Roman" w:hAnsi="Times New Roman" w:cs="Times New Roman"/>
          <w:color w:val="000000"/>
          <w:lang w:val="en-US" w:eastAsia="es-ES"/>
        </w:rPr>
        <w:t>For Barcelona, data from the 2023 mayoral elections were analyzed, focusing on parties with pro-green environmental agendas, such as BCOMU, ERC, and CUP.</w:t>
      </w:r>
      <w:r>
        <w:rPr>
          <w:rFonts w:ascii="Times New Roman" w:eastAsia="Times New Roman" w:hAnsi="Times New Roman" w:cs="Times New Roman"/>
          <w:color w:val="000000"/>
          <w:lang w:val="en-US" w:eastAsia="es-ES"/>
        </w:rPr>
        <w:t xml:space="preserve"> </w:t>
      </w:r>
      <w:r w:rsidRPr="000513CC">
        <w:rPr>
          <w:rFonts w:ascii="Times New Roman" w:eastAsia="Times New Roman" w:hAnsi="Times New Roman" w:cs="Times New Roman"/>
          <w:color w:val="000000"/>
          <w:lang w:val="en-US" w:eastAsia="es-ES"/>
        </w:rPr>
        <w:t xml:space="preserve">For Rotterdam, voting data from the 2023 national elections were categorized into supportive and opposing parties. These categories were determined based on a motion submitted to the Dutch Parliament in April 2021 regarding the inclusion of additional green infrastructure in urban environments. Supportive parties included </w:t>
      </w:r>
      <w:proofErr w:type="spellStart"/>
      <w:r w:rsidRPr="000513CC">
        <w:rPr>
          <w:rFonts w:ascii="Times New Roman" w:eastAsia="Times New Roman" w:hAnsi="Times New Roman" w:cs="Times New Roman"/>
          <w:color w:val="000000"/>
          <w:lang w:val="en-US" w:eastAsia="es-ES"/>
        </w:rPr>
        <w:t>GroenLinks</w:t>
      </w:r>
      <w:proofErr w:type="spellEnd"/>
      <w:r w:rsidRPr="000513CC">
        <w:rPr>
          <w:rFonts w:ascii="Times New Roman" w:eastAsia="Times New Roman" w:hAnsi="Times New Roman" w:cs="Times New Roman"/>
          <w:color w:val="000000"/>
          <w:lang w:val="en-US" w:eastAsia="es-ES"/>
        </w:rPr>
        <w:t xml:space="preserve">-PvdA, BIJ1, Volt, DENK, </w:t>
      </w:r>
      <w:proofErr w:type="spellStart"/>
      <w:r w:rsidRPr="000513CC">
        <w:rPr>
          <w:rFonts w:ascii="Times New Roman" w:eastAsia="Times New Roman" w:hAnsi="Times New Roman" w:cs="Times New Roman"/>
          <w:color w:val="000000"/>
          <w:lang w:val="en-US" w:eastAsia="es-ES"/>
        </w:rPr>
        <w:t>PvdD</w:t>
      </w:r>
      <w:proofErr w:type="spellEnd"/>
      <w:r w:rsidRPr="000513CC">
        <w:rPr>
          <w:rFonts w:ascii="Times New Roman" w:eastAsia="Times New Roman" w:hAnsi="Times New Roman" w:cs="Times New Roman"/>
          <w:color w:val="000000"/>
          <w:lang w:val="en-US" w:eastAsia="es-ES"/>
        </w:rPr>
        <w:t xml:space="preserve">, D66, </w:t>
      </w:r>
      <w:proofErr w:type="spellStart"/>
      <w:r w:rsidRPr="000513CC">
        <w:rPr>
          <w:rFonts w:ascii="Times New Roman" w:eastAsia="Times New Roman" w:hAnsi="Times New Roman" w:cs="Times New Roman"/>
          <w:color w:val="000000"/>
          <w:lang w:val="en-US" w:eastAsia="es-ES"/>
        </w:rPr>
        <w:t>ChristenUnie</w:t>
      </w:r>
      <w:proofErr w:type="spellEnd"/>
      <w:r w:rsidRPr="000513CC">
        <w:rPr>
          <w:rFonts w:ascii="Times New Roman" w:eastAsia="Times New Roman" w:hAnsi="Times New Roman" w:cs="Times New Roman"/>
          <w:color w:val="000000"/>
          <w:lang w:val="en-US" w:eastAsia="es-ES"/>
        </w:rPr>
        <w:t>, and JA21, while opposing parties were NSC, VVD, SGP, CDA, PVV, FVD, and BBB.</w:t>
      </w:r>
    </w:p>
    <w:p w14:paraId="4B44CB43" w14:textId="77777777" w:rsidR="000513CC" w:rsidRPr="000513CC" w:rsidRDefault="000513CC" w:rsidP="000513CC">
      <w:pPr>
        <w:spacing w:after="0" w:line="360" w:lineRule="auto"/>
        <w:jc w:val="both"/>
        <w:textAlignment w:val="baseline"/>
        <w:rPr>
          <w:rFonts w:ascii="Times New Roman" w:eastAsia="Times New Roman" w:hAnsi="Times New Roman" w:cs="Times New Roman"/>
          <w:color w:val="000000"/>
          <w:lang w:val="en-US" w:eastAsia="es-ES"/>
        </w:rPr>
      </w:pPr>
      <w:r w:rsidRPr="000513CC">
        <w:rPr>
          <w:rFonts w:ascii="Times New Roman" w:eastAsia="Times New Roman" w:hAnsi="Times New Roman" w:cs="Times New Roman"/>
          <w:color w:val="000000"/>
          <w:lang w:val="en-US" w:eastAsia="es-ES"/>
        </w:rPr>
        <w:t>For Boston, data from the 2024 presidential election were used, considering Democrats as supportive of environmental initiatives and Republicans as opposing. Neighborhoods where more than 38% of votes were for the supportive parties received a feasibility score of 1, while areas with less than 38% support received a score of 0.5.</w:t>
      </w:r>
    </w:p>
    <w:p w14:paraId="007C567A" w14:textId="77777777" w:rsidR="006A187D" w:rsidRPr="000513CC" w:rsidRDefault="006A187D" w:rsidP="00C70AFA">
      <w:pPr>
        <w:spacing w:after="0" w:line="360" w:lineRule="auto"/>
        <w:jc w:val="both"/>
        <w:textAlignment w:val="baseline"/>
        <w:rPr>
          <w:rFonts w:ascii="Times New Roman" w:eastAsia="Times New Roman" w:hAnsi="Times New Roman" w:cs="Times New Roman"/>
          <w:color w:val="000000"/>
          <w:lang w:val="ca-ES" w:eastAsia="es-ES"/>
        </w:rPr>
      </w:pPr>
    </w:p>
    <w:p w14:paraId="662AF483" w14:textId="0E84C3F3" w:rsidR="006A187D" w:rsidRPr="00267942" w:rsidRDefault="00B96205" w:rsidP="00C70AFA">
      <w:pPr>
        <w:spacing w:after="0" w:line="360" w:lineRule="auto"/>
        <w:jc w:val="both"/>
        <w:textAlignment w:val="baseline"/>
        <w:rPr>
          <w:rFonts w:ascii="Times New Roman" w:eastAsia="Times New Roman" w:hAnsi="Times New Roman" w:cs="Times New Roman"/>
          <w:b/>
          <w:lang w:val="en-US" w:eastAsia="es-ES"/>
        </w:rPr>
      </w:pPr>
      <w:r>
        <w:rPr>
          <w:rFonts w:ascii="Times New Roman" w:eastAsia="Times New Roman" w:hAnsi="Times New Roman" w:cs="Times New Roman"/>
          <w:b/>
          <w:lang w:val="en-US" w:eastAsia="es-ES"/>
        </w:rPr>
        <w:t>c</w:t>
      </w:r>
      <w:r w:rsidR="006A187D" w:rsidRPr="00267942">
        <w:rPr>
          <w:rFonts w:ascii="Times New Roman" w:eastAsia="Times New Roman" w:hAnsi="Times New Roman" w:cs="Times New Roman"/>
          <w:b/>
          <w:lang w:val="en-US" w:eastAsia="es-ES"/>
        </w:rPr>
        <w:t xml:space="preserve">. </w:t>
      </w:r>
      <w:proofErr w:type="gramStart"/>
      <w:r w:rsidR="006A187D" w:rsidRPr="00267942">
        <w:rPr>
          <w:rFonts w:ascii="Times New Roman" w:eastAsia="Times New Roman" w:hAnsi="Times New Roman" w:cs="Times New Roman"/>
          <w:b/>
          <w:lang w:val="en-US" w:eastAsia="es-ES"/>
        </w:rPr>
        <w:t>Administrative</w:t>
      </w:r>
      <w:proofErr w:type="gramEnd"/>
      <w:r w:rsidR="006A187D" w:rsidRPr="00267942">
        <w:rPr>
          <w:rFonts w:ascii="Times New Roman" w:eastAsia="Times New Roman" w:hAnsi="Times New Roman" w:cs="Times New Roman"/>
          <w:b/>
          <w:lang w:val="en-US" w:eastAsia="es-ES"/>
        </w:rPr>
        <w:t xml:space="preserve"> suitability of buildings</w:t>
      </w:r>
      <w:r w:rsidR="006A187D" w:rsidRPr="00267942">
        <w:rPr>
          <w:rFonts w:ascii="Times New Roman" w:eastAsia="Times New Roman" w:hAnsi="Times New Roman" w:cs="Times New Roman"/>
          <w:b/>
          <w:bCs/>
          <w:lang w:val="en-US" w:eastAsia="es-ES"/>
        </w:rPr>
        <w:t xml:space="preserve"> rooftops</w:t>
      </w:r>
    </w:p>
    <w:p w14:paraId="18F33BE8" w14:textId="77777777" w:rsidR="006A187D" w:rsidRPr="00267942" w:rsidRDefault="006A187D" w:rsidP="00C70AFA">
      <w:pPr>
        <w:spacing w:after="0" w:line="360" w:lineRule="auto"/>
        <w:jc w:val="both"/>
        <w:textAlignment w:val="baseline"/>
        <w:rPr>
          <w:rFonts w:ascii="Times New Roman" w:eastAsia="Times New Roman" w:hAnsi="Times New Roman" w:cs="Times New Roman"/>
          <w:color w:val="000000"/>
          <w:lang w:val="en-US" w:eastAsia="es-ES"/>
        </w:rPr>
      </w:pPr>
      <w:r w:rsidRPr="00267942">
        <w:rPr>
          <w:rFonts w:ascii="Times New Roman" w:eastAsia="Times New Roman" w:hAnsi="Times New Roman" w:cs="Times New Roman"/>
          <w:i/>
          <w:color w:val="000000"/>
          <w:lang w:val="en-US" w:eastAsia="es-ES"/>
        </w:rPr>
        <w:t>Description of the raster map</w:t>
      </w:r>
      <w:r w:rsidRPr="00267942">
        <w:rPr>
          <w:rFonts w:ascii="Times New Roman" w:eastAsia="Times New Roman" w:hAnsi="Times New Roman" w:cs="Times New Roman"/>
          <w:color w:val="000000"/>
          <w:lang w:val="en-US" w:eastAsia="es-ES"/>
        </w:rPr>
        <w:t> </w:t>
      </w:r>
    </w:p>
    <w:tbl>
      <w:tblPr>
        <w:tblW w:w="75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5639"/>
      </w:tblGrid>
      <w:tr w:rsidR="005D3316" w:rsidRPr="00267942" w14:paraId="1BF5E9B9" w14:textId="77777777" w:rsidTr="005D3316">
        <w:trPr>
          <w:trHeight w:val="90"/>
        </w:trPr>
        <w:tc>
          <w:tcPr>
            <w:tcW w:w="1875" w:type="dxa"/>
            <w:tcBorders>
              <w:top w:val="nil"/>
              <w:left w:val="nil"/>
              <w:bottom w:val="single" w:sz="6" w:space="0" w:color="000000"/>
              <w:right w:val="nil"/>
            </w:tcBorders>
            <w:hideMark/>
          </w:tcPr>
          <w:p w14:paraId="464DDF7D"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b/>
                <w:lang w:val="en-US" w:eastAsia="es-ES"/>
              </w:rPr>
              <w:t>Feasibility</w:t>
            </w:r>
            <w:r w:rsidRPr="00267942">
              <w:rPr>
                <w:rFonts w:ascii="Times New Roman" w:eastAsia="Times New Roman" w:hAnsi="Times New Roman" w:cs="Times New Roman"/>
                <w:lang w:val="en-US" w:eastAsia="es-ES"/>
              </w:rPr>
              <w:t> </w:t>
            </w:r>
          </w:p>
        </w:tc>
        <w:tc>
          <w:tcPr>
            <w:tcW w:w="5639" w:type="dxa"/>
            <w:tcBorders>
              <w:top w:val="nil"/>
              <w:left w:val="nil"/>
              <w:bottom w:val="single" w:sz="6" w:space="0" w:color="000000"/>
              <w:right w:val="nil"/>
            </w:tcBorders>
            <w:hideMark/>
          </w:tcPr>
          <w:p w14:paraId="386BD5CD"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b/>
                <w:lang w:val="en-US" w:eastAsia="es-ES"/>
              </w:rPr>
              <w:t>Value</w:t>
            </w:r>
            <w:r w:rsidRPr="00267942">
              <w:rPr>
                <w:rFonts w:ascii="Times New Roman" w:eastAsia="Times New Roman" w:hAnsi="Times New Roman" w:cs="Times New Roman"/>
                <w:lang w:val="en-US" w:eastAsia="es-ES"/>
              </w:rPr>
              <w:t> </w:t>
            </w:r>
          </w:p>
        </w:tc>
      </w:tr>
      <w:tr w:rsidR="005D3316" w:rsidRPr="00267942" w14:paraId="2A9973C8" w14:textId="77777777" w:rsidTr="005D3316">
        <w:trPr>
          <w:trHeight w:val="90"/>
        </w:trPr>
        <w:tc>
          <w:tcPr>
            <w:tcW w:w="1875" w:type="dxa"/>
            <w:tcBorders>
              <w:top w:val="nil"/>
              <w:left w:val="nil"/>
              <w:bottom w:val="single" w:sz="6" w:space="0" w:color="000000"/>
              <w:right w:val="nil"/>
            </w:tcBorders>
            <w:hideMark/>
          </w:tcPr>
          <w:p w14:paraId="4414264A"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1 </w:t>
            </w:r>
          </w:p>
        </w:tc>
        <w:tc>
          <w:tcPr>
            <w:tcW w:w="5639" w:type="dxa"/>
            <w:tcBorders>
              <w:top w:val="nil"/>
              <w:left w:val="nil"/>
              <w:bottom w:val="single" w:sz="6" w:space="0" w:color="000000"/>
              <w:right w:val="nil"/>
            </w:tcBorders>
            <w:hideMark/>
          </w:tcPr>
          <w:p w14:paraId="2CD96236"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Rest </w:t>
            </w:r>
          </w:p>
        </w:tc>
      </w:tr>
      <w:tr w:rsidR="005D3316" w:rsidRPr="00A3689C" w14:paraId="2161639E" w14:textId="77777777" w:rsidTr="005D3316">
        <w:trPr>
          <w:trHeight w:val="75"/>
        </w:trPr>
        <w:tc>
          <w:tcPr>
            <w:tcW w:w="1875" w:type="dxa"/>
            <w:tcBorders>
              <w:top w:val="single" w:sz="6" w:space="0" w:color="000000"/>
              <w:left w:val="nil"/>
              <w:bottom w:val="single" w:sz="6" w:space="0" w:color="000000"/>
              <w:right w:val="nil"/>
            </w:tcBorders>
            <w:hideMark/>
          </w:tcPr>
          <w:p w14:paraId="5BFB820B"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0 </w:t>
            </w:r>
          </w:p>
        </w:tc>
        <w:tc>
          <w:tcPr>
            <w:tcW w:w="5639" w:type="dxa"/>
            <w:tcBorders>
              <w:top w:val="single" w:sz="6" w:space="0" w:color="000000"/>
              <w:left w:val="nil"/>
              <w:bottom w:val="single" w:sz="6" w:space="0" w:color="000000"/>
              <w:right w:val="nil"/>
            </w:tcBorders>
            <w:hideMark/>
          </w:tcPr>
          <w:p w14:paraId="7B5C5CCF"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Industrial warehouses​, Parking lots​, Plots under construction​, Sports areas, Open-air passage areas with defined use,​ such as terraces of cafes/bars​, Patios and gardens</w:t>
            </w:r>
          </w:p>
        </w:tc>
      </w:tr>
    </w:tbl>
    <w:p w14:paraId="303765F6" w14:textId="77777777" w:rsidR="006A187D" w:rsidRPr="00267942" w:rsidRDefault="006A187D" w:rsidP="00C70AFA">
      <w:pPr>
        <w:spacing w:after="0" w:line="360" w:lineRule="auto"/>
        <w:jc w:val="both"/>
        <w:textAlignment w:val="baseline"/>
        <w:rPr>
          <w:rFonts w:ascii="Times New Roman" w:eastAsia="Times New Roman" w:hAnsi="Times New Roman" w:cs="Times New Roman"/>
          <w:b/>
          <w:lang w:val="en-US" w:eastAsia="es-ES"/>
        </w:rPr>
      </w:pPr>
    </w:p>
    <w:p w14:paraId="584F65BB" w14:textId="77777777" w:rsidR="006A187D" w:rsidRPr="00267942" w:rsidRDefault="006A187D" w:rsidP="00C70AFA">
      <w:pPr>
        <w:spacing w:after="0" w:line="360" w:lineRule="auto"/>
        <w:jc w:val="both"/>
        <w:textAlignment w:val="baseline"/>
        <w:rPr>
          <w:rFonts w:ascii="Times New Roman" w:eastAsia="Times New Roman" w:hAnsi="Times New Roman" w:cs="Times New Roman"/>
          <w:color w:val="000000"/>
          <w:lang w:val="en-US" w:eastAsia="es-ES"/>
        </w:rPr>
      </w:pPr>
      <w:r w:rsidRPr="00267942">
        <w:rPr>
          <w:rFonts w:ascii="Times New Roman" w:eastAsia="Times New Roman" w:hAnsi="Times New Roman" w:cs="Times New Roman"/>
          <w:i/>
          <w:color w:val="000000"/>
          <w:lang w:val="en-US" w:eastAsia="es-ES"/>
        </w:rPr>
        <w:t>Rationale</w:t>
      </w:r>
      <w:r w:rsidRPr="00267942">
        <w:rPr>
          <w:rFonts w:ascii="Times New Roman" w:eastAsia="Times New Roman" w:hAnsi="Times New Roman" w:cs="Times New Roman"/>
          <w:color w:val="000000"/>
          <w:lang w:val="en-US" w:eastAsia="es-ES"/>
        </w:rPr>
        <w:t> </w:t>
      </w:r>
    </w:p>
    <w:p w14:paraId="5D93D918"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lastRenderedPageBreak/>
        <w:t xml:space="preserve">The indicator based on ownership of land and property serves as a rational approach due to the recognized barrier it poses to the implementation of NBS. Studies by Johns (2019) and Sarabi et al. (2020) have underscored the reluctance of private landowners to prioritize NBS implementation, often favoring financial considerations over long-term sustainability goals. Moreover, the fragmentation of </w:t>
      </w:r>
      <w:proofErr w:type="gramStart"/>
      <w:r w:rsidRPr="00267942">
        <w:rPr>
          <w:rFonts w:ascii="Times New Roman" w:eastAsia="Times New Roman" w:hAnsi="Times New Roman" w:cs="Times New Roman"/>
          <w:lang w:val="en-US" w:eastAsia="es-ES"/>
        </w:rPr>
        <w:t>land ownership</w:t>
      </w:r>
      <w:proofErr w:type="gramEnd"/>
      <w:r w:rsidRPr="00267942">
        <w:rPr>
          <w:rFonts w:ascii="Times New Roman" w:eastAsia="Times New Roman" w:hAnsi="Times New Roman" w:cs="Times New Roman"/>
          <w:lang w:val="en-US" w:eastAsia="es-ES"/>
        </w:rPr>
        <w:t xml:space="preserve"> among numerous private landowners further complicates NBS implementation efforts. Despite these challenges, targeting private land for NBS implementation remains feasible. This has been exemplified by successful initiatives in cities like Berlin, as documented by </w:t>
      </w:r>
      <w:proofErr w:type="spellStart"/>
      <w:r w:rsidRPr="00267942">
        <w:rPr>
          <w:rFonts w:ascii="Times New Roman" w:eastAsia="Times New Roman" w:hAnsi="Times New Roman" w:cs="Times New Roman"/>
          <w:lang w:val="en-US" w:eastAsia="es-ES"/>
        </w:rPr>
        <w:t>Matzing</w:t>
      </w:r>
      <w:proofErr w:type="spellEnd"/>
      <w:r w:rsidRPr="00267942">
        <w:rPr>
          <w:rFonts w:ascii="Times New Roman" w:eastAsia="Times New Roman" w:hAnsi="Times New Roman" w:cs="Times New Roman"/>
          <w:lang w:val="en-US" w:eastAsia="es-ES"/>
        </w:rPr>
        <w:t xml:space="preserve"> et al. (2017) and </w:t>
      </w:r>
      <w:proofErr w:type="spellStart"/>
      <w:r w:rsidRPr="00267942">
        <w:rPr>
          <w:rFonts w:ascii="Times New Roman" w:eastAsia="Times New Roman" w:hAnsi="Times New Roman" w:cs="Times New Roman"/>
          <w:lang w:val="en-US" w:eastAsia="es-ES"/>
        </w:rPr>
        <w:t>Šuvalija</w:t>
      </w:r>
      <w:proofErr w:type="spellEnd"/>
      <w:r w:rsidRPr="00267942">
        <w:rPr>
          <w:rFonts w:ascii="Times New Roman" w:eastAsia="Times New Roman" w:hAnsi="Times New Roman" w:cs="Times New Roman"/>
          <w:lang w:val="en-US" w:eastAsia="es-ES"/>
        </w:rPr>
        <w:t xml:space="preserve"> et al. (2021). These cases demonstrate that with effective strategies and stakeholder engagement, private land can indeed be leveraged for NBS implementation, contributing to overall urban resilience and sustainability.</w:t>
      </w:r>
    </w:p>
    <w:p w14:paraId="0BFC55F3"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p>
    <w:p w14:paraId="6A79F1CA" w14:textId="77777777" w:rsidR="006A187D" w:rsidRPr="00267942" w:rsidRDefault="006A187D" w:rsidP="00C70AFA">
      <w:pPr>
        <w:numPr>
          <w:ilvl w:val="0"/>
          <w:numId w:val="2"/>
        </w:numPr>
        <w:spacing w:before="120" w:after="0" w:line="360" w:lineRule="auto"/>
        <w:ind w:firstLine="0"/>
        <w:jc w:val="both"/>
        <w:textAlignment w:val="baseline"/>
        <w:rPr>
          <w:rFonts w:ascii="Times New Roman" w:eastAsia="Times New Roman" w:hAnsi="Times New Roman" w:cs="Times New Roman"/>
          <w:color w:val="000000"/>
          <w:u w:val="single"/>
          <w:lang w:val="en-US" w:eastAsia="es-ES"/>
        </w:rPr>
      </w:pPr>
      <w:r w:rsidRPr="00267942">
        <w:rPr>
          <w:rFonts w:ascii="Times New Roman" w:eastAsia="Times New Roman" w:hAnsi="Times New Roman" w:cs="Times New Roman"/>
          <w:color w:val="000000"/>
          <w:u w:val="single"/>
          <w:lang w:val="en-US" w:eastAsia="es-ES"/>
        </w:rPr>
        <w:t>Ecological feasibility </w:t>
      </w:r>
    </w:p>
    <w:p w14:paraId="633DBA28"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color w:val="000000"/>
          <w:lang w:val="en-US" w:eastAsia="es-ES"/>
        </w:rPr>
        <w:t> </w:t>
      </w:r>
    </w:p>
    <w:p w14:paraId="521B8053"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b/>
          <w:lang w:val="en-US" w:eastAsia="es-ES"/>
        </w:rPr>
        <w:t>a</w:t>
      </w:r>
      <w:r w:rsidRPr="00267942">
        <w:rPr>
          <w:rFonts w:ascii="Times New Roman" w:eastAsia="Times New Roman" w:hAnsi="Times New Roman" w:cs="Times New Roman"/>
          <w:b/>
          <w:color w:val="000000"/>
          <w:lang w:val="en-US" w:eastAsia="es-ES"/>
        </w:rPr>
        <w:t>. Slope </w:t>
      </w:r>
      <w:r w:rsidRPr="00267942">
        <w:rPr>
          <w:rFonts w:ascii="Times New Roman" w:eastAsia="Times New Roman" w:hAnsi="Times New Roman" w:cs="Times New Roman"/>
          <w:color w:val="000000"/>
          <w:lang w:val="en-US" w:eastAsia="es-ES"/>
        </w:rPr>
        <w:t> </w:t>
      </w:r>
    </w:p>
    <w:p w14:paraId="0416CA4C"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i/>
          <w:color w:val="000000"/>
          <w:lang w:val="en-US" w:eastAsia="es-ES"/>
        </w:rPr>
        <w:t>Description of the raster map</w:t>
      </w:r>
      <w:r w:rsidRPr="00267942">
        <w:rPr>
          <w:rFonts w:ascii="Times New Roman" w:eastAsia="Times New Roman" w:hAnsi="Times New Roman" w:cs="Times New Roman"/>
          <w:color w:val="000000"/>
          <w:lang w:val="en-US" w:eastAsia="es-ES"/>
        </w:rPr>
        <w:t> </w:t>
      </w:r>
    </w:p>
    <w:p w14:paraId="795B666D"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 </w:t>
      </w:r>
    </w:p>
    <w:tbl>
      <w:tblPr>
        <w:tblW w:w="71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5322"/>
      </w:tblGrid>
      <w:tr w:rsidR="005D3316" w:rsidRPr="00267942" w14:paraId="3B4EF2AC" w14:textId="77777777" w:rsidTr="005D3316">
        <w:trPr>
          <w:trHeight w:val="90"/>
        </w:trPr>
        <w:tc>
          <w:tcPr>
            <w:tcW w:w="1875" w:type="dxa"/>
            <w:tcBorders>
              <w:top w:val="nil"/>
              <w:left w:val="nil"/>
              <w:bottom w:val="single" w:sz="6" w:space="0" w:color="000000"/>
              <w:right w:val="nil"/>
            </w:tcBorders>
            <w:hideMark/>
          </w:tcPr>
          <w:p w14:paraId="427552DE"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b/>
                <w:lang w:val="en-US" w:eastAsia="es-ES"/>
              </w:rPr>
              <w:t>Feasibility</w:t>
            </w:r>
          </w:p>
        </w:tc>
        <w:tc>
          <w:tcPr>
            <w:tcW w:w="5322" w:type="dxa"/>
            <w:tcBorders>
              <w:top w:val="nil"/>
              <w:left w:val="nil"/>
              <w:bottom w:val="single" w:sz="6" w:space="0" w:color="000000"/>
              <w:right w:val="nil"/>
            </w:tcBorders>
            <w:hideMark/>
          </w:tcPr>
          <w:p w14:paraId="4B7AA669"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b/>
                <w:lang w:val="en-US" w:eastAsia="es-ES"/>
              </w:rPr>
              <w:t>Value</w:t>
            </w:r>
          </w:p>
        </w:tc>
      </w:tr>
      <w:tr w:rsidR="005D3316" w:rsidRPr="00267942" w14:paraId="7A1BB7C1" w14:textId="77777777" w:rsidTr="005D3316">
        <w:trPr>
          <w:trHeight w:val="90"/>
        </w:trPr>
        <w:tc>
          <w:tcPr>
            <w:tcW w:w="1875" w:type="dxa"/>
            <w:tcBorders>
              <w:top w:val="nil"/>
              <w:left w:val="nil"/>
              <w:bottom w:val="single" w:sz="6" w:space="0" w:color="000000"/>
              <w:right w:val="nil"/>
            </w:tcBorders>
            <w:hideMark/>
          </w:tcPr>
          <w:p w14:paraId="5EC072DF"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1</w:t>
            </w:r>
          </w:p>
        </w:tc>
        <w:tc>
          <w:tcPr>
            <w:tcW w:w="5322" w:type="dxa"/>
            <w:tcBorders>
              <w:top w:val="nil"/>
              <w:left w:val="nil"/>
              <w:bottom w:val="single" w:sz="6" w:space="0" w:color="000000"/>
              <w:right w:val="nil"/>
            </w:tcBorders>
            <w:hideMark/>
          </w:tcPr>
          <w:p w14:paraId="5FF5F743"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Slope &lt; 6°</w:t>
            </w:r>
          </w:p>
        </w:tc>
      </w:tr>
      <w:tr w:rsidR="005D3316" w:rsidRPr="00267942" w14:paraId="154D8A11" w14:textId="77777777" w:rsidTr="005D3316">
        <w:trPr>
          <w:trHeight w:val="75"/>
        </w:trPr>
        <w:tc>
          <w:tcPr>
            <w:tcW w:w="1875" w:type="dxa"/>
            <w:tcBorders>
              <w:top w:val="single" w:sz="6" w:space="0" w:color="000000"/>
              <w:left w:val="nil"/>
              <w:bottom w:val="single" w:sz="6" w:space="0" w:color="000000"/>
              <w:right w:val="nil"/>
            </w:tcBorders>
            <w:hideMark/>
          </w:tcPr>
          <w:p w14:paraId="14654EF8"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0</w:t>
            </w:r>
          </w:p>
        </w:tc>
        <w:tc>
          <w:tcPr>
            <w:tcW w:w="5322" w:type="dxa"/>
            <w:tcBorders>
              <w:top w:val="single" w:sz="6" w:space="0" w:color="000000"/>
              <w:left w:val="nil"/>
              <w:bottom w:val="single" w:sz="6" w:space="0" w:color="000000"/>
              <w:right w:val="nil"/>
            </w:tcBorders>
            <w:hideMark/>
          </w:tcPr>
          <w:p w14:paraId="61C9C9BF"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Slope &gt; 6°</w:t>
            </w:r>
          </w:p>
        </w:tc>
      </w:tr>
    </w:tbl>
    <w:p w14:paraId="5AB6744F"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color w:val="000000"/>
          <w:lang w:val="en-US" w:eastAsia="es-ES"/>
        </w:rPr>
        <w:t> </w:t>
      </w:r>
    </w:p>
    <w:p w14:paraId="2498D524"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i/>
          <w:color w:val="000000"/>
          <w:lang w:val="en-US" w:eastAsia="es-ES"/>
        </w:rPr>
        <w:t>Rationale</w:t>
      </w:r>
      <w:r w:rsidRPr="00267942">
        <w:rPr>
          <w:rFonts w:ascii="Times New Roman" w:eastAsia="Times New Roman" w:hAnsi="Times New Roman" w:cs="Times New Roman"/>
          <w:color w:val="000000"/>
          <w:lang w:val="en-US" w:eastAsia="es-ES"/>
        </w:rPr>
        <w:t> </w:t>
      </w:r>
    </w:p>
    <w:p w14:paraId="05EDD293" w14:textId="77777777" w:rsidR="007D0129" w:rsidRDefault="0E0F7179"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 xml:space="preserve">Slope creates higher runoff speed and prevents infiltration, which reduces the effectiveness of Sustainable Drainage Systems (SUDS). </w:t>
      </w:r>
      <w:r w:rsidR="000E3EC2" w:rsidRPr="000E3EC2">
        <w:rPr>
          <w:rFonts w:ascii="Times New Roman" w:eastAsia="Times New Roman" w:hAnsi="Times New Roman" w:cs="Times New Roman"/>
          <w:lang w:val="en-US" w:eastAsia="es-ES"/>
        </w:rPr>
        <w:t>Accordingly, the Barcelona SUDS Commission recommends a maximum slope of 6° (</w:t>
      </w:r>
      <w:proofErr w:type="spellStart"/>
      <w:r w:rsidR="000E3EC2" w:rsidRPr="000E3EC2">
        <w:rPr>
          <w:rFonts w:ascii="Times New Roman" w:eastAsia="Times New Roman" w:hAnsi="Times New Roman" w:cs="Times New Roman"/>
          <w:lang w:val="en-US" w:eastAsia="es-ES"/>
        </w:rPr>
        <w:t>Comissió</w:t>
      </w:r>
      <w:proofErr w:type="spellEnd"/>
      <w:r w:rsidR="000E3EC2" w:rsidRPr="000E3EC2">
        <w:rPr>
          <w:rFonts w:ascii="Times New Roman" w:eastAsia="Times New Roman" w:hAnsi="Times New Roman" w:cs="Times New Roman"/>
          <w:lang w:val="en-US" w:eastAsia="es-ES"/>
        </w:rPr>
        <w:t xml:space="preserve"> de SUDS de </w:t>
      </w:r>
      <w:proofErr w:type="spellStart"/>
      <w:r w:rsidR="000E3EC2" w:rsidRPr="000E3EC2">
        <w:rPr>
          <w:rFonts w:ascii="Times New Roman" w:eastAsia="Times New Roman" w:hAnsi="Times New Roman" w:cs="Times New Roman"/>
          <w:lang w:val="en-US" w:eastAsia="es-ES"/>
        </w:rPr>
        <w:t>l’Ajuntament</w:t>
      </w:r>
      <w:proofErr w:type="spellEnd"/>
      <w:r w:rsidR="000E3EC2" w:rsidRPr="000E3EC2">
        <w:rPr>
          <w:rFonts w:ascii="Times New Roman" w:eastAsia="Times New Roman" w:hAnsi="Times New Roman" w:cs="Times New Roman"/>
          <w:lang w:val="en-US" w:eastAsia="es-ES"/>
        </w:rPr>
        <w:t xml:space="preserve"> de Barcelona, 2020).</w:t>
      </w:r>
    </w:p>
    <w:p w14:paraId="1DE69E5A" w14:textId="283B4C60"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color w:val="000000"/>
          <w:lang w:val="en-US" w:eastAsia="es-ES"/>
        </w:rPr>
        <w:t> </w:t>
      </w:r>
    </w:p>
    <w:p w14:paraId="7F336A24"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p>
    <w:p w14:paraId="727BF5E4" w14:textId="77777777" w:rsidR="006A187D" w:rsidRPr="00267942" w:rsidRDefault="006A187D" w:rsidP="00C70AFA">
      <w:pPr>
        <w:numPr>
          <w:ilvl w:val="0"/>
          <w:numId w:val="3"/>
        </w:numPr>
        <w:spacing w:before="120" w:after="0" w:line="360" w:lineRule="auto"/>
        <w:ind w:firstLine="0"/>
        <w:jc w:val="both"/>
        <w:textAlignment w:val="baseline"/>
        <w:rPr>
          <w:rFonts w:ascii="Times New Roman" w:eastAsia="Times New Roman" w:hAnsi="Times New Roman" w:cs="Times New Roman"/>
          <w:color w:val="000000"/>
          <w:u w:val="single"/>
          <w:lang w:val="en-US" w:eastAsia="es-ES"/>
        </w:rPr>
      </w:pPr>
      <w:r w:rsidRPr="00267942">
        <w:rPr>
          <w:rFonts w:ascii="Times New Roman" w:eastAsia="Times New Roman" w:hAnsi="Times New Roman" w:cs="Times New Roman"/>
          <w:color w:val="000000"/>
          <w:u w:val="single"/>
          <w:lang w:val="en-US" w:eastAsia="es-ES"/>
        </w:rPr>
        <w:t>Technological feasibility </w:t>
      </w:r>
    </w:p>
    <w:p w14:paraId="18950DC3"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color w:val="C55911"/>
          <w:lang w:val="en-US" w:eastAsia="es-ES"/>
        </w:rPr>
        <w:t> </w:t>
      </w:r>
    </w:p>
    <w:p w14:paraId="293DB4E7" w14:textId="77777777" w:rsidR="006A187D" w:rsidRPr="00267942" w:rsidRDefault="006A187D" w:rsidP="00C70AFA">
      <w:pPr>
        <w:pStyle w:val="ListParagraph"/>
        <w:numPr>
          <w:ilvl w:val="0"/>
          <w:numId w:val="4"/>
        </w:numPr>
        <w:spacing w:line="360" w:lineRule="auto"/>
        <w:textAlignment w:val="baseline"/>
        <w:rPr>
          <w:sz w:val="22"/>
          <w:szCs w:val="22"/>
          <w:lang w:val="en-US" w:eastAsia="es-ES"/>
        </w:rPr>
      </w:pPr>
      <w:r w:rsidRPr="00267942">
        <w:rPr>
          <w:b/>
          <w:sz w:val="22"/>
          <w:szCs w:val="22"/>
          <w:lang w:val="en-US" w:eastAsia="es-ES"/>
        </w:rPr>
        <w:t>Distance to buildings</w:t>
      </w:r>
      <w:r w:rsidRPr="00267942">
        <w:rPr>
          <w:sz w:val="22"/>
          <w:szCs w:val="22"/>
          <w:lang w:val="en-US" w:eastAsia="es-ES"/>
        </w:rPr>
        <w:t> </w:t>
      </w:r>
    </w:p>
    <w:p w14:paraId="3F51CB33"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i/>
          <w:color w:val="000000"/>
          <w:lang w:val="en-US" w:eastAsia="es-ES"/>
        </w:rPr>
        <w:t>Description of the raster map</w:t>
      </w:r>
      <w:r w:rsidRPr="00267942">
        <w:rPr>
          <w:rFonts w:ascii="Times New Roman" w:eastAsia="Times New Roman" w:hAnsi="Times New Roman" w:cs="Times New Roman"/>
          <w:color w:val="000000"/>
          <w:lang w:val="en-US" w:eastAsia="es-ES"/>
        </w:rPr>
        <w:t> </w:t>
      </w:r>
    </w:p>
    <w:p w14:paraId="3FED2FBB"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color w:val="000000"/>
          <w:lang w:val="en-US" w:eastAsia="es-ES"/>
        </w:rPr>
        <w:t> </w:t>
      </w:r>
    </w:p>
    <w:tbl>
      <w:tblPr>
        <w:tblW w:w="71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5322"/>
      </w:tblGrid>
      <w:tr w:rsidR="005D3316" w:rsidRPr="00267942" w14:paraId="391B1D49" w14:textId="77777777" w:rsidTr="005D3316">
        <w:trPr>
          <w:trHeight w:val="90"/>
        </w:trPr>
        <w:tc>
          <w:tcPr>
            <w:tcW w:w="1875" w:type="dxa"/>
            <w:tcBorders>
              <w:top w:val="nil"/>
              <w:left w:val="nil"/>
              <w:bottom w:val="single" w:sz="6" w:space="0" w:color="000000"/>
              <w:right w:val="nil"/>
            </w:tcBorders>
            <w:hideMark/>
          </w:tcPr>
          <w:p w14:paraId="094CE85C"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b/>
                <w:lang w:val="en-US" w:eastAsia="es-ES"/>
              </w:rPr>
              <w:lastRenderedPageBreak/>
              <w:t>Feasibility</w:t>
            </w:r>
          </w:p>
        </w:tc>
        <w:tc>
          <w:tcPr>
            <w:tcW w:w="5322" w:type="dxa"/>
            <w:tcBorders>
              <w:top w:val="nil"/>
              <w:left w:val="nil"/>
              <w:bottom w:val="single" w:sz="6" w:space="0" w:color="000000"/>
              <w:right w:val="nil"/>
            </w:tcBorders>
            <w:hideMark/>
          </w:tcPr>
          <w:p w14:paraId="11F9D989"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b/>
                <w:lang w:val="en-US" w:eastAsia="es-ES"/>
              </w:rPr>
              <w:t>Value</w:t>
            </w:r>
          </w:p>
        </w:tc>
      </w:tr>
      <w:tr w:rsidR="005D3316" w:rsidRPr="00A3689C" w14:paraId="33A84D7D" w14:textId="77777777" w:rsidTr="005D3316">
        <w:trPr>
          <w:trHeight w:val="90"/>
        </w:trPr>
        <w:tc>
          <w:tcPr>
            <w:tcW w:w="1875" w:type="dxa"/>
            <w:tcBorders>
              <w:top w:val="nil"/>
              <w:left w:val="nil"/>
              <w:bottom w:val="single" w:sz="6" w:space="0" w:color="000000"/>
              <w:right w:val="nil"/>
            </w:tcBorders>
            <w:hideMark/>
          </w:tcPr>
          <w:p w14:paraId="603F3C0E"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1</w:t>
            </w:r>
          </w:p>
        </w:tc>
        <w:tc>
          <w:tcPr>
            <w:tcW w:w="5322" w:type="dxa"/>
            <w:tcBorders>
              <w:top w:val="nil"/>
              <w:left w:val="nil"/>
              <w:bottom w:val="single" w:sz="6" w:space="0" w:color="000000"/>
              <w:right w:val="nil"/>
            </w:tcBorders>
            <w:hideMark/>
          </w:tcPr>
          <w:p w14:paraId="2E31481D"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Above 3m buffer from buildings</w:t>
            </w:r>
          </w:p>
        </w:tc>
      </w:tr>
      <w:tr w:rsidR="005D3316" w:rsidRPr="00A3689C" w14:paraId="1112039C" w14:textId="77777777" w:rsidTr="005D3316">
        <w:trPr>
          <w:trHeight w:val="75"/>
        </w:trPr>
        <w:tc>
          <w:tcPr>
            <w:tcW w:w="1875" w:type="dxa"/>
            <w:tcBorders>
              <w:top w:val="single" w:sz="6" w:space="0" w:color="000000"/>
              <w:left w:val="nil"/>
              <w:bottom w:val="single" w:sz="6" w:space="0" w:color="000000"/>
              <w:right w:val="nil"/>
            </w:tcBorders>
            <w:hideMark/>
          </w:tcPr>
          <w:p w14:paraId="5AB17CCA"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0</w:t>
            </w:r>
          </w:p>
        </w:tc>
        <w:tc>
          <w:tcPr>
            <w:tcW w:w="5322" w:type="dxa"/>
            <w:tcBorders>
              <w:top w:val="single" w:sz="6" w:space="0" w:color="000000"/>
              <w:left w:val="nil"/>
              <w:bottom w:val="single" w:sz="6" w:space="0" w:color="000000"/>
              <w:right w:val="nil"/>
            </w:tcBorders>
            <w:hideMark/>
          </w:tcPr>
          <w:p w14:paraId="24EC1C9A"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Within 3m buffer from buildings</w:t>
            </w:r>
          </w:p>
        </w:tc>
      </w:tr>
    </w:tbl>
    <w:p w14:paraId="7B212BF8"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color w:val="000000"/>
          <w:lang w:val="en-US" w:eastAsia="es-ES"/>
        </w:rPr>
        <w:t> </w:t>
      </w:r>
    </w:p>
    <w:p w14:paraId="42A0C10E"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i/>
          <w:color w:val="000000"/>
          <w:lang w:val="en-US" w:eastAsia="es-ES"/>
        </w:rPr>
        <w:t>Rationale</w:t>
      </w:r>
      <w:r w:rsidRPr="00267942">
        <w:rPr>
          <w:rFonts w:ascii="Times New Roman" w:eastAsia="Times New Roman" w:hAnsi="Times New Roman" w:cs="Times New Roman"/>
          <w:color w:val="000000"/>
          <w:lang w:val="en-US" w:eastAsia="es-ES"/>
        </w:rPr>
        <w:t> </w:t>
      </w:r>
    </w:p>
    <w:p w14:paraId="2C1B0895" w14:textId="41CDF314"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color w:val="000000"/>
          <w:lang w:val="en-US" w:eastAsia="es-ES"/>
        </w:rPr>
        <w:t xml:space="preserve">Increased infiltration and saturation of the soil can lead to </w:t>
      </w:r>
      <w:proofErr w:type="gramStart"/>
      <w:r w:rsidRPr="00267942">
        <w:rPr>
          <w:rFonts w:ascii="Times New Roman" w:eastAsia="Times New Roman" w:hAnsi="Times New Roman" w:cs="Times New Roman"/>
          <w:color w:val="000000"/>
          <w:lang w:val="en-US" w:eastAsia="es-ES"/>
        </w:rPr>
        <w:t>damages</w:t>
      </w:r>
      <w:proofErr w:type="gramEnd"/>
      <w:r w:rsidRPr="00267942">
        <w:rPr>
          <w:rFonts w:ascii="Times New Roman" w:eastAsia="Times New Roman" w:hAnsi="Times New Roman" w:cs="Times New Roman"/>
          <w:color w:val="000000"/>
          <w:lang w:val="en-US" w:eastAsia="es-ES"/>
        </w:rPr>
        <w:t xml:space="preserve"> and </w:t>
      </w:r>
      <w:r w:rsidR="00CA1F64" w:rsidRPr="00267942">
        <w:rPr>
          <w:rFonts w:ascii="Times New Roman" w:eastAsia="Times New Roman" w:hAnsi="Times New Roman" w:cs="Times New Roman"/>
          <w:lang w:val="en-US" w:eastAsia="es-ES"/>
        </w:rPr>
        <w:t>destabilization</w:t>
      </w:r>
      <w:r w:rsidRPr="00267942">
        <w:rPr>
          <w:rFonts w:ascii="Times New Roman" w:eastAsia="Times New Roman" w:hAnsi="Times New Roman" w:cs="Times New Roman"/>
          <w:color w:val="000000"/>
          <w:lang w:val="en-US" w:eastAsia="es-ES"/>
        </w:rPr>
        <w:t xml:space="preserve"> of buildings and other structur</w:t>
      </w:r>
      <w:r w:rsidRPr="00267942">
        <w:rPr>
          <w:rFonts w:ascii="Times New Roman" w:eastAsia="Times New Roman" w:hAnsi="Times New Roman" w:cs="Times New Roman"/>
          <w:lang w:val="en-US" w:eastAsia="es-ES"/>
        </w:rPr>
        <w:t>al</w:t>
      </w:r>
      <w:r w:rsidRPr="00267942">
        <w:rPr>
          <w:rFonts w:ascii="Times New Roman" w:eastAsia="Times New Roman" w:hAnsi="Times New Roman" w:cs="Times New Roman"/>
          <w:color w:val="000000"/>
          <w:lang w:val="en-US" w:eastAsia="es-ES"/>
        </w:rPr>
        <w:t xml:space="preserve"> </w:t>
      </w:r>
      <w:r w:rsidRPr="00267942">
        <w:rPr>
          <w:rFonts w:ascii="Times New Roman" w:eastAsia="Times New Roman" w:hAnsi="Times New Roman" w:cs="Times New Roman"/>
          <w:lang w:val="en-US" w:eastAsia="es-ES"/>
        </w:rPr>
        <w:t>bases</w:t>
      </w:r>
      <w:r w:rsidRPr="00267942">
        <w:rPr>
          <w:rFonts w:ascii="Times New Roman" w:eastAsia="Times New Roman" w:hAnsi="Times New Roman" w:cs="Times New Roman"/>
          <w:color w:val="000000"/>
          <w:lang w:val="en-US" w:eastAsia="es-ES"/>
        </w:rPr>
        <w:t>. An appropriate distance should thus be kept between newly installed NBS and existing structures (</w:t>
      </w:r>
      <w:proofErr w:type="spellStart"/>
      <w:r w:rsidRPr="00267942">
        <w:rPr>
          <w:rFonts w:ascii="Times New Roman" w:eastAsia="Times New Roman" w:hAnsi="Times New Roman" w:cs="Times New Roman"/>
          <w:color w:val="000000"/>
          <w:lang w:val="en-US" w:eastAsia="es-ES"/>
        </w:rPr>
        <w:t>Comissió</w:t>
      </w:r>
      <w:proofErr w:type="spellEnd"/>
      <w:r w:rsidRPr="00267942">
        <w:rPr>
          <w:rFonts w:ascii="Times New Roman" w:eastAsia="Times New Roman" w:hAnsi="Times New Roman" w:cs="Times New Roman"/>
          <w:color w:val="000000"/>
          <w:lang w:val="en-US" w:eastAsia="es-ES"/>
        </w:rPr>
        <w:t xml:space="preserve"> de SUDS de </w:t>
      </w:r>
      <w:proofErr w:type="spellStart"/>
      <w:r w:rsidRPr="00267942">
        <w:rPr>
          <w:rFonts w:ascii="Times New Roman" w:eastAsia="Times New Roman" w:hAnsi="Times New Roman" w:cs="Times New Roman"/>
          <w:color w:val="000000"/>
          <w:lang w:val="en-US" w:eastAsia="es-ES"/>
        </w:rPr>
        <w:t>l’Ajuntament</w:t>
      </w:r>
      <w:proofErr w:type="spellEnd"/>
      <w:r w:rsidRPr="00267942">
        <w:rPr>
          <w:rFonts w:ascii="Times New Roman" w:eastAsia="Times New Roman" w:hAnsi="Times New Roman" w:cs="Times New Roman"/>
          <w:color w:val="000000"/>
          <w:lang w:val="en-US" w:eastAsia="es-ES"/>
        </w:rPr>
        <w:t xml:space="preserve"> de Barcelona, 2020). This distance is typically chosen depending on the width of the building. Since we could not find available data on building width, we assumed a 3m buffer using the Open Street Map (</w:t>
      </w:r>
      <w:r w:rsidRPr="00267942">
        <w:rPr>
          <w:rFonts w:ascii="Times New Roman" w:eastAsia="Times New Roman" w:hAnsi="Times New Roman" w:cs="Times New Roman"/>
          <w:lang w:val="en-US" w:eastAsia="es-ES"/>
        </w:rPr>
        <w:t>www.openstreetmap.org</w:t>
      </w:r>
      <w:r w:rsidRPr="00267942">
        <w:rPr>
          <w:rFonts w:ascii="Times New Roman" w:eastAsia="Times New Roman" w:hAnsi="Times New Roman" w:cs="Times New Roman"/>
          <w:color w:val="000000"/>
          <w:lang w:val="en-US" w:eastAsia="es-ES"/>
        </w:rPr>
        <w:t>) buildings database. </w:t>
      </w:r>
    </w:p>
    <w:p w14:paraId="24251572"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 </w:t>
      </w:r>
    </w:p>
    <w:p w14:paraId="3DB47DAC"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b/>
          <w:lang w:val="en-US" w:eastAsia="es-ES"/>
        </w:rPr>
        <w:t>b. Underground structures</w:t>
      </w:r>
      <w:r w:rsidRPr="00267942">
        <w:rPr>
          <w:rFonts w:ascii="Times New Roman" w:eastAsia="Times New Roman" w:hAnsi="Times New Roman" w:cs="Times New Roman"/>
          <w:lang w:val="en-US" w:eastAsia="es-ES"/>
        </w:rPr>
        <w:t> </w:t>
      </w:r>
    </w:p>
    <w:p w14:paraId="5045FF5B"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i/>
          <w:color w:val="000000"/>
          <w:lang w:val="en-US" w:eastAsia="es-ES"/>
        </w:rPr>
        <w:t>Description of the raster map</w:t>
      </w:r>
      <w:r w:rsidRPr="00267942">
        <w:rPr>
          <w:rFonts w:ascii="Times New Roman" w:eastAsia="Times New Roman" w:hAnsi="Times New Roman" w:cs="Times New Roman"/>
          <w:color w:val="000000"/>
          <w:lang w:val="en-US" w:eastAsia="es-ES"/>
        </w:rPr>
        <w:t> </w:t>
      </w:r>
    </w:p>
    <w:tbl>
      <w:tblPr>
        <w:tblW w:w="7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5181"/>
      </w:tblGrid>
      <w:tr w:rsidR="005D3316" w:rsidRPr="00267942" w14:paraId="01926C63" w14:textId="77777777" w:rsidTr="005D3316">
        <w:trPr>
          <w:trHeight w:val="90"/>
        </w:trPr>
        <w:tc>
          <w:tcPr>
            <w:tcW w:w="1875" w:type="dxa"/>
            <w:tcBorders>
              <w:top w:val="nil"/>
              <w:left w:val="nil"/>
              <w:bottom w:val="single" w:sz="6" w:space="0" w:color="000000"/>
              <w:right w:val="nil"/>
            </w:tcBorders>
            <w:hideMark/>
          </w:tcPr>
          <w:p w14:paraId="28623807"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b/>
                <w:lang w:val="en-US" w:eastAsia="es-ES"/>
              </w:rPr>
              <w:t>Feasibility</w:t>
            </w:r>
          </w:p>
        </w:tc>
        <w:tc>
          <w:tcPr>
            <w:tcW w:w="5181" w:type="dxa"/>
            <w:tcBorders>
              <w:top w:val="nil"/>
              <w:left w:val="nil"/>
              <w:bottom w:val="single" w:sz="6" w:space="0" w:color="000000"/>
              <w:right w:val="nil"/>
            </w:tcBorders>
            <w:hideMark/>
          </w:tcPr>
          <w:p w14:paraId="7B979740"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b/>
                <w:lang w:val="en-US" w:eastAsia="es-ES"/>
              </w:rPr>
              <w:t>Value</w:t>
            </w:r>
          </w:p>
        </w:tc>
      </w:tr>
      <w:tr w:rsidR="005D3316" w:rsidRPr="00267942" w14:paraId="2CDCB348" w14:textId="77777777" w:rsidTr="005D3316">
        <w:trPr>
          <w:trHeight w:val="90"/>
        </w:trPr>
        <w:tc>
          <w:tcPr>
            <w:tcW w:w="1875" w:type="dxa"/>
            <w:tcBorders>
              <w:top w:val="nil"/>
              <w:left w:val="nil"/>
              <w:bottom w:val="single" w:sz="6" w:space="0" w:color="000000"/>
              <w:right w:val="nil"/>
            </w:tcBorders>
            <w:hideMark/>
          </w:tcPr>
          <w:p w14:paraId="6954C86F"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1</w:t>
            </w:r>
          </w:p>
        </w:tc>
        <w:tc>
          <w:tcPr>
            <w:tcW w:w="5181" w:type="dxa"/>
            <w:tcBorders>
              <w:top w:val="nil"/>
              <w:left w:val="nil"/>
              <w:bottom w:val="single" w:sz="6" w:space="0" w:color="000000"/>
              <w:right w:val="nil"/>
            </w:tcBorders>
            <w:hideMark/>
          </w:tcPr>
          <w:p w14:paraId="5E7796AF"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No underground structures</w:t>
            </w:r>
          </w:p>
        </w:tc>
      </w:tr>
      <w:tr w:rsidR="005D3316" w:rsidRPr="00A3689C" w14:paraId="0524EF07" w14:textId="77777777" w:rsidTr="005D3316">
        <w:trPr>
          <w:trHeight w:val="75"/>
        </w:trPr>
        <w:tc>
          <w:tcPr>
            <w:tcW w:w="1875" w:type="dxa"/>
            <w:tcBorders>
              <w:top w:val="single" w:sz="6" w:space="0" w:color="000000"/>
              <w:left w:val="nil"/>
              <w:bottom w:val="single" w:sz="6" w:space="0" w:color="000000"/>
              <w:right w:val="nil"/>
            </w:tcBorders>
            <w:hideMark/>
          </w:tcPr>
          <w:p w14:paraId="29D6A6BA"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0</w:t>
            </w:r>
          </w:p>
        </w:tc>
        <w:tc>
          <w:tcPr>
            <w:tcW w:w="5181" w:type="dxa"/>
            <w:tcBorders>
              <w:top w:val="single" w:sz="6" w:space="0" w:color="000000"/>
              <w:left w:val="nil"/>
              <w:bottom w:val="single" w:sz="6" w:space="0" w:color="000000"/>
              <w:right w:val="nil"/>
            </w:tcBorders>
            <w:hideMark/>
          </w:tcPr>
          <w:p w14:paraId="2D327E53" w14:textId="22B48B1D"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hAnsi="Times New Roman" w:cs="Times New Roman"/>
                <w:lang w:val="en-US"/>
              </w:rPr>
              <w:t>Presence of underground structures (metro and car tunnel, train station, underground parking)</w:t>
            </w:r>
          </w:p>
        </w:tc>
      </w:tr>
    </w:tbl>
    <w:p w14:paraId="74F28DD9"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color w:val="000000"/>
          <w:lang w:val="en-US" w:eastAsia="es-ES"/>
        </w:rPr>
        <w:t> </w:t>
      </w:r>
    </w:p>
    <w:p w14:paraId="1838A16A"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i/>
          <w:color w:val="000000"/>
          <w:lang w:val="en-US" w:eastAsia="es-ES"/>
        </w:rPr>
        <w:t>Rationale</w:t>
      </w:r>
      <w:r w:rsidRPr="00267942">
        <w:rPr>
          <w:rFonts w:ascii="Times New Roman" w:eastAsia="Times New Roman" w:hAnsi="Times New Roman" w:cs="Times New Roman"/>
          <w:color w:val="000000"/>
          <w:lang w:val="en-US" w:eastAsia="es-ES"/>
        </w:rPr>
        <w:t> </w:t>
      </w:r>
    </w:p>
    <w:p w14:paraId="4F95226B" w14:textId="4D1B0961"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 xml:space="preserve">Similarly, underground infrastructures can get damaged or </w:t>
      </w:r>
      <w:r w:rsidR="00CA1F64" w:rsidRPr="00267942">
        <w:rPr>
          <w:rFonts w:ascii="Times New Roman" w:eastAsia="Times New Roman" w:hAnsi="Times New Roman" w:cs="Times New Roman"/>
          <w:lang w:val="en-US" w:eastAsia="es-ES"/>
        </w:rPr>
        <w:t>destabilized</w:t>
      </w:r>
      <w:r w:rsidRPr="00267942">
        <w:rPr>
          <w:rFonts w:ascii="Times New Roman" w:eastAsia="Times New Roman" w:hAnsi="Times New Roman" w:cs="Times New Roman"/>
          <w:lang w:val="en-US" w:eastAsia="es-ES"/>
        </w:rPr>
        <w:t xml:space="preserve"> by increased infiltration of water and pollutants. Besides, a high density of underground structures and services limits the availability of space for additional underground infrastructure needed for the NBS, such as underdrains (</w:t>
      </w:r>
      <w:proofErr w:type="spellStart"/>
      <w:r w:rsidRPr="00267942">
        <w:rPr>
          <w:rFonts w:ascii="Times New Roman" w:eastAsia="Times New Roman" w:hAnsi="Times New Roman" w:cs="Times New Roman"/>
          <w:lang w:val="en-US" w:eastAsia="es-ES"/>
        </w:rPr>
        <w:t>Comissió</w:t>
      </w:r>
      <w:proofErr w:type="spellEnd"/>
      <w:r w:rsidRPr="00267942">
        <w:rPr>
          <w:rFonts w:ascii="Times New Roman" w:eastAsia="Times New Roman" w:hAnsi="Times New Roman" w:cs="Times New Roman"/>
          <w:lang w:val="en-US" w:eastAsia="es-ES"/>
        </w:rPr>
        <w:t xml:space="preserve"> de SUDS de </w:t>
      </w:r>
      <w:proofErr w:type="spellStart"/>
      <w:r w:rsidRPr="00267942">
        <w:rPr>
          <w:rFonts w:ascii="Times New Roman" w:eastAsia="Times New Roman" w:hAnsi="Times New Roman" w:cs="Times New Roman"/>
          <w:lang w:val="en-US" w:eastAsia="es-ES"/>
        </w:rPr>
        <w:t>l’Ajuntament</w:t>
      </w:r>
      <w:proofErr w:type="spellEnd"/>
      <w:r w:rsidRPr="00267942">
        <w:rPr>
          <w:rFonts w:ascii="Times New Roman" w:eastAsia="Times New Roman" w:hAnsi="Times New Roman" w:cs="Times New Roman"/>
          <w:lang w:val="en-US" w:eastAsia="es-ES"/>
        </w:rPr>
        <w:t xml:space="preserve"> de Barcelona, 2020). </w:t>
      </w:r>
    </w:p>
    <w:p w14:paraId="27564494"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p>
    <w:p w14:paraId="3391B636"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b/>
          <w:lang w:val="en-US" w:eastAsia="es-ES"/>
        </w:rPr>
        <w:t>c. Rooftop slope</w:t>
      </w:r>
      <w:r w:rsidRPr="00267942">
        <w:rPr>
          <w:rFonts w:ascii="Times New Roman" w:eastAsia="Times New Roman" w:hAnsi="Times New Roman" w:cs="Times New Roman"/>
          <w:lang w:val="en-US" w:eastAsia="es-ES"/>
        </w:rPr>
        <w:t> </w:t>
      </w:r>
    </w:p>
    <w:p w14:paraId="7808044A"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i/>
          <w:color w:val="000000"/>
          <w:lang w:val="en-US" w:eastAsia="es-ES"/>
        </w:rPr>
        <w:t>Description of the raster map</w:t>
      </w:r>
      <w:r w:rsidRPr="00267942">
        <w:rPr>
          <w:rFonts w:ascii="Times New Roman" w:eastAsia="Times New Roman" w:hAnsi="Times New Roman" w:cs="Times New Roman"/>
          <w:color w:val="000000"/>
          <w:lang w:val="en-US" w:eastAsia="es-ES"/>
        </w:rPr>
        <w:t> </w:t>
      </w:r>
    </w:p>
    <w:tbl>
      <w:tblPr>
        <w:tblW w:w="71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5"/>
        <w:gridCol w:w="5322"/>
      </w:tblGrid>
      <w:tr w:rsidR="005D3316" w:rsidRPr="00267942" w14:paraId="10EA1021" w14:textId="77777777" w:rsidTr="005D3316">
        <w:trPr>
          <w:trHeight w:val="90"/>
        </w:trPr>
        <w:tc>
          <w:tcPr>
            <w:tcW w:w="1875" w:type="dxa"/>
            <w:tcBorders>
              <w:top w:val="nil"/>
              <w:left w:val="nil"/>
              <w:bottom w:val="single" w:sz="6" w:space="0" w:color="000000"/>
              <w:right w:val="nil"/>
            </w:tcBorders>
            <w:hideMark/>
          </w:tcPr>
          <w:p w14:paraId="66998071"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b/>
                <w:lang w:val="en-US" w:eastAsia="es-ES"/>
              </w:rPr>
              <w:t>Feasibility</w:t>
            </w:r>
            <w:r w:rsidRPr="00267942">
              <w:rPr>
                <w:rFonts w:ascii="Times New Roman" w:eastAsia="Times New Roman" w:hAnsi="Times New Roman" w:cs="Times New Roman"/>
                <w:lang w:val="en-US" w:eastAsia="es-ES"/>
              </w:rPr>
              <w:t> </w:t>
            </w:r>
          </w:p>
        </w:tc>
        <w:tc>
          <w:tcPr>
            <w:tcW w:w="5322" w:type="dxa"/>
            <w:tcBorders>
              <w:top w:val="nil"/>
              <w:left w:val="nil"/>
              <w:bottom w:val="single" w:sz="6" w:space="0" w:color="000000"/>
              <w:right w:val="nil"/>
            </w:tcBorders>
            <w:hideMark/>
          </w:tcPr>
          <w:p w14:paraId="4870228B"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b/>
                <w:lang w:val="en-US" w:eastAsia="es-ES"/>
              </w:rPr>
              <w:t>Value</w:t>
            </w:r>
            <w:r w:rsidRPr="00267942">
              <w:rPr>
                <w:rFonts w:ascii="Times New Roman" w:eastAsia="Times New Roman" w:hAnsi="Times New Roman" w:cs="Times New Roman"/>
                <w:lang w:val="en-US" w:eastAsia="es-ES"/>
              </w:rPr>
              <w:t> </w:t>
            </w:r>
          </w:p>
        </w:tc>
      </w:tr>
      <w:tr w:rsidR="005D3316" w:rsidRPr="00267942" w14:paraId="0FDA1529" w14:textId="77777777" w:rsidTr="005D3316">
        <w:trPr>
          <w:trHeight w:val="90"/>
        </w:trPr>
        <w:tc>
          <w:tcPr>
            <w:tcW w:w="1875" w:type="dxa"/>
            <w:tcBorders>
              <w:top w:val="nil"/>
              <w:left w:val="nil"/>
              <w:bottom w:val="single" w:sz="6" w:space="0" w:color="000000"/>
              <w:right w:val="nil"/>
            </w:tcBorders>
            <w:hideMark/>
          </w:tcPr>
          <w:p w14:paraId="7E798F76"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1 </w:t>
            </w:r>
          </w:p>
        </w:tc>
        <w:tc>
          <w:tcPr>
            <w:tcW w:w="5322" w:type="dxa"/>
            <w:tcBorders>
              <w:top w:val="nil"/>
              <w:left w:val="nil"/>
              <w:bottom w:val="single" w:sz="6" w:space="0" w:color="000000"/>
              <w:right w:val="nil"/>
            </w:tcBorders>
            <w:hideMark/>
          </w:tcPr>
          <w:p w14:paraId="3F252A71"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&lt;15° </w:t>
            </w:r>
          </w:p>
        </w:tc>
      </w:tr>
      <w:tr w:rsidR="005D3316" w:rsidRPr="00267942" w14:paraId="064C3065" w14:textId="77777777" w:rsidTr="005D3316">
        <w:trPr>
          <w:trHeight w:val="75"/>
        </w:trPr>
        <w:tc>
          <w:tcPr>
            <w:tcW w:w="1875" w:type="dxa"/>
            <w:tcBorders>
              <w:top w:val="single" w:sz="6" w:space="0" w:color="000000"/>
              <w:left w:val="nil"/>
              <w:bottom w:val="single" w:sz="6" w:space="0" w:color="000000"/>
              <w:right w:val="nil"/>
            </w:tcBorders>
            <w:hideMark/>
          </w:tcPr>
          <w:p w14:paraId="3C6A6CC8"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0.5 </w:t>
            </w:r>
          </w:p>
        </w:tc>
        <w:tc>
          <w:tcPr>
            <w:tcW w:w="5322" w:type="dxa"/>
            <w:tcBorders>
              <w:top w:val="single" w:sz="6" w:space="0" w:color="000000"/>
              <w:left w:val="nil"/>
              <w:bottom w:val="single" w:sz="6" w:space="0" w:color="000000"/>
              <w:right w:val="nil"/>
            </w:tcBorders>
            <w:hideMark/>
          </w:tcPr>
          <w:p w14:paraId="6BB47DD4"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15-45° </w:t>
            </w:r>
          </w:p>
        </w:tc>
      </w:tr>
      <w:tr w:rsidR="005D3316" w:rsidRPr="00267942" w14:paraId="4E56F81E" w14:textId="77777777" w:rsidTr="005D3316">
        <w:trPr>
          <w:trHeight w:val="75"/>
        </w:trPr>
        <w:tc>
          <w:tcPr>
            <w:tcW w:w="1875" w:type="dxa"/>
            <w:tcBorders>
              <w:top w:val="single" w:sz="6" w:space="0" w:color="000000"/>
              <w:left w:val="nil"/>
              <w:bottom w:val="single" w:sz="6" w:space="0" w:color="000000"/>
              <w:right w:val="nil"/>
            </w:tcBorders>
            <w:hideMark/>
          </w:tcPr>
          <w:p w14:paraId="33E94844"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0 </w:t>
            </w:r>
          </w:p>
        </w:tc>
        <w:tc>
          <w:tcPr>
            <w:tcW w:w="5322" w:type="dxa"/>
            <w:tcBorders>
              <w:top w:val="single" w:sz="6" w:space="0" w:color="000000"/>
              <w:left w:val="nil"/>
              <w:bottom w:val="single" w:sz="6" w:space="0" w:color="000000"/>
              <w:right w:val="nil"/>
            </w:tcBorders>
            <w:hideMark/>
          </w:tcPr>
          <w:p w14:paraId="1192F894" w14:textId="77777777" w:rsidR="005D3316" w:rsidRPr="00267942" w:rsidRDefault="005D3316"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lang w:val="en-US" w:eastAsia="es-ES"/>
              </w:rPr>
              <w:t>&gt;45° </w:t>
            </w:r>
          </w:p>
        </w:tc>
      </w:tr>
    </w:tbl>
    <w:p w14:paraId="79797322" w14:textId="77777777" w:rsidR="006A187D" w:rsidRPr="00267942" w:rsidRDefault="006A187D" w:rsidP="00C70AFA">
      <w:pPr>
        <w:spacing w:after="0" w:line="360" w:lineRule="auto"/>
        <w:jc w:val="both"/>
        <w:textAlignment w:val="baseline"/>
        <w:rPr>
          <w:rFonts w:ascii="Times New Roman" w:eastAsia="Times New Roman" w:hAnsi="Times New Roman" w:cs="Times New Roman"/>
          <w:lang w:val="en-US" w:eastAsia="es-ES"/>
        </w:rPr>
      </w:pPr>
      <w:r w:rsidRPr="00267942">
        <w:rPr>
          <w:rFonts w:ascii="Times New Roman" w:eastAsia="Times New Roman" w:hAnsi="Times New Roman" w:cs="Times New Roman"/>
          <w:color w:val="000000"/>
          <w:lang w:val="en-US" w:eastAsia="es-ES"/>
        </w:rPr>
        <w:t> </w:t>
      </w:r>
    </w:p>
    <w:p w14:paraId="4342D032" w14:textId="77777777" w:rsidR="006A187D" w:rsidRPr="00267942" w:rsidRDefault="006A187D" w:rsidP="00C70AFA">
      <w:pPr>
        <w:spacing w:after="0" w:line="360" w:lineRule="auto"/>
        <w:jc w:val="both"/>
        <w:textAlignment w:val="baseline"/>
        <w:rPr>
          <w:rFonts w:ascii="Times New Roman" w:eastAsia="Times New Roman" w:hAnsi="Times New Roman" w:cs="Times New Roman"/>
          <w:color w:val="000000"/>
          <w:lang w:val="en-US" w:eastAsia="es-ES"/>
        </w:rPr>
      </w:pPr>
      <w:r w:rsidRPr="00267942">
        <w:rPr>
          <w:rFonts w:ascii="Times New Roman" w:eastAsia="Times New Roman" w:hAnsi="Times New Roman" w:cs="Times New Roman"/>
          <w:i/>
          <w:color w:val="000000"/>
          <w:lang w:val="en-US" w:eastAsia="es-ES"/>
        </w:rPr>
        <w:t>Rationale</w:t>
      </w:r>
      <w:r w:rsidRPr="00267942">
        <w:rPr>
          <w:rFonts w:ascii="Times New Roman" w:eastAsia="Times New Roman" w:hAnsi="Times New Roman" w:cs="Times New Roman"/>
          <w:color w:val="000000"/>
          <w:lang w:val="en-US" w:eastAsia="es-ES"/>
        </w:rPr>
        <w:t> </w:t>
      </w:r>
    </w:p>
    <w:p w14:paraId="7539D6EB" w14:textId="77777777" w:rsidR="006A187D" w:rsidRPr="00267942" w:rsidRDefault="006A187D" w:rsidP="00C70AFA">
      <w:pPr>
        <w:spacing w:after="0" w:line="360" w:lineRule="auto"/>
        <w:jc w:val="both"/>
        <w:textAlignment w:val="baseline"/>
        <w:rPr>
          <w:rFonts w:ascii="Times New Roman" w:eastAsia="Times New Roman" w:hAnsi="Times New Roman" w:cs="Times New Roman"/>
          <w:color w:val="000000"/>
          <w:lang w:val="en-US" w:eastAsia="es-ES"/>
        </w:rPr>
      </w:pPr>
      <w:proofErr w:type="gramStart"/>
      <w:r w:rsidRPr="00267942">
        <w:rPr>
          <w:rFonts w:ascii="Times New Roman" w:eastAsia="Times New Roman" w:hAnsi="Times New Roman" w:cs="Times New Roman"/>
          <w:color w:val="000000"/>
          <w:lang w:val="en-US" w:eastAsia="es-ES"/>
        </w:rPr>
        <w:lastRenderedPageBreak/>
        <w:t>Similar to</w:t>
      </w:r>
      <w:proofErr w:type="gramEnd"/>
      <w:r w:rsidRPr="00267942">
        <w:rPr>
          <w:rFonts w:ascii="Times New Roman" w:eastAsia="Times New Roman" w:hAnsi="Times New Roman" w:cs="Times New Roman"/>
          <w:color w:val="000000"/>
          <w:lang w:val="en-US" w:eastAsia="es-ES"/>
        </w:rPr>
        <w:t xml:space="preserve"> ground slope, rooftop slope creates higher runoff speeds and reduces retention capacity. Further, steep inclination leads to structurally instable constructions, requiring additional anti-slip measures (</w:t>
      </w:r>
      <w:proofErr w:type="spellStart"/>
      <w:r w:rsidRPr="00267942">
        <w:rPr>
          <w:rFonts w:ascii="Times New Roman" w:eastAsia="Times New Roman" w:hAnsi="Times New Roman" w:cs="Times New Roman"/>
          <w:color w:val="000000"/>
          <w:lang w:val="en-US" w:eastAsia="es-ES"/>
        </w:rPr>
        <w:t>Comissió</w:t>
      </w:r>
      <w:proofErr w:type="spellEnd"/>
      <w:r w:rsidRPr="00267942">
        <w:rPr>
          <w:rFonts w:ascii="Times New Roman" w:eastAsia="Times New Roman" w:hAnsi="Times New Roman" w:cs="Times New Roman"/>
          <w:color w:val="000000"/>
          <w:lang w:val="en-US" w:eastAsia="es-ES"/>
        </w:rPr>
        <w:t xml:space="preserve"> de SUDS de </w:t>
      </w:r>
      <w:proofErr w:type="spellStart"/>
      <w:r w:rsidRPr="00267942">
        <w:rPr>
          <w:rFonts w:ascii="Times New Roman" w:eastAsia="Times New Roman" w:hAnsi="Times New Roman" w:cs="Times New Roman"/>
          <w:color w:val="000000"/>
          <w:lang w:val="en-US" w:eastAsia="es-ES"/>
        </w:rPr>
        <w:t>l’Ajuntament</w:t>
      </w:r>
      <w:proofErr w:type="spellEnd"/>
      <w:r w:rsidRPr="00267942">
        <w:rPr>
          <w:rFonts w:ascii="Times New Roman" w:eastAsia="Times New Roman" w:hAnsi="Times New Roman" w:cs="Times New Roman"/>
          <w:color w:val="000000"/>
          <w:lang w:val="en-US" w:eastAsia="es-ES"/>
        </w:rPr>
        <w:t xml:space="preserve"> de Barcelona, 2020). Extensive green roofs can be installed until a slope of 45%, but steeper inclinations than 15% require additional anti-slip measures which increases the construction efforts (</w:t>
      </w:r>
      <w:proofErr w:type="spellStart"/>
      <w:r w:rsidRPr="00267942">
        <w:rPr>
          <w:rFonts w:ascii="Times New Roman" w:eastAsia="Times New Roman" w:hAnsi="Times New Roman" w:cs="Times New Roman"/>
          <w:color w:val="000000"/>
          <w:lang w:val="en-US" w:eastAsia="es-ES"/>
        </w:rPr>
        <w:t>Matzing</w:t>
      </w:r>
      <w:proofErr w:type="spellEnd"/>
      <w:r w:rsidRPr="00267942">
        <w:rPr>
          <w:rFonts w:ascii="Times New Roman" w:eastAsia="Times New Roman" w:hAnsi="Times New Roman" w:cs="Times New Roman"/>
          <w:color w:val="000000"/>
          <w:lang w:val="en-US" w:eastAsia="es-ES"/>
        </w:rPr>
        <w:t xml:space="preserve"> et al., 2017). Intensive green roofs with a thick soil and vegetation cover require flatter roofs of maximum 5% inclination (</w:t>
      </w:r>
      <w:proofErr w:type="spellStart"/>
      <w:r w:rsidRPr="00267942">
        <w:rPr>
          <w:rFonts w:ascii="Times New Roman" w:eastAsia="Times New Roman" w:hAnsi="Times New Roman" w:cs="Times New Roman"/>
          <w:color w:val="000000"/>
          <w:lang w:val="en-US" w:eastAsia="es-ES"/>
        </w:rPr>
        <w:t>Comissió</w:t>
      </w:r>
      <w:proofErr w:type="spellEnd"/>
      <w:r w:rsidRPr="00267942">
        <w:rPr>
          <w:rFonts w:ascii="Times New Roman" w:eastAsia="Times New Roman" w:hAnsi="Times New Roman" w:cs="Times New Roman"/>
          <w:color w:val="000000"/>
          <w:lang w:val="en-US" w:eastAsia="es-ES"/>
        </w:rPr>
        <w:t xml:space="preserve"> de SUDS de </w:t>
      </w:r>
      <w:proofErr w:type="spellStart"/>
      <w:r w:rsidRPr="00267942">
        <w:rPr>
          <w:rFonts w:ascii="Times New Roman" w:eastAsia="Times New Roman" w:hAnsi="Times New Roman" w:cs="Times New Roman"/>
          <w:color w:val="000000"/>
          <w:lang w:val="en-US" w:eastAsia="es-ES"/>
        </w:rPr>
        <w:t>l’Ajuntament</w:t>
      </w:r>
      <w:proofErr w:type="spellEnd"/>
      <w:r w:rsidRPr="00267942">
        <w:rPr>
          <w:rFonts w:ascii="Times New Roman" w:eastAsia="Times New Roman" w:hAnsi="Times New Roman" w:cs="Times New Roman"/>
          <w:color w:val="000000"/>
          <w:lang w:val="en-US" w:eastAsia="es-ES"/>
        </w:rPr>
        <w:t xml:space="preserve"> de Barcelona, 2020)  </w:t>
      </w:r>
      <w:bookmarkEnd w:id="0"/>
    </w:p>
    <w:sectPr w:rsidR="006A187D" w:rsidRPr="0026794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AC4"/>
    <w:multiLevelType w:val="hybridMultilevel"/>
    <w:tmpl w:val="9A0659F6"/>
    <w:lvl w:ilvl="0" w:tplc="8362CD3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CD62B0"/>
    <w:multiLevelType w:val="multilevel"/>
    <w:tmpl w:val="A0DEEA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63201"/>
    <w:multiLevelType w:val="multilevel"/>
    <w:tmpl w:val="3F4CC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C7258E"/>
    <w:multiLevelType w:val="multilevel"/>
    <w:tmpl w:val="E8686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9667250">
    <w:abstractNumId w:val="2"/>
  </w:num>
  <w:num w:numId="2" w16cid:durableId="1108089050">
    <w:abstractNumId w:val="3"/>
  </w:num>
  <w:num w:numId="3" w16cid:durableId="444544727">
    <w:abstractNumId w:val="1"/>
  </w:num>
  <w:num w:numId="4" w16cid:durableId="47796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CA7EC6"/>
    <w:rsid w:val="000512DB"/>
    <w:rsid w:val="000513CC"/>
    <w:rsid w:val="000C7617"/>
    <w:rsid w:val="000E288E"/>
    <w:rsid w:val="000E3EC2"/>
    <w:rsid w:val="0011130D"/>
    <w:rsid w:val="00267942"/>
    <w:rsid w:val="002D7D88"/>
    <w:rsid w:val="00343D0E"/>
    <w:rsid w:val="003477A0"/>
    <w:rsid w:val="003A12FD"/>
    <w:rsid w:val="005539A4"/>
    <w:rsid w:val="005B7319"/>
    <w:rsid w:val="005D2C37"/>
    <w:rsid w:val="005D3316"/>
    <w:rsid w:val="006025EF"/>
    <w:rsid w:val="006A187D"/>
    <w:rsid w:val="006A40D7"/>
    <w:rsid w:val="006C56EC"/>
    <w:rsid w:val="006E3132"/>
    <w:rsid w:val="007530E3"/>
    <w:rsid w:val="007D0129"/>
    <w:rsid w:val="008439EA"/>
    <w:rsid w:val="00876F60"/>
    <w:rsid w:val="008F75DF"/>
    <w:rsid w:val="00914417"/>
    <w:rsid w:val="009E023B"/>
    <w:rsid w:val="00A3689C"/>
    <w:rsid w:val="00A656F8"/>
    <w:rsid w:val="00B1086E"/>
    <w:rsid w:val="00B30A54"/>
    <w:rsid w:val="00B96205"/>
    <w:rsid w:val="00BB222C"/>
    <w:rsid w:val="00BD6AFE"/>
    <w:rsid w:val="00C372B3"/>
    <w:rsid w:val="00C70AFA"/>
    <w:rsid w:val="00C8773A"/>
    <w:rsid w:val="00CA1F64"/>
    <w:rsid w:val="00CC5AFA"/>
    <w:rsid w:val="00E83587"/>
    <w:rsid w:val="00E852CF"/>
    <w:rsid w:val="00FB2E1D"/>
    <w:rsid w:val="0E0F7179"/>
    <w:rsid w:val="190253D8"/>
    <w:rsid w:val="3A74018A"/>
    <w:rsid w:val="3FF61BCF"/>
    <w:rsid w:val="4B7893F8"/>
    <w:rsid w:val="4ECA7EC6"/>
    <w:rsid w:val="59F84EFA"/>
    <w:rsid w:val="6CDAB6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7EC6"/>
  <w15:chartTrackingRefBased/>
  <w15:docId w15:val="{8A73E601-EEC6-4B0C-AD4E-8F521BD7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87D"/>
    <w:pPr>
      <w:spacing w:before="120" w:after="0" w:line="240" w:lineRule="auto"/>
      <w:ind w:left="720"/>
      <w:contextualSpacing/>
      <w:jc w:val="both"/>
    </w:pPr>
    <w:rPr>
      <w:rFonts w:ascii="Times New Roman" w:eastAsia="Times New Roman" w:hAnsi="Times New Roman" w:cs="Times New Roman"/>
      <w:lang w:val="da-DK" w:eastAsia="en-GB"/>
    </w:rPr>
  </w:style>
  <w:style w:type="character" w:styleId="CommentReference">
    <w:name w:val="annotation reference"/>
    <w:basedOn w:val="DefaultParagraphFont"/>
    <w:uiPriority w:val="99"/>
    <w:semiHidden/>
    <w:unhideWhenUsed/>
    <w:rsid w:val="006A187D"/>
    <w:rPr>
      <w:sz w:val="16"/>
      <w:szCs w:val="16"/>
    </w:rPr>
  </w:style>
  <w:style w:type="paragraph" w:styleId="CommentText">
    <w:name w:val="annotation text"/>
    <w:basedOn w:val="Normal"/>
    <w:link w:val="CommentTextChar"/>
    <w:uiPriority w:val="99"/>
    <w:unhideWhenUsed/>
    <w:rsid w:val="006A187D"/>
    <w:pPr>
      <w:spacing w:before="120" w:after="0" w:line="240" w:lineRule="auto"/>
      <w:jc w:val="both"/>
    </w:pPr>
    <w:rPr>
      <w:rFonts w:ascii="Times New Roman" w:hAnsi="Times New Roman" w:cs="Times New Roman (Body CS)"/>
      <w:sz w:val="20"/>
      <w:szCs w:val="20"/>
      <w:lang w:val="en-GB"/>
    </w:rPr>
  </w:style>
  <w:style w:type="character" w:customStyle="1" w:styleId="CommentTextChar">
    <w:name w:val="Comment Text Char"/>
    <w:basedOn w:val="DefaultParagraphFont"/>
    <w:link w:val="CommentText"/>
    <w:uiPriority w:val="99"/>
    <w:rsid w:val="006A187D"/>
    <w:rPr>
      <w:rFonts w:ascii="Times New Roman" w:hAnsi="Times New Roman" w:cs="Times New Roman (Body CS)"/>
      <w:sz w:val="20"/>
      <w:szCs w:val="20"/>
      <w:lang w:val="en-GB"/>
    </w:rPr>
  </w:style>
  <w:style w:type="paragraph" w:styleId="NormalWeb">
    <w:name w:val="Normal (Web)"/>
    <w:basedOn w:val="Normal"/>
    <w:uiPriority w:val="99"/>
    <w:unhideWhenUsed/>
    <w:rsid w:val="006A187D"/>
    <w:pPr>
      <w:spacing w:before="100" w:beforeAutospacing="1" w:after="100" w:afterAutospacing="1" w:line="240" w:lineRule="auto"/>
      <w:jc w:val="both"/>
    </w:pPr>
    <w:rPr>
      <w:rFonts w:ascii="Times New Roman" w:eastAsia="Times New Roman" w:hAnsi="Times New Roman" w:cs="Times New Roman"/>
      <w:lang w:val="en-US" w:eastAsia="es-ES"/>
    </w:rPr>
  </w:style>
  <w:style w:type="character" w:styleId="Hyperlink">
    <w:name w:val="Hyperlink"/>
    <w:basedOn w:val="DefaultParagraphFont"/>
    <w:uiPriority w:val="99"/>
    <w:unhideWhenUsed/>
    <w:rsid w:val="00BD6AFE"/>
    <w:rPr>
      <w:color w:val="467886" w:themeColor="hyperlink"/>
      <w:u w:val="single"/>
    </w:rPr>
  </w:style>
  <w:style w:type="character" w:styleId="UnresolvedMention">
    <w:name w:val="Unresolved Mention"/>
    <w:basedOn w:val="DefaultParagraphFont"/>
    <w:uiPriority w:val="99"/>
    <w:semiHidden/>
    <w:unhideWhenUsed/>
    <w:rsid w:val="00BD6AFE"/>
    <w:rPr>
      <w:color w:val="605E5C"/>
      <w:shd w:val="clear" w:color="auto" w:fill="E1DFDD"/>
    </w:rPr>
  </w:style>
  <w:style w:type="table" w:styleId="PlainTable2">
    <w:name w:val="Plain Table 2"/>
    <w:basedOn w:val="TableNormal"/>
    <w:uiPriority w:val="42"/>
    <w:rsid w:val="005D33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EEF12-5CD0-4D1A-A4C0-168046D9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Khromova</dc:creator>
  <cp:keywords/>
  <dc:description/>
  <cp:lastModifiedBy>Svetlana Khromova</cp:lastModifiedBy>
  <cp:revision>18</cp:revision>
  <dcterms:created xsi:type="dcterms:W3CDTF">2025-05-15T08:48:00Z</dcterms:created>
  <dcterms:modified xsi:type="dcterms:W3CDTF">2026-03-11T09:02:00Z</dcterms:modified>
</cp:coreProperties>
</file>