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75848F" w14:textId="77777777" w:rsidR="0061406A" w:rsidRPr="00F10E52" w:rsidRDefault="0061406A" w:rsidP="0061406A">
      <w:pPr>
        <w:spacing w:after="0"/>
        <w:rPr>
          <w:rFonts w:ascii="Times New Roman" w:hAnsi="Times New Roman" w:cs="Times New Roman"/>
          <w:szCs w:val="24"/>
        </w:rPr>
      </w:pPr>
      <w:r w:rsidRPr="00F10E52">
        <w:rPr>
          <w:rFonts w:ascii="Times New Roman" w:hAnsi="Times New Roman" w:cs="Times New Roman"/>
          <w:b/>
          <w:bCs/>
          <w:szCs w:val="24"/>
        </w:rPr>
        <w:t>Table 1</w:t>
      </w:r>
      <w:r w:rsidRPr="00F10E52">
        <w:rPr>
          <w:rFonts w:ascii="Times New Roman" w:hAnsi="Times New Roman" w:cs="Times New Roman"/>
          <w:szCs w:val="24"/>
        </w:rPr>
        <w:t>. Patients characteristics based on baseline NLR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85"/>
        <w:gridCol w:w="1908"/>
        <w:gridCol w:w="2010"/>
        <w:gridCol w:w="1523"/>
      </w:tblGrid>
      <w:tr w:rsidR="0061406A" w:rsidRPr="00F10E52" w14:paraId="3EE9F11E" w14:textId="77777777" w:rsidTr="004C5AE1"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6B29BA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2CC539" w14:textId="77777777" w:rsidR="0061406A" w:rsidRPr="00F10E52" w:rsidRDefault="0061406A" w:rsidP="004C5AE1">
            <w:pPr>
              <w:ind w:right="140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F10E52">
              <w:rPr>
                <w:rFonts w:ascii="Times New Roman" w:hAnsi="Times New Roman" w:cs="Times New Roman"/>
                <w:b/>
                <w:bCs/>
                <w:szCs w:val="24"/>
              </w:rPr>
              <w:t>NLR&lt;2.76</w:t>
            </w:r>
          </w:p>
          <w:p w14:paraId="4A96F0E6" w14:textId="77777777" w:rsidR="0061406A" w:rsidRPr="00F10E52" w:rsidRDefault="0061406A" w:rsidP="004C5AE1">
            <w:pPr>
              <w:ind w:right="230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F10E52">
              <w:rPr>
                <w:rFonts w:ascii="Times New Roman" w:hAnsi="Times New Roman" w:cs="Times New Roman"/>
                <w:b/>
                <w:bCs/>
                <w:szCs w:val="24"/>
              </w:rPr>
              <w:t>(n=71)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A4958D" w14:textId="77777777" w:rsidR="0061406A" w:rsidRPr="00F10E52" w:rsidRDefault="0061406A" w:rsidP="004C5AE1">
            <w:pPr>
              <w:ind w:right="620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F10E52">
              <w:rPr>
                <w:rFonts w:ascii="Times New Roman" w:hAnsi="Times New Roman" w:cs="Times New Roman"/>
                <w:b/>
                <w:bCs/>
                <w:szCs w:val="24"/>
              </w:rPr>
              <w:t>NLR≥2.76</w:t>
            </w:r>
          </w:p>
          <w:p w14:paraId="140A0E94" w14:textId="77777777" w:rsidR="0061406A" w:rsidRPr="00F10E52" w:rsidRDefault="0061406A" w:rsidP="004C5AE1">
            <w:pPr>
              <w:ind w:right="620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F10E52">
              <w:rPr>
                <w:rFonts w:ascii="Times New Roman" w:hAnsi="Times New Roman" w:cs="Times New Roman"/>
                <w:b/>
                <w:bCs/>
                <w:szCs w:val="24"/>
              </w:rPr>
              <w:t>(n=75)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DDFAC3" w14:textId="77777777" w:rsidR="0061406A" w:rsidRPr="00F10E52" w:rsidRDefault="0061406A" w:rsidP="004C5AE1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F10E52">
              <w:rPr>
                <w:rFonts w:ascii="Times New Roman" w:hAnsi="Times New Roman" w:cs="Times New Roman"/>
                <w:b/>
                <w:bCs/>
                <w:i/>
                <w:iCs/>
                <w:szCs w:val="24"/>
              </w:rPr>
              <w:t>p</w:t>
            </w:r>
            <w:r w:rsidRPr="00F10E52">
              <w:rPr>
                <w:rFonts w:ascii="Times New Roman" w:hAnsi="Times New Roman" w:cs="Times New Roman"/>
                <w:b/>
                <w:bCs/>
                <w:szCs w:val="24"/>
              </w:rPr>
              <w:t>-value</w:t>
            </w:r>
          </w:p>
        </w:tc>
      </w:tr>
      <w:tr w:rsidR="0061406A" w:rsidRPr="00F10E52" w14:paraId="6E6D944C" w14:textId="77777777" w:rsidTr="004C5AE1">
        <w:tc>
          <w:tcPr>
            <w:tcW w:w="38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D3E36A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Age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C83957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65.44±10.60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4CA4A9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66.19±11.13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55AA28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0.678</w:t>
            </w:r>
          </w:p>
        </w:tc>
      </w:tr>
      <w:tr w:rsidR="0061406A" w:rsidRPr="00F10E52" w14:paraId="2AFB31A1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7CDF2AA8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Gender (M/F)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18746366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15/56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4415F6FA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36/39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19B0B422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0.001</w:t>
            </w:r>
          </w:p>
        </w:tc>
      </w:tr>
      <w:tr w:rsidR="0061406A" w:rsidRPr="00F10E52" w14:paraId="4227AA52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01ABA696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BMI (kg/m</w:t>
            </w:r>
            <w:r w:rsidRPr="00F10E52">
              <w:rPr>
                <w:rFonts w:ascii="Times New Roman" w:hAnsi="Times New Roman" w:cs="Times New Roman"/>
                <w:szCs w:val="24"/>
                <w:vertAlign w:val="superscript"/>
              </w:rPr>
              <w:t>2</w:t>
            </w:r>
            <w:r w:rsidRPr="00F10E52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31228BB4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22.68±4.21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15564F9D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22.30±4.21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2B38EEA3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0.585</w:t>
            </w:r>
          </w:p>
        </w:tc>
      </w:tr>
      <w:tr w:rsidR="0061406A" w:rsidRPr="00F10E52" w14:paraId="24A2EC6F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06BDF418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Smoking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4049EA33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0.25±0.66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6EAA8A2E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0.54±0.88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1F83F6E2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0.031</w:t>
            </w:r>
          </w:p>
        </w:tc>
      </w:tr>
      <w:tr w:rsidR="0061406A" w:rsidRPr="00F10E52" w14:paraId="79FB36B0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195517DF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Smoking amount (pack/year)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70818CAB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0.33±1.04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34FE60FA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0.84±1.57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1DDB1D2E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0.031</w:t>
            </w:r>
          </w:p>
        </w:tc>
      </w:tr>
      <w:tr w:rsidR="0061406A" w:rsidRPr="00F10E52" w14:paraId="23CA40CC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356DFAFE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Admission in the past 2 years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5742C241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0.41±0.85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37232B9A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0.76±1.48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5B4C93AD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0.079</w:t>
            </w:r>
          </w:p>
        </w:tc>
      </w:tr>
      <w:tr w:rsidR="0061406A" w:rsidRPr="00F10E52" w14:paraId="54922615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12489A2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4 years mortality (n, %)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11C0D62F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15 (21.13%)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2DE583BF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27 (36%)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58FBF27A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0.047</w:t>
            </w:r>
          </w:p>
        </w:tc>
      </w:tr>
      <w:tr w:rsidR="0061406A" w:rsidRPr="00F10E52" w14:paraId="70998067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05CBE5D3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FVE1(L)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7A3C7C3B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1.36±0.43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7D76E68E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1.28±0.63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5577D0FE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0.430</w:t>
            </w:r>
          </w:p>
        </w:tc>
      </w:tr>
      <w:tr w:rsidR="0061406A" w:rsidRPr="00F10E52" w14:paraId="75FBE265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4BDFF158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FEV1 predict (L)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693A959B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2.12±0.55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078A56F2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2.19±0.54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61362A26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0.530</w:t>
            </w:r>
          </w:p>
        </w:tc>
      </w:tr>
      <w:tr w:rsidR="0061406A" w:rsidRPr="00F10E52" w14:paraId="0797380D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5B2940CA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FEV1%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58A76836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66.93±22.16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2955CFDD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57.63±20.89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5C140882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0.021</w:t>
            </w:r>
          </w:p>
        </w:tc>
      </w:tr>
      <w:tr w:rsidR="0061406A" w:rsidRPr="00F10E52" w14:paraId="550556E2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4F4DEF83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FVC(L)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7BEA558B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1.82±0.58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67E0B758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1.77±0.78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32E6A2EE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0.706</w:t>
            </w:r>
          </w:p>
        </w:tc>
      </w:tr>
      <w:tr w:rsidR="0061406A" w:rsidRPr="00F10E52" w14:paraId="2A5EEE8E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48E2EE73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 xml:space="preserve">FVC predict (L) 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44E27D28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2.64±0.69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3FE83708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2.73±0.67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4A93FD08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0.440</w:t>
            </w:r>
          </w:p>
        </w:tc>
      </w:tr>
      <w:tr w:rsidR="0061406A" w:rsidRPr="00F10E52" w14:paraId="3436A3D0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16F27E7A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FVC%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6FEACD55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71.04±22.07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1DD42CDE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63.50±20.3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6FCA0535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0.056</w:t>
            </w:r>
          </w:p>
        </w:tc>
      </w:tr>
      <w:tr w:rsidR="0061406A" w:rsidRPr="00F10E52" w14:paraId="2D459146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F372939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FEV1/FVC (%)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72352E32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76.20±11.28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7D3A20BB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72.43±12.47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3A06ADC7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0.088</w:t>
            </w:r>
          </w:p>
        </w:tc>
      </w:tr>
      <w:tr w:rsidR="0061406A" w:rsidRPr="00F10E52" w14:paraId="44554424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0E2E612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Asthma (n, %)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7BA130DA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16 (22.54%)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71DC261C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23 (30.66%)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25AEF762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0.269</w:t>
            </w:r>
          </w:p>
        </w:tc>
      </w:tr>
      <w:tr w:rsidR="0061406A" w:rsidRPr="00F10E52" w14:paraId="52C44211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1623F53E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ABPA (n, %)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7C840F08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714198FE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</w:rPr>
              <w:t>2 (2.67%)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7C974879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0.159</w:t>
            </w:r>
          </w:p>
        </w:tc>
      </w:tr>
      <w:tr w:rsidR="0061406A" w:rsidRPr="00F10E52" w14:paraId="6FE5566F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4E27669C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Allergic rhinitis (n, %)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58983FBE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</w:rPr>
              <w:t>30 (42.25%)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63D24A64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</w:rPr>
              <w:t>41 (54.67%)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157CCD86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0.135</w:t>
            </w:r>
          </w:p>
        </w:tc>
      </w:tr>
      <w:tr w:rsidR="0061406A" w:rsidRPr="00F10E52" w14:paraId="19AD80E0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4C31C879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Nasal polyp (n, %)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2CE4B661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5D357AB5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67B158EE" w14:textId="77777777" w:rsidR="0061406A" w:rsidRPr="00F10E52" w:rsidRDefault="0061406A" w:rsidP="004C5AE1">
            <w:pPr>
              <w:ind w:left="246"/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-</w:t>
            </w:r>
          </w:p>
        </w:tc>
      </w:tr>
      <w:tr w:rsidR="0061406A" w:rsidRPr="00F10E52" w14:paraId="53F48595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3035BFC2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COPD (n, %)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190A39AA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</w:rPr>
              <w:t>14 (19.72%)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3852ED79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</w:rPr>
              <w:t>31 (41.33%)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606D1611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0.004</w:t>
            </w:r>
          </w:p>
        </w:tc>
      </w:tr>
      <w:tr w:rsidR="0061406A" w:rsidRPr="00F10E52" w14:paraId="41BC92CB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6B5852F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T2DM (n, %)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5CC35708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</w:rPr>
              <w:t>12 (16.9%)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4CEEAA84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</w:rPr>
              <w:t>12 (16%)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7B107745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0.884</w:t>
            </w:r>
          </w:p>
        </w:tc>
      </w:tr>
      <w:tr w:rsidR="0061406A" w:rsidRPr="00F10E52" w14:paraId="08DA61C0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7A5851FB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CAD (n, %)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294DFB07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</w:rPr>
              <w:t>14 (19.72%)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2FA4044D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</w:rPr>
              <w:t>14 (18.67%)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4245BFC3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0.873</w:t>
            </w:r>
          </w:p>
        </w:tc>
      </w:tr>
      <w:tr w:rsidR="0061406A" w:rsidRPr="00F10E52" w14:paraId="6E0929FA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3CE4C849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Chronic colonization (n, %)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2FE46193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</w:rPr>
              <w:t>70 (98.6%)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67802210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</w:rPr>
              <w:t>75 (100%)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39A79B9A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0.059</w:t>
            </w:r>
          </w:p>
        </w:tc>
      </w:tr>
      <w:tr w:rsidR="0061406A" w:rsidRPr="00F10E52" w14:paraId="5379F7D0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709C3D26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</w:rPr>
              <w:t>Pseudomonas colonization (n, %)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34E2D936" w14:textId="77777777" w:rsidR="0061406A" w:rsidRPr="00F10E52" w:rsidRDefault="0061406A" w:rsidP="004C5AE1">
            <w:pPr>
              <w:rPr>
                <w:rFonts w:ascii="Times New Roman" w:hAnsi="Times New Roman" w:cs="Times New Roman"/>
              </w:rPr>
            </w:pPr>
            <w:r w:rsidRPr="00F10E52">
              <w:rPr>
                <w:rFonts w:ascii="Times New Roman" w:hAnsi="Times New Roman" w:cs="Times New Roman"/>
              </w:rPr>
              <w:t>38 (53.52%)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7DB3B093" w14:textId="77777777" w:rsidR="0061406A" w:rsidRPr="00F10E52" w:rsidRDefault="0061406A" w:rsidP="004C5AE1">
            <w:pPr>
              <w:rPr>
                <w:rFonts w:ascii="Times New Roman" w:hAnsi="Times New Roman" w:cs="Times New Roman"/>
              </w:rPr>
            </w:pPr>
            <w:r w:rsidRPr="00F10E52">
              <w:rPr>
                <w:rFonts w:ascii="Times New Roman" w:hAnsi="Times New Roman" w:cs="Times New Roman"/>
              </w:rPr>
              <w:t>52 (69.33%)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7189EDF0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0.09</w:t>
            </w:r>
          </w:p>
        </w:tc>
      </w:tr>
      <w:tr w:rsidR="0061406A" w:rsidRPr="00F10E52" w14:paraId="14F9AFA4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0924C87F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i/>
                <w:iCs/>
                <w:szCs w:val="24"/>
              </w:rPr>
              <w:t>Pseudomonas aeruginosa</w:t>
            </w:r>
            <w:r w:rsidRPr="00F10E52">
              <w:rPr>
                <w:rFonts w:ascii="Times New Roman" w:hAnsi="Times New Roman" w:cs="Times New Roman"/>
                <w:szCs w:val="24"/>
              </w:rPr>
              <w:t xml:space="preserve"> (n, %)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632C731F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</w:rPr>
              <w:t>5 (7.04%)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3B4954F0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</w:rPr>
              <w:t>12 (16%)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074C4B84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0.026</w:t>
            </w:r>
          </w:p>
        </w:tc>
      </w:tr>
      <w:tr w:rsidR="0061406A" w:rsidRPr="00F10E52" w14:paraId="18B4B251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49D3F241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i/>
                <w:iCs/>
                <w:szCs w:val="24"/>
              </w:rPr>
              <w:t>H. influenzae</w:t>
            </w:r>
            <w:r w:rsidRPr="00F10E52">
              <w:rPr>
                <w:rFonts w:ascii="Times New Roman" w:hAnsi="Times New Roman" w:cs="Times New Roman"/>
                <w:szCs w:val="24"/>
              </w:rPr>
              <w:t xml:space="preserve"> (n, %)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630192FC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</w:rPr>
              <w:t>1 (1.41%)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4E70B28D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547E9F5E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0.321</w:t>
            </w:r>
          </w:p>
        </w:tc>
      </w:tr>
      <w:tr w:rsidR="0061406A" w:rsidRPr="00F10E52" w14:paraId="49751B12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72986BE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i/>
                <w:iCs/>
                <w:szCs w:val="24"/>
              </w:rPr>
              <w:t>Moraxella catarrhalis</w:t>
            </w:r>
            <w:r w:rsidRPr="00F10E52">
              <w:rPr>
                <w:rFonts w:ascii="Times New Roman" w:hAnsi="Times New Roman" w:cs="Times New Roman"/>
                <w:szCs w:val="24"/>
              </w:rPr>
              <w:t xml:space="preserve"> (n, %)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3F232581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426290B8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</w:rPr>
              <w:t>1 (%)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5A56A7ED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0.321</w:t>
            </w:r>
          </w:p>
        </w:tc>
      </w:tr>
      <w:tr w:rsidR="0061406A" w:rsidRPr="00F10E52" w14:paraId="4510BAA0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C9C5190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FACED score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03F1DADB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2.9±1.67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7065B95B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2.45±1.57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0984C1F0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0.136</w:t>
            </w:r>
          </w:p>
        </w:tc>
      </w:tr>
      <w:tr w:rsidR="0061406A" w:rsidRPr="00F10E52" w14:paraId="4A902BAB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DD46CEF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BSI score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4963DA60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8.08±3.59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16BD6EA4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9.31±4.38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7C4A5447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0.099</w:t>
            </w:r>
          </w:p>
        </w:tc>
      </w:tr>
      <w:tr w:rsidR="0061406A" w:rsidRPr="00F10E52" w14:paraId="0C150E7F" w14:textId="77777777" w:rsidTr="004C5AE1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17E80CF9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Inhaled corticosteroid used (n, %)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3C467BBB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</w:rPr>
              <w:t>38 (53.52%)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</w:tcPr>
          <w:p w14:paraId="77059583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</w:rPr>
              <w:t>52 (69.33%)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</w:tcPr>
          <w:p w14:paraId="2C45C7F7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0.051</w:t>
            </w:r>
          </w:p>
        </w:tc>
      </w:tr>
      <w:tr w:rsidR="0061406A" w:rsidRPr="00F10E52" w14:paraId="50F6C8BA" w14:textId="77777777" w:rsidTr="004C5AE1"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D9E7B8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WBC (cells/µL)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9B3F8F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6780.28±2134.65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E20FE3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10501.87±9111.08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88677C" w14:textId="77777777" w:rsidR="0061406A" w:rsidRPr="00F10E52" w:rsidRDefault="0061406A" w:rsidP="004C5AE1">
            <w:pPr>
              <w:rPr>
                <w:rFonts w:ascii="Times New Roman" w:hAnsi="Times New Roman" w:cs="Times New Roman"/>
                <w:szCs w:val="24"/>
              </w:rPr>
            </w:pPr>
            <w:r w:rsidRPr="00F10E52">
              <w:rPr>
                <w:rFonts w:ascii="Times New Roman" w:hAnsi="Times New Roman" w:cs="Times New Roman"/>
                <w:szCs w:val="24"/>
              </w:rPr>
              <w:t>0.001</w:t>
            </w:r>
          </w:p>
        </w:tc>
      </w:tr>
    </w:tbl>
    <w:p w14:paraId="267F68C1" w14:textId="77777777" w:rsidR="0061406A" w:rsidRPr="00F10E52" w:rsidRDefault="0061406A" w:rsidP="0061406A">
      <w:pPr>
        <w:jc w:val="thaiDistribute"/>
        <w:rPr>
          <w:rFonts w:ascii="Times New Roman" w:hAnsi="Times New Roman" w:cs="Times New Roman"/>
          <w:b/>
          <w:bCs/>
        </w:rPr>
      </w:pPr>
      <w:r w:rsidRPr="00F10E52">
        <w:rPr>
          <w:rFonts w:ascii="Times New Roman" w:hAnsi="Times New Roman" w:cs="Times New Roman"/>
          <w:szCs w:val="24"/>
        </w:rPr>
        <w:t>Definition of abbreviations: BMI: body mass index;</w:t>
      </w:r>
      <w:r w:rsidRPr="00F10E52">
        <w:rPr>
          <w:rFonts w:ascii="Times New Roman" w:hAnsi="Times New Roman" w:cs="Times New Roman"/>
        </w:rPr>
        <w:t xml:space="preserve"> ABPA: Allergic bronchopulmonary aspergillosis; </w:t>
      </w:r>
      <w:r w:rsidRPr="00F10E52">
        <w:rPr>
          <w:rFonts w:ascii="Times New Roman" w:hAnsi="Times New Roman" w:cs="Times New Roman"/>
          <w:szCs w:val="24"/>
        </w:rPr>
        <w:t>COPD=chronic obstructive pulmonary disease;</w:t>
      </w:r>
      <w:r w:rsidRPr="00F10E52">
        <w:rPr>
          <w:rFonts w:ascii="Times New Roman" w:hAnsi="Times New Roman" w:cs="Times New Roman"/>
        </w:rPr>
        <w:t xml:space="preserve"> T2DM: Type 2 Diabetes Mellitus; CAD: Coronary Artery Disease </w:t>
      </w:r>
      <w:r w:rsidRPr="00F10E52">
        <w:rPr>
          <w:rFonts w:ascii="Times New Roman" w:hAnsi="Times New Roman" w:cs="Times New Roman"/>
          <w:szCs w:val="24"/>
        </w:rPr>
        <w:t>BSI: bronchiectasis severity index; Data are shown as means ± SD (*</w:t>
      </w:r>
      <w:r w:rsidRPr="00F10E52">
        <w:rPr>
          <w:rFonts w:ascii="Times New Roman" w:hAnsi="Times New Roman" w:cs="Times New Roman"/>
          <w:i/>
          <w:iCs/>
          <w:szCs w:val="24"/>
        </w:rPr>
        <w:t>P</w:t>
      </w:r>
      <w:r w:rsidRPr="00F10E52">
        <w:rPr>
          <w:rFonts w:ascii="Times New Roman" w:hAnsi="Times New Roman" w:cs="Times New Roman"/>
          <w:szCs w:val="24"/>
        </w:rPr>
        <w:t>, 0.05) or unless otherwise stated. Differences in continuous variables were evaluated using ANOVA followed by Bonferroni’s test.</w:t>
      </w:r>
      <w:r w:rsidRPr="00F10E52">
        <w:rPr>
          <w:rFonts w:ascii="Times New Roman" w:hAnsi="Times New Roman" w:cs="Times New Roman"/>
          <w:b/>
          <w:bCs/>
        </w:rPr>
        <w:t xml:space="preserve"> </w:t>
      </w:r>
    </w:p>
    <w:p w14:paraId="51377FCF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06A"/>
    <w:rsid w:val="000C4033"/>
    <w:rsid w:val="00173968"/>
    <w:rsid w:val="004B42CB"/>
    <w:rsid w:val="005F2B46"/>
    <w:rsid w:val="0061406A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75DEC"/>
  <w15:chartTrackingRefBased/>
  <w15:docId w15:val="{C7A3E120-A541-4138-9191-E600756A3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406A"/>
    <w:rPr>
      <w:rFonts w:eastAsiaTheme="minorEastAsia"/>
      <w:szCs w:val="30"/>
      <w:lang w:val="en-US" w:eastAsia="zh-TW" w:bidi="th-TH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40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40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40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40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Cs w:val="24"/>
      <w:lang w:val="en-IN" w:eastAsia="en-US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40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Cs w:val="24"/>
      <w:lang w:val="en-IN" w:eastAsia="en-US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40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Cs w:val="24"/>
      <w:lang w:val="en-IN" w:eastAsia="en-US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40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Cs w:val="24"/>
      <w:lang w:val="en-IN" w:eastAsia="en-US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40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Cs w:val="24"/>
      <w:lang w:val="en-IN" w:eastAsia="en-US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40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Cs w:val="24"/>
      <w:lang w:val="en-IN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40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40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40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40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40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40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40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40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40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40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6140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40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6140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406A"/>
    <w:pPr>
      <w:spacing w:before="160"/>
      <w:jc w:val="center"/>
    </w:pPr>
    <w:rPr>
      <w:rFonts w:eastAsiaTheme="minorHAnsi"/>
      <w:i/>
      <w:iCs/>
      <w:color w:val="404040" w:themeColor="text1" w:themeTint="BF"/>
      <w:szCs w:val="24"/>
      <w:lang w:val="en-IN" w:eastAsia="en-US" w:bidi="ar-SA"/>
    </w:rPr>
  </w:style>
  <w:style w:type="character" w:customStyle="1" w:styleId="QuoteChar">
    <w:name w:val="Quote Char"/>
    <w:basedOn w:val="DefaultParagraphFont"/>
    <w:link w:val="Quote"/>
    <w:uiPriority w:val="29"/>
    <w:rsid w:val="006140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406A"/>
    <w:pPr>
      <w:ind w:left="720"/>
      <w:contextualSpacing/>
    </w:pPr>
    <w:rPr>
      <w:rFonts w:eastAsiaTheme="minorHAnsi"/>
      <w:szCs w:val="24"/>
      <w:lang w:val="en-IN" w:eastAsia="en-US" w:bidi="ar-SA"/>
    </w:rPr>
  </w:style>
  <w:style w:type="character" w:styleId="IntenseEmphasis">
    <w:name w:val="Intense Emphasis"/>
    <w:basedOn w:val="DefaultParagraphFont"/>
    <w:uiPriority w:val="21"/>
    <w:qFormat/>
    <w:rsid w:val="006140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40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Cs w:val="24"/>
      <w:lang w:val="en-IN" w:eastAsia="en-US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40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406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1406A"/>
    <w:pPr>
      <w:spacing w:after="0" w:line="240" w:lineRule="auto"/>
    </w:pPr>
    <w:rPr>
      <w:rFonts w:eastAsiaTheme="minorEastAsia"/>
      <w:szCs w:val="30"/>
      <w:lang w:val="en-US" w:eastAsia="zh-TW" w:bidi="th-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265</Words>
  <Characters>1517</Characters>
  <Application>Microsoft Office Word</Application>
  <DocSecurity>0</DocSecurity>
  <Lines>132</Lines>
  <Paragraphs>127</Paragraphs>
  <ScaleCrop>false</ScaleCrop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2026-03-16T23:43:00Z</dcterms:created>
  <dcterms:modified xsi:type="dcterms:W3CDTF">2026-03-16T23:48:00Z</dcterms:modified>
</cp:coreProperties>
</file>