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562C">
      <w:pPr>
        <w:spacing w:line="360" w:lineRule="auto"/>
        <w:jc w:val="center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Table A1. Subgroup analysis of the association between hypothyroidism and incident depressive symptoms (n=1311)</w:t>
      </w:r>
    </w:p>
    <w:tbl>
      <w:tblPr>
        <w:tblStyle w:val="2"/>
        <w:tblW w:w="449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253"/>
        <w:gridCol w:w="919"/>
        <w:gridCol w:w="1424"/>
      </w:tblGrid>
      <w:tr w14:paraId="5366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63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E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Variables</w:t>
            </w:r>
          </w:p>
        </w:tc>
        <w:tc>
          <w:tcPr>
            <w:tcW w:w="325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4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 (95%CI)</w:t>
            </w:r>
          </w:p>
        </w:tc>
        <w:tc>
          <w:tcPr>
            <w:tcW w:w="919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07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  <w:tc>
          <w:tcPr>
            <w:tcW w:w="1424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3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color w:val="000000"/>
                <w:sz w:val="18"/>
                <w:szCs w:val="18"/>
                <w:u w:val="none"/>
              </w:rPr>
              <w:t>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for interaction</w:t>
            </w:r>
          </w:p>
        </w:tc>
      </w:tr>
      <w:tr w14:paraId="6C4F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6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82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1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 (95%CI)</w:t>
            </w:r>
          </w:p>
        </w:tc>
        <w:tc>
          <w:tcPr>
            <w:tcW w:w="919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CF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  <w:tc>
          <w:tcPr>
            <w:tcW w:w="1424" w:type="dxa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5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 for interaction</w:t>
            </w:r>
          </w:p>
        </w:tc>
      </w:tr>
      <w:tr w14:paraId="5C60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D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Gender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7A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0B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4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043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BB0A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Male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31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1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9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</w:tr>
      <w:tr w14:paraId="7DC2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11B9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Female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FB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1.96 (1.14 ~ 3.38)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E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0.015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1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45C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9F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Age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5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0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B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4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888AF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18~29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9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2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0.995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0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0.222</w:t>
            </w:r>
          </w:p>
        </w:tc>
      </w:tr>
      <w:tr w14:paraId="0C35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0912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30~34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5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1.31 (0.47 ~ 3.64)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B5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0.602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8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5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60637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35~44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D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2.08 (0.98 ~ 4.43)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3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0.057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F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E1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D1750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≥45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F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5.21 (1.19 ~ 22.81)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B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0.028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1A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4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38CAE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Night shift work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8A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3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05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FC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F6EFD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66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1.38 (0.46 ~ 4.16)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1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0.569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17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0.451</w:t>
            </w:r>
          </w:p>
        </w:tc>
      </w:tr>
      <w:tr w14:paraId="0818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C2AE3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5E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2.25 (1.20 ~ 4.22)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7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F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E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4D3A6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moking status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1335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4C81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0954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2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12E98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9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1.97 (1.15 ~ 3.40)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B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0.014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6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</w:tr>
      <w:tr w14:paraId="7886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010FC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7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9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5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F0AC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3624A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lcohol use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7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F9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3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F9E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F9B51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No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8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2.43 (1.28 ~ 4.63)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1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0.007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E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0.261</w:t>
            </w:r>
          </w:p>
        </w:tc>
      </w:tr>
      <w:tr w14:paraId="6644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6C424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Yes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C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1.19 (0.41 ~ 3.46)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B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0.753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6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DB79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6318B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Exercise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frequency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06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8B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77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F8B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253EF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None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E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5.86 (1.96 ~ 17.50)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3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0.002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C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0.055</w:t>
            </w:r>
          </w:p>
        </w:tc>
      </w:tr>
      <w:tr w14:paraId="1B0D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33D8E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≤1 time/week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5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1.23 (0.58 ~ 2.60)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3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0.591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E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4C7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6230D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2 times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/week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1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1.51 (0.36 ~ 6.26)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D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0.570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A8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7C4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287CCC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Sleep duration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1F5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32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4F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81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42F76E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≤5h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378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1F3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0.997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C61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0.434</w:t>
            </w:r>
          </w:p>
        </w:tc>
      </w:tr>
      <w:tr w14:paraId="3409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71EB54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6h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E6D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2.36 (1.00 ~ 5.58)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9CF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0.049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31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DEE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18D9C2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7h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C2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1.36 (0.59 ~ 3.12)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95E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0.469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5D6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D65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C0C523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8h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9AD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6.81 (1.44 ~ 32.19)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B97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0.015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4F0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AC3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DC03C9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9h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19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F2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53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885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64F06C5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≥10h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2813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 (0.00 ~ Inf)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22A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1.000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87777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7749503">
      <w:pP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br w:type="page"/>
      </w:r>
    </w:p>
    <w:p w14:paraId="14DCEBF1">
      <w:pPr>
        <w:spacing w:line="360" w:lineRule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Table A2. Subgroup analysis of the associations between endocrine/metabolic diseases and incident anxiety symptoms(n=1894)</w:t>
      </w:r>
    </w:p>
    <w:tbl>
      <w:tblPr>
        <w:tblStyle w:val="2"/>
        <w:tblW w:w="67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45"/>
        <w:gridCol w:w="730"/>
        <w:gridCol w:w="877"/>
        <w:gridCol w:w="1710"/>
        <w:gridCol w:w="731"/>
        <w:gridCol w:w="863"/>
        <w:gridCol w:w="1503"/>
        <w:gridCol w:w="828"/>
        <w:gridCol w:w="926"/>
      </w:tblGrid>
      <w:tr w14:paraId="7F83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tblHeader/>
          <w:jc w:val="center"/>
        </w:trPr>
        <w:tc>
          <w:tcPr>
            <w:tcW w:w="1565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9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Variables</w:t>
            </w:r>
          </w:p>
        </w:tc>
        <w:tc>
          <w:tcPr>
            <w:tcW w:w="3152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EA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Exposure 1: h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ypothyroidism</w:t>
            </w:r>
          </w:p>
        </w:tc>
        <w:tc>
          <w:tcPr>
            <w:tcW w:w="3304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8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Exposure 2: 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astric/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uodenal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lcer</w:t>
            </w:r>
          </w:p>
        </w:tc>
        <w:tc>
          <w:tcPr>
            <w:tcW w:w="3257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3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Exposure 3: polycystic ovary syndrome</w:t>
            </w:r>
          </w:p>
        </w:tc>
      </w:tr>
      <w:tr w14:paraId="7AD6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156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48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B2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 (95%CI)</w:t>
            </w: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D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4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color w:val="000000"/>
                <w:sz w:val="18"/>
                <w:szCs w:val="18"/>
                <w:u w:val="none"/>
              </w:rPr>
              <w:t>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for interaction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8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 (95%CI)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CB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2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color w:val="000000"/>
                <w:sz w:val="18"/>
                <w:szCs w:val="18"/>
                <w:u w:val="none"/>
              </w:rPr>
              <w:t>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for interaction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2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 (95%CI)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2C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B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color w:val="000000"/>
                <w:sz w:val="18"/>
                <w:szCs w:val="18"/>
                <w:u w:val="none"/>
              </w:rPr>
              <w:t>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for interaction</w:t>
            </w:r>
          </w:p>
        </w:tc>
      </w:tr>
      <w:tr w14:paraId="5F2E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E3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Gender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2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B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EA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F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9F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0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3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1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E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348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B7B7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Male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7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8D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5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6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0.76(0.08~7.01)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3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0.809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2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4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B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0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0.470</w:t>
            </w:r>
          </w:p>
        </w:tc>
      </w:tr>
      <w:tr w14:paraId="7128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692B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Female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09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1.63(1.02~2.62)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E3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0.042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D0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7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1.90(1.21~3.01)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D4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0.006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C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C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2.11(1.39~3.21)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2E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.001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B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E67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7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Age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5A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B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E9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9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36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7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7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DC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5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8A3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D189D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18~29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94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0.00(0.00~Inf)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9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0.985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D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E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0.00(0.00~Inf)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0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0.986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9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45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1.63(0.57~4.69)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8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0.362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3E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0.837</w:t>
            </w:r>
          </w:p>
        </w:tc>
      </w:tr>
      <w:tr w14:paraId="155A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E2518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30~34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5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1.69(0.69~4.12)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F0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0.247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BB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D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2.50(1.13~5.53)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8F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0.024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0B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F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1.88(0.90~3.91)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4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0.091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7C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D10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47970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35~44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7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1.52(0.80~2.88)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DE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0.197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9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6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2.18(1.12~4.26)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6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0.022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7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3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2.33(1.28~4.26)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4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0.006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9A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852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9BF57">
            <w:pPr>
              <w:spacing w:line="240" w:lineRule="auto"/>
              <w:ind w:firstLine="180" w:firstLineChars="100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≥45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4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2.50(0.73~8.61)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0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0.146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E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1F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1.44(0.50~4.15)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6E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0.496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F0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66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5.37(0.33~87.91)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9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0.238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6A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837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775E8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Night shift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A4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3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4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39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8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1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9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8A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F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A4D9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35A7C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9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2.19(0.82~5.80)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A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0.116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4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0C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0.87(0.25~3.03)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8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0.827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9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CC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2.89(1.05~7.95)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0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0.039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7E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0.479</w:t>
            </w:r>
          </w:p>
        </w:tc>
      </w:tr>
      <w:tr w14:paraId="07E5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A3BAB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E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1.51(0.88~2.59)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E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0.134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6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76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2.12(1.30~3.45)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F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0.002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F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D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1.94(1.23~3.06)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7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0.005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1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5E6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39651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moking status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CC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4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E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0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8C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2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2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B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2C8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9FD9B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23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1.62(1.01~2.60)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E0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0.044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A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8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1.91(1.22~2.99)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F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0.005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C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0.966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6D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2.10(1.38~3.18)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DE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.001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1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0.738</w:t>
            </w:r>
          </w:p>
        </w:tc>
      </w:tr>
      <w:tr w14:paraId="1D61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FA3F4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5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A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7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4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0.00(0.00~Inf)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55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0.996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1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7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6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45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8BA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15F47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lcohol use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14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80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8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1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B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D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F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A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2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4B2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4BFD3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No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9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1.54(0.88~2.67)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76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0.130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1B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9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1.93(1.14~3.28)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21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0.015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8C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5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2.07(1.30~3.31)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CF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0.002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7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0.989</w:t>
            </w:r>
          </w:p>
        </w:tc>
      </w:tr>
      <w:tr w14:paraId="377C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312CC">
            <w:pPr>
              <w:spacing w:line="240" w:lineRule="auto"/>
              <w:ind w:firstLine="180" w:firstLineChars="100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Yes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4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1.86(0.76~4.56)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6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0.175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55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1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1.61(0.70~3.69)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5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0.260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4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3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2.09(0.84~5.18)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E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0.113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22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D6C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D7AC4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Exercise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frequency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3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5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20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EF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16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4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B2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A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F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EDA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29B93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None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8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3.64(1.75~7.58)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C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.001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B6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5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2.06(1.01~4.21)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9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0.048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A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6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1.31(0.70~2.45)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A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0.406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7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0.133</w:t>
            </w:r>
          </w:p>
        </w:tc>
      </w:tr>
      <w:tr w14:paraId="5F10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7C26F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≤1 time/week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CB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0.72(0.32~1.62)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1A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0.422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EA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73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1.73(0.87~3.44)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7C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0.118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7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0E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3.10(1.67~5.76)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C1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&lt;.001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9D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CA8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2C524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2 times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/week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9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2.20(0.67~7.27)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0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0.196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5C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5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1.78(0.62~5.12)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2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0.284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A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0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3.01(0.72~12.55)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A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0.130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C2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2170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DFD544">
            <w:pPr>
              <w:spacing w:line="240" w:lineRule="auto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Sleep duration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6F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DA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C1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2D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12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31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66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22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015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063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7219DD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≤5h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486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0.62(0.07~5.53)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ACA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0.669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EB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EDB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1.93(0.52~7.13)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28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0.321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902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0.836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CF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1.65(0.39~7.04)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44D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0.500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E76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0.208</w:t>
            </w:r>
          </w:p>
        </w:tc>
      </w:tr>
      <w:tr w14:paraId="7DBE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F0D71E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6h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22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1.59(0.80~3.19)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76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0.187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C1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88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1.53(0.84~2.80)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F20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0.168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DA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8FF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3.14(1.71~5.75)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198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.001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C1E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A7F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23D321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7h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C2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1.28(0.58~2.86)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F6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0.542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C7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9B6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2.26(0.96~5.32)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34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0.062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2C2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78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1.88(0.91~3.85)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63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0.087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6C4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58B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763FE1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8h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A3A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6.40(1.60~25.63)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E0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0.009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57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39A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1.41(0.16~12.55)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D44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0.759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039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29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0.52(0.06~4.12)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BE9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0.533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5B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2A2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A21E7D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9h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745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7C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B06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37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0.00(0.00~Inf)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7A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0.996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2B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19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0.00(0.00~Inf)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9E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0.996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F77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FA4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CDD159F">
            <w:pPr>
              <w:spacing w:line="240" w:lineRule="auto"/>
              <w:ind w:firstLine="180" w:firstLineChars="100"/>
              <w:rPr>
                <w:rFonts w:hint="eastAsia" w:ascii="Times New Roman Regular" w:hAnsi="Times New Roman Regular" w:eastAsia="宋体" w:cs="Times New Roman Regular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≥10h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534E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C03E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E83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58D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A339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5856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9C6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D21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F0D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240F8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767B"/>
    <w:rsid w:val="1A1F767B"/>
    <w:rsid w:val="64D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2026-02-09T08:18:00Z</dcterms:created>
  <dc:creator>hzj</dc:creator>
  <cp:lastModifiedBy>hzj</cp:lastModifiedBy>
  <dcterms:modified xsi:type="dcterms:W3CDTF">2026-02-09T08:19:52Z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59CA9AD0E44D40F3BF3DEA7CAE334DC4_11</vt:lpwstr>
  </property>
  <property fmtid="{D5CDD505-2E9C-101B-9397-08002B2CF9AE}" pid="4" name="KSOTemplateDocerSaveRecord">
    <vt:lpwstr>eyJoZGlkIjoiZTQyYzc1ZTJhZTYyMzdjZDY0MGZjNjdkNGJiMGE2N2MiLCJ1c2VySWQiOiIxMTU4MTM0NjMwIn0=</vt:lpwstr>
  </property>
</Properties>
</file>