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5"/>
        <w:gridCol w:w="3183"/>
        <w:gridCol w:w="4232"/>
      </w:tblGrid>
      <w:tr w:rsidR="004334F5" w:rsidRPr="004334F5" w:rsidTr="0034335C">
        <w:tc>
          <w:tcPr>
            <w:tcW w:w="0" w:type="auto"/>
            <w:hideMark/>
          </w:tcPr>
          <w:p w:rsidR="004334F5" w:rsidRDefault="004334F5" w:rsidP="004334F5">
            <w:pPr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:rsidR="004334F5" w:rsidRDefault="004334F5" w:rsidP="004334F5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Requirement</w:t>
            </w:r>
          </w:p>
        </w:tc>
        <w:tc>
          <w:tcPr>
            <w:tcW w:w="0" w:type="auto"/>
            <w:hideMark/>
          </w:tcPr>
          <w:p w:rsidR="004334F5" w:rsidRDefault="00DF6459" w:rsidP="00DF6459">
            <w:pPr>
              <w:rPr>
                <w:b/>
                <w:bCs/>
              </w:rPr>
            </w:pPr>
            <w:r>
              <w:rPr>
                <w:rStyle w:val="Strong"/>
              </w:rPr>
              <w:t xml:space="preserve">                           </w:t>
            </w:r>
            <w:bookmarkStart w:id="0" w:name="_GoBack"/>
            <w:bookmarkEnd w:id="0"/>
            <w:r w:rsidR="004334F5">
              <w:rPr>
                <w:rStyle w:val="Strong"/>
              </w:rPr>
              <w:t xml:space="preserve"> Manuscript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t>Title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Clearly identifies innovation, surgical approach, and case nature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Title specifies hybrid trans-oral–trans-buccal robotic technique and salvage setting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t>Abstract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Summarizes background, technical innovation, case, and outcome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Structured abstract describing exposure limitation, hybrid solution, and postoperative success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t>Keywords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Include technique, pathology, and innovation descriptors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Keywords include robotic surgery, trans-buccal corridor, trismus, salvage oncology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t>Background / Introduction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Describes clinical problem, current standards, and limitations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Introduction explains dependence of robotic surgery on exposure and challenges in irradiated patients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t>Rationale for Innovation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Explains why new technique was necessary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Rationale section details impossibility of conventional docking and risks of mandibulotomy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t>Patient Information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Demographics, prior disease, and treatments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History of tongue carcinoma, radiation, recurrence, and disease-free interval documented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t>Clinical Findings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Symptoms and examination limitations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Absolute trismus and facial pain described with quantified mouth opening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t>Diagnostic Assessment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Imaging, pathology, and staging information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PET-CT findings and biopsy confirming second primary SCC reported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t>Decision-Making Process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Multidisciplinary planning and operative intent</w:t>
            </w:r>
          </w:p>
        </w:tc>
        <w:tc>
          <w:tcPr>
            <w:tcW w:w="0" w:type="auto"/>
            <w:hideMark/>
          </w:tcPr>
          <w:p w:rsidR="004334F5" w:rsidRDefault="0034335C" w:rsidP="004334F5">
            <w:r>
              <w:t>Tumor</w:t>
            </w:r>
            <w:r w:rsidR="004334F5">
              <w:t xml:space="preserve"> board discussion and salvage intent documented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t>Surgical Planning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Planned procedure and reconstructive considerations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Planned robotic tonsillectomy with adjunct procedures described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t>Description of Technique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Detailed explanation of innovation and access modification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Hybrid approach with trans-oral camera and trans-buccal robotic arm clearly described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t>Equipment / Platform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Robotic system or instruments specified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Robotic system from Intuitive Surgical mentioned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t>Intra-operative Details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Positioning, triangulation, ergonomics, safety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Operative angulation, working corridor, and fibrotic field handling explained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t>Safety Considerations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Steps taken to avoid complications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Discussion notes incision planning, visualization strategy, and team coordination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t>Postoperative Outcomes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Recovery, complications, histology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Early extubation, oral intake, discharge timing, and margin-negative pathology reported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t>Follow-up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Functional and oncologic results over time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Three-month disease-free follow-up with preserved speech and swallowing documented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t>Discussion of Novelty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Comparison with existing techniques and literature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Discussion highlights rarity of robotic trans-buccal access in absolute trismus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t>Strengths &amp; Limitations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Advantages, risks, learning curve, reproducibility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Separate section addressing applicability and need for expertise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lastRenderedPageBreak/>
              <w:t>Clinical Implications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Impact on future surgical practice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Implications section discusses expanded candidacy for minimally invasive salvage surgery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t>Conclusion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Summarizes innovation and clinical relevance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Conclusion emphasizes restoration of exposure without mandibulotomy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t>Ethical Compliance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Consent and confidentiality statements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Written informed consent included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t>Conflict of Interest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Disclosure statement present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Included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t>Funding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Financial disclosure included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Included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t>Author Contributions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Roles transparently stated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Included</w:t>
            </w:r>
          </w:p>
        </w:tc>
      </w:tr>
      <w:tr w:rsidR="004334F5" w:rsidRPr="004334F5" w:rsidTr="0034335C">
        <w:tc>
          <w:tcPr>
            <w:tcW w:w="0" w:type="auto"/>
            <w:hideMark/>
          </w:tcPr>
          <w:p w:rsidR="004334F5" w:rsidRPr="004334F5" w:rsidRDefault="004334F5" w:rsidP="004334F5">
            <w:pPr>
              <w:rPr>
                <w:b/>
              </w:rPr>
            </w:pPr>
            <w:r w:rsidRPr="004334F5">
              <w:rPr>
                <w:b/>
              </w:rPr>
              <w:t>Data Availability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Access to data clarified</w:t>
            </w:r>
          </w:p>
        </w:tc>
        <w:tc>
          <w:tcPr>
            <w:tcW w:w="0" w:type="auto"/>
            <w:hideMark/>
          </w:tcPr>
          <w:p w:rsidR="004334F5" w:rsidRDefault="004334F5" w:rsidP="004334F5">
            <w:r>
              <w:t>Included</w:t>
            </w:r>
          </w:p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  <w:tr w:rsidR="004334F5" w:rsidRPr="004334F5" w:rsidTr="0034335C"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  <w:tc>
          <w:tcPr>
            <w:tcW w:w="0" w:type="auto"/>
          </w:tcPr>
          <w:p w:rsidR="004334F5" w:rsidRPr="004334F5" w:rsidRDefault="004334F5" w:rsidP="004334F5"/>
        </w:tc>
      </w:tr>
    </w:tbl>
    <w:p w:rsidR="00FB6883" w:rsidRDefault="00FB6883"/>
    <w:sectPr w:rsidR="00FB6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FE"/>
    <w:rsid w:val="000A6A91"/>
    <w:rsid w:val="00165C72"/>
    <w:rsid w:val="0034335C"/>
    <w:rsid w:val="004334F5"/>
    <w:rsid w:val="007A7FFE"/>
    <w:rsid w:val="00DF6459"/>
    <w:rsid w:val="00F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E47D2"/>
  <w15:chartTrackingRefBased/>
  <w15:docId w15:val="{FACA9008-ED94-439B-A8EF-C5A229A5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34F5"/>
    <w:rPr>
      <w:b/>
      <w:bCs/>
    </w:rPr>
  </w:style>
  <w:style w:type="table" w:styleId="PlainTable2">
    <w:name w:val="Plain Table 2"/>
    <w:basedOn w:val="TableNormal"/>
    <w:uiPriority w:val="42"/>
    <w:rsid w:val="00165C7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16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A6A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A6A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2026-03-01T12:24:00Z</dcterms:created>
  <dcterms:modified xsi:type="dcterms:W3CDTF">2026-03-01T12:39:00Z</dcterms:modified>
</cp:coreProperties>
</file>