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DBD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  <w:sz w:val="32"/>
          <w:szCs w:val="32"/>
        </w:rPr>
      </w:pPr>
      <w:r w:rsidRPr="0038361B">
        <w:rPr>
          <w:rFonts w:asciiTheme="majorBidi" w:hAnsiTheme="majorBidi" w:cstheme="majorBidi"/>
          <w:b/>
          <w:bCs/>
          <w:color w:val="1A1A1A"/>
          <w:sz w:val="32"/>
          <w:szCs w:val="32"/>
        </w:rPr>
        <w:t>CANCER INCIDENCE FORECASTING</w:t>
      </w:r>
    </w:p>
    <w:p w14:paraId="51CC7ACE" w14:textId="5E003B35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  <w:sz w:val="28"/>
          <w:szCs w:val="28"/>
        </w:rPr>
      </w:pPr>
      <w:r w:rsidRPr="0038361B">
        <w:rPr>
          <w:rFonts w:asciiTheme="majorBidi" w:hAnsiTheme="majorBidi" w:cstheme="majorBidi"/>
          <w:color w:val="1A1A1A"/>
          <w:sz w:val="28"/>
          <w:szCs w:val="28"/>
        </w:rPr>
        <w:t xml:space="preserve">Comprehensive Analysis </w:t>
      </w:r>
      <w:r w:rsidRPr="0038361B">
        <w:rPr>
          <w:rFonts w:asciiTheme="majorBidi" w:hAnsiTheme="majorBidi" w:cstheme="majorBidi"/>
          <w:color w:val="1A1A1A"/>
          <w:sz w:val="28"/>
          <w:szCs w:val="28"/>
        </w:rPr>
        <w:t>Cheat Sheet</w:t>
      </w:r>
      <w:r w:rsidRPr="0038361B">
        <w:rPr>
          <w:rFonts w:asciiTheme="majorBidi" w:hAnsiTheme="majorBidi" w:cstheme="majorBidi"/>
          <w:color w:val="1A1A1A"/>
          <w:sz w:val="28"/>
          <w:szCs w:val="28"/>
        </w:rPr>
        <w:t xml:space="preserve">  </w:t>
      </w:r>
    </w:p>
    <w:p w14:paraId="2EDF0A89" w14:textId="76D24C00" w:rsidR="0038361B" w:rsidRPr="0038361B" w:rsidRDefault="0038361B" w:rsidP="0038361B">
      <w:pPr>
        <w:pStyle w:val="ListParagraph"/>
        <w:numPr>
          <w:ilvl w:val="0"/>
          <w:numId w:val="11"/>
        </w:num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DATA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PREPARATION &amp; PREPROCESSING</w:t>
      </w:r>
    </w:p>
    <w:p w14:paraId="3DA3F91E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A1 Registry &amp; Source Documentation</w:t>
      </w:r>
    </w:p>
    <w:p w14:paraId="5698DB73" w14:textId="5F375287" w:rsidR="0038361B" w:rsidRPr="0038361B" w:rsidRDefault="0038361B" w:rsidP="0038361B">
      <w:pPr>
        <w:numPr>
          <w:ilvl w:val="0"/>
          <w:numId w:val="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Record registry name, version, extraction date, and submission cutoff.</w:t>
      </w:r>
    </w:p>
    <w:p w14:paraId="4127A5AA" w14:textId="289A04F6" w:rsidR="0038361B" w:rsidRPr="0038361B" w:rsidRDefault="0038361B" w:rsidP="0038361B">
      <w:pPr>
        <w:numPr>
          <w:ilvl w:val="0"/>
          <w:numId w:val="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State ICD-O-3 site and histology codes used for case identification.</w:t>
      </w:r>
    </w:p>
    <w:p w14:paraId="290B5143" w14:textId="6F51E05F" w:rsidR="0038361B" w:rsidRPr="0038361B" w:rsidRDefault="0038361B" w:rsidP="0038361B">
      <w:pPr>
        <w:numPr>
          <w:ilvl w:val="0"/>
          <w:numId w:val="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Define inclusion/exclusion criteria (malignancy behavior, age, follow-up).</w:t>
      </w:r>
    </w:p>
    <w:p w14:paraId="32393D66" w14:textId="76E33E24" w:rsidR="0038361B" w:rsidRPr="0038361B" w:rsidRDefault="0038361B" w:rsidP="0038361B">
      <w:pPr>
        <w:numPr>
          <w:ilvl w:val="0"/>
          <w:numId w:val="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Log software version (e.g. SEER*Stat v9.x) and registry coverage (% US population).</w:t>
      </w:r>
    </w:p>
    <w:p w14:paraId="58F54586" w14:textId="094F6DD8" w:rsidR="0038361B" w:rsidRPr="0038361B" w:rsidRDefault="0038361B" w:rsidP="0038361B">
      <w:pPr>
        <w:numPr>
          <w:ilvl w:val="0"/>
          <w:numId w:val="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Archive a reproducible data ingestion script.</w:t>
      </w:r>
    </w:p>
    <w:p w14:paraId="54790CDB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A2 Rate Calculation &amp; Age-Adjustment</w:t>
      </w:r>
    </w:p>
    <w:p w14:paraId="42EF0BF8" w14:textId="75BD860D" w:rsidR="0038361B" w:rsidRPr="0038361B" w:rsidRDefault="0038361B" w:rsidP="0038361B">
      <w:pPr>
        <w:pStyle w:val="ListParagraph"/>
        <w:numPr>
          <w:ilvl w:val="0"/>
          <w:numId w:val="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Confirm age-standardization method and reference population; express rates per 100,000.</w:t>
      </w:r>
    </w:p>
    <w:p w14:paraId="67AAFDD6" w14:textId="2F6701B1" w:rsidR="0038361B" w:rsidRPr="0038361B" w:rsidRDefault="0038361B" w:rsidP="0038361B">
      <w:pPr>
        <w:pStyle w:val="ListParagraph"/>
        <w:numPr>
          <w:ilvl w:val="0"/>
          <w:numId w:val="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Check denominator changes over time (population updates, registry expansion).</w:t>
      </w:r>
    </w:p>
    <w:p w14:paraId="25D8E54B" w14:textId="6DA0A7D0" w:rsidR="0038361B" w:rsidRPr="0038361B" w:rsidRDefault="0038361B" w:rsidP="0038361B">
      <w:pPr>
        <w:pStyle w:val="ListParagraph"/>
        <w:numPr>
          <w:ilvl w:val="0"/>
          <w:numId w:val="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Verify coding consistency across years (ICD revisions, registry rule changes).</w:t>
      </w:r>
    </w:p>
    <w:p w14:paraId="0CE12CF7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A3 Temporal &amp; Aggregation Decisions</w:t>
      </w:r>
    </w:p>
    <w:p w14:paraId="3586B47B" w14:textId="3955533A" w:rsidR="0038361B" w:rsidRPr="0038361B" w:rsidRDefault="0038361B" w:rsidP="0038361B">
      <w:pPr>
        <w:pStyle w:val="ListParagraph"/>
        <w:numPr>
          <w:ilvl w:val="0"/>
          <w:numId w:val="9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State aggregation frequency (annual / quarterly / monthly) with rationale.</w:t>
      </w:r>
    </w:p>
    <w:p w14:paraId="0BC6A7BB" w14:textId="1495DFE1" w:rsidR="0038361B" w:rsidRPr="0038361B" w:rsidRDefault="0038361B" w:rsidP="0038361B">
      <w:pPr>
        <w:pStyle w:val="ListParagraph"/>
        <w:numPr>
          <w:ilvl w:val="0"/>
          <w:numId w:val="9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Confirm study period start/end dates and flag any years with registry irregularities.</w:t>
      </w:r>
    </w:p>
    <w:p w14:paraId="5F1D6AA0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A4 Transformation</w:t>
      </w:r>
    </w:p>
    <w:p w14:paraId="06907716" w14:textId="30C96056" w:rsidR="0038361B" w:rsidRP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Apply variance-stabilizing transformation if needed.</w:t>
      </w:r>
    </w:p>
    <w:p w14:paraId="6F353D3D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 xml:space="preserve"> Log-transform recommended for declining rates with heteroscedasticity. Record inverse formula and bias correction: E[Y] = exp (μ + 0.5σ²).</w:t>
      </w:r>
    </w:p>
    <w:p w14:paraId="687B3A7A" w14:textId="25C5A1F1" w:rsidR="0038361B" w:rsidRP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Bayesian/simulation models: back-transform by exponentiating posterior draws, not exp (log-scale mean).</w:t>
      </w:r>
    </w:p>
    <w:p w14:paraId="5A7F5B1F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A5 Missing Data &amp; Sparsity</w:t>
      </w:r>
    </w:p>
    <w:p w14:paraId="62D79751" w14:textId="6EDFFA46" w:rsid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Assess sparsity and suppressed cells, document imputation or exclusion rules.</w:t>
      </w:r>
    </w:p>
    <w:p w14:paraId="56BBC9B7" w14:textId="77777777" w:rsidR="00717577" w:rsidRPr="0038361B" w:rsidRDefault="00717577" w:rsidP="00717577">
      <w:pPr>
        <w:pStyle w:val="ListParagraph"/>
        <w:spacing w:before="40" w:after="20" w:line="240" w:lineRule="auto"/>
        <w:ind w:left="540"/>
        <w:rPr>
          <w:rFonts w:asciiTheme="majorBidi" w:hAnsiTheme="majorBidi" w:cstheme="majorBidi"/>
          <w:color w:val="1A1A1A"/>
        </w:rPr>
      </w:pPr>
    </w:p>
    <w:p w14:paraId="03D4DD37" w14:textId="69D6551C" w:rsidR="0038361B" w:rsidRPr="0038361B" w:rsidRDefault="0038361B" w:rsidP="0038361B">
      <w:pPr>
        <w:pStyle w:val="ListParagraph"/>
        <w:numPr>
          <w:ilvl w:val="0"/>
          <w:numId w:val="11"/>
        </w:num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 xml:space="preserve"> EXPLORATORY &amp; DIAGNOSTIC ANALYSIS</w:t>
      </w:r>
    </w:p>
    <w:p w14:paraId="183731D8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B1 Trend &amp; Stationarity</w:t>
      </w:r>
    </w:p>
    <w:p w14:paraId="187FDB0D" w14:textId="10D88133" w:rsidR="0038361B" w:rsidRP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Visualize raw and log-transformed series with trend overlay.</w:t>
      </w:r>
    </w:p>
    <w:p w14:paraId="7C03424F" w14:textId="4525EB45" w:rsidR="0038361B" w:rsidRP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Run ADF test (H₀: unit root) and KPSS test (H₀: stationary); report test statistics and p-values.</w:t>
      </w:r>
    </w:p>
    <w:p w14:paraId="2413C092" w14:textId="02C6E009" w:rsidR="0038361B" w:rsidRP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If ADF and KPSS conflict, treat series as non-stationary.</w:t>
      </w:r>
    </w:p>
    <w:p w14:paraId="24CF5BDC" w14:textId="2421E920" w:rsidR="0038361B" w:rsidRPr="0038361B" w:rsidRDefault="0038361B" w:rsidP="0038361B">
      <w:pPr>
        <w:pStyle w:val="ListParagraph"/>
        <w:numPr>
          <w:ilvl w:val="0"/>
          <w:numId w:val="1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Check for structural breaks / changepoints; document candidate years.</w:t>
      </w:r>
    </w:p>
    <w:p w14:paraId="4203D0F4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B2 Autocorrelation Structure</w:t>
      </w:r>
    </w:p>
    <w:p w14:paraId="2773E5CD" w14:textId="7CC69E20" w:rsidR="0038361B" w:rsidRPr="0038361B" w:rsidRDefault="0038361B" w:rsidP="0038361B">
      <w:pPr>
        <w:pStyle w:val="ListParagraph"/>
        <w:numPr>
          <w:ilvl w:val="0"/>
          <w:numId w:val="12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Compute and inspect ACF and PACF; save plots with interpretation notes.</w:t>
      </w:r>
    </w:p>
    <w:p w14:paraId="2443B60D" w14:textId="0EF07FB3" w:rsidR="0038361B" w:rsidRPr="0038361B" w:rsidRDefault="0038361B" w:rsidP="0038361B">
      <w:pPr>
        <w:pStyle w:val="ListParagraph"/>
        <w:numPr>
          <w:ilvl w:val="0"/>
          <w:numId w:val="12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Document lag order implied by ACF/PACF diagnostics.</w:t>
      </w:r>
    </w:p>
    <w:p w14:paraId="7C070AB2" w14:textId="72BB29D8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lastRenderedPageBreak/>
        <w:t>B</w:t>
      </w:r>
      <w:r>
        <w:rPr>
          <w:rFonts w:asciiTheme="majorBidi" w:hAnsiTheme="majorBidi" w:cstheme="majorBidi"/>
          <w:b/>
          <w:bCs/>
          <w:color w:val="1A1A1A"/>
        </w:rPr>
        <w:t xml:space="preserve">3 </w:t>
      </w:r>
      <w:r w:rsidRPr="0038361B">
        <w:rPr>
          <w:rFonts w:asciiTheme="majorBidi" w:hAnsiTheme="majorBidi" w:cstheme="majorBidi"/>
          <w:b/>
          <w:bCs/>
          <w:color w:val="1A1A1A"/>
        </w:rPr>
        <w:t>Seasonality Detection</w:t>
      </w:r>
    </w:p>
    <w:p w14:paraId="353243C7" w14:textId="4C9F7FA8" w:rsidR="0038361B" w:rsidRPr="0038361B" w:rsidRDefault="0038361B" w:rsidP="0038361B">
      <w:pPr>
        <w:pStyle w:val="ListParagraph"/>
        <w:numPr>
          <w:ilvl w:val="0"/>
          <w:numId w:val="1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Run spectral analysis / periodogram on log-transformed series.</w:t>
      </w:r>
    </w:p>
    <w:p w14:paraId="645EFF89" w14:textId="4A4FE59F" w:rsidR="0038361B" w:rsidRPr="0038361B" w:rsidRDefault="0038361B" w:rsidP="0038361B">
      <w:pPr>
        <w:pStyle w:val="ListParagraph"/>
        <w:numPr>
          <w:ilvl w:val="0"/>
          <w:numId w:val="1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Inspect ACF at seasonal lags (lag 4 for quarterly, lag 12 for monthly).</w:t>
      </w:r>
    </w:p>
    <w:p w14:paraId="2B7E073C" w14:textId="171640F5" w:rsidR="0038361B" w:rsidRPr="0038361B" w:rsidRDefault="0038361B" w:rsidP="0038361B">
      <w:pPr>
        <w:pStyle w:val="ListParagraph"/>
        <w:numPr>
          <w:ilvl w:val="0"/>
          <w:numId w:val="1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Annual data: note explicitly that sub-annual seasonality cannot be assessed.</w:t>
      </w:r>
    </w:p>
    <w:p w14:paraId="1CE841D2" w14:textId="1C0BD7D7" w:rsidR="0038361B" w:rsidRPr="0038361B" w:rsidRDefault="0038361B" w:rsidP="0038361B">
      <w:pPr>
        <w:pStyle w:val="ListParagraph"/>
        <w:numPr>
          <w:ilvl w:val="0"/>
          <w:numId w:val="1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If significant periodicity detected: add SARIMA or TBATS to candidate set; otherwise, document exclusion.</w:t>
      </w:r>
    </w:p>
    <w:p w14:paraId="1531D189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B5 Nonlinearity &amp; Structural Change</w:t>
      </w:r>
    </w:p>
    <w:p w14:paraId="334029BF" w14:textId="16B1BF2F" w:rsidR="0038361B" w:rsidRPr="00717577" w:rsidRDefault="0038361B" w:rsidP="00717577">
      <w:pPr>
        <w:pStyle w:val="ListParagraph"/>
        <w:numPr>
          <w:ilvl w:val="0"/>
          <w:numId w:val="14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Visually inspect for nonlinear inflections; include decomposition plot (trend + residual).</w:t>
      </w:r>
    </w:p>
    <w:p w14:paraId="3F8E47F9" w14:textId="6CE8A652" w:rsidR="0038361B" w:rsidRDefault="0038361B" w:rsidP="00717577">
      <w:pPr>
        <w:pStyle w:val="ListParagraph"/>
        <w:numPr>
          <w:ilvl w:val="0"/>
          <w:numId w:val="14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Assess whether the rate of decline is accelerating, stable, or reversing over sub-periods.</w:t>
      </w:r>
    </w:p>
    <w:p w14:paraId="78D65ABC" w14:textId="77777777" w:rsidR="00717577" w:rsidRPr="00717577" w:rsidRDefault="00717577" w:rsidP="00717577">
      <w:pPr>
        <w:pStyle w:val="ListParagraph"/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506BEF27" w14:textId="04A5BAA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C</w:t>
      </w:r>
      <w:r w:rsidR="00717577">
        <w:rPr>
          <w:rFonts w:asciiTheme="majorBidi" w:hAnsiTheme="majorBidi" w:cstheme="majorBidi"/>
          <w:b/>
          <w:bCs/>
          <w:color w:val="1A1A1A"/>
        </w:rPr>
        <w:t>.</w:t>
      </w:r>
      <w:r w:rsidR="00717577" w:rsidRPr="0038361B">
        <w:rPr>
          <w:rFonts w:asciiTheme="majorBidi" w:hAnsiTheme="majorBidi" w:cstheme="majorBidi"/>
          <w:b/>
          <w:bCs/>
          <w:color w:val="1A1A1A"/>
        </w:rPr>
        <w:t xml:space="preserve"> FORECASTING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OBJECTIVE</w:t>
      </w:r>
    </w:p>
    <w:p w14:paraId="57C280E3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C1 Forecast Horizon</w:t>
      </w:r>
    </w:p>
    <w:p w14:paraId="5BD75683" w14:textId="3F9BF394" w:rsidR="0038361B" w:rsidRPr="00717577" w:rsidRDefault="0038361B" w:rsidP="00717577">
      <w:pPr>
        <w:pStyle w:val="ListParagraph"/>
        <w:numPr>
          <w:ilvl w:val="0"/>
          <w:numId w:val="1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Short-term (1- 5 yr): primary metric = rolling-origin RMSE; secondary = CRPS.</w:t>
      </w:r>
    </w:p>
    <w:p w14:paraId="6F1EB575" w14:textId="5F510BC9" w:rsidR="0038361B" w:rsidRPr="00717577" w:rsidRDefault="0038361B" w:rsidP="00717577">
      <w:pPr>
        <w:pStyle w:val="ListParagraph"/>
        <w:numPr>
          <w:ilvl w:val="0"/>
          <w:numId w:val="1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Long-term (5- 15+ yr): primary metric = CRPS; secondary = RMSE. State-space / Bayesian models strongly recommended.</w:t>
      </w:r>
    </w:p>
    <w:p w14:paraId="0824297E" w14:textId="0C55AFC0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>Choose the primary evaluation metric BEFORE model fitting. Post-hoc metric selection biases model choice.</w:t>
      </w:r>
    </w:p>
    <w:p w14:paraId="6E586E1C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C2 Intended Use</w:t>
      </w:r>
    </w:p>
    <w:p w14:paraId="51850FDF" w14:textId="79E193BA" w:rsidR="0038361B" w:rsidRPr="00717577" w:rsidRDefault="0038361B" w:rsidP="00717577">
      <w:pPr>
        <w:pStyle w:val="ListParagraph"/>
        <w:numPr>
          <w:ilvl w:val="0"/>
          <w:numId w:val="16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Surveillance / incidence monitoring → prioritize point accuracy, narrow near-term intervals.</w:t>
      </w:r>
    </w:p>
    <w:p w14:paraId="78BEC6D5" w14:textId="507C0E8E" w:rsidR="0038361B" w:rsidRPr="00717577" w:rsidRDefault="0038361B" w:rsidP="00717577">
      <w:pPr>
        <w:pStyle w:val="ListParagraph"/>
        <w:numPr>
          <w:ilvl w:val="0"/>
          <w:numId w:val="16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Workforce / infrastructure planning → scenario-based range; emphasize lower-bound risks.</w:t>
      </w:r>
    </w:p>
    <w:p w14:paraId="49DEDE00" w14:textId="40150E8E" w:rsidR="0038361B" w:rsidRPr="00717577" w:rsidRDefault="0038361B" w:rsidP="00717577">
      <w:pPr>
        <w:pStyle w:val="ListParagraph"/>
        <w:numPr>
          <w:ilvl w:val="0"/>
          <w:numId w:val="16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Clinical trial feasibility → emphasize interval width and lower-bound distribution.</w:t>
      </w:r>
    </w:p>
    <w:p w14:paraId="05F79353" w14:textId="5663B577" w:rsidR="0038361B" w:rsidRPr="00717577" w:rsidRDefault="0038361B" w:rsidP="00717577">
      <w:pPr>
        <w:pStyle w:val="ListParagraph"/>
        <w:numPr>
          <w:ilvl w:val="0"/>
          <w:numId w:val="16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Commercial forecasting → full predictive distribution; interval width drives supply/market decisions.</w:t>
      </w:r>
    </w:p>
    <w:p w14:paraId="05DB8B28" w14:textId="012193CF" w:rsidR="0038361B" w:rsidRDefault="0038361B" w:rsidP="00717577">
      <w:pPr>
        <w:pStyle w:val="ListParagraph"/>
        <w:numPr>
          <w:ilvl w:val="0"/>
          <w:numId w:val="16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Policy / public health → at least two plausible trajectory scenarios.</w:t>
      </w:r>
    </w:p>
    <w:p w14:paraId="0630FE05" w14:textId="77777777" w:rsidR="00717577" w:rsidRPr="00717577" w:rsidRDefault="00717577" w:rsidP="00717577">
      <w:pPr>
        <w:pStyle w:val="ListParagraph"/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52763341" w14:textId="725F9B76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</w:t>
      </w:r>
      <w:r w:rsidR="00717577">
        <w:rPr>
          <w:rFonts w:asciiTheme="majorBidi" w:hAnsiTheme="majorBidi" w:cstheme="majorBidi"/>
          <w:b/>
          <w:bCs/>
          <w:color w:val="1A1A1A"/>
        </w:rPr>
        <w:t xml:space="preserve">. </w:t>
      </w:r>
      <w:r w:rsidRPr="0038361B">
        <w:rPr>
          <w:rFonts w:asciiTheme="majorBidi" w:hAnsiTheme="majorBidi" w:cstheme="majorBidi"/>
          <w:b/>
          <w:bCs/>
          <w:color w:val="1A1A1A"/>
        </w:rPr>
        <w:t>MODEL CANDIDATE SET</w:t>
      </w:r>
    </w:p>
    <w:p w14:paraId="1B992785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D1 Classical Benchmarks (Always Run)</w:t>
      </w:r>
    </w:p>
    <w:p w14:paraId="5D8DEA2A" w14:textId="1057D940" w:rsidR="0038361B" w:rsidRPr="00717577" w:rsidRDefault="0038361B" w:rsidP="00717577">
      <w:pPr>
        <w:pStyle w:val="ListParagraph"/>
        <w:numPr>
          <w:ilvl w:val="0"/>
          <w:numId w:val="1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ARIMA(</w:t>
      </w:r>
      <w:proofErr w:type="spellStart"/>
      <w:r w:rsidRPr="00717577">
        <w:rPr>
          <w:rFonts w:asciiTheme="majorBidi" w:hAnsiTheme="majorBidi" w:cstheme="majorBidi"/>
          <w:color w:val="1A1A1A"/>
        </w:rPr>
        <w:t>p,d,q</w:t>
      </w:r>
      <w:proofErr w:type="spellEnd"/>
      <w:r w:rsidRPr="00717577">
        <w:rPr>
          <w:rFonts w:asciiTheme="majorBidi" w:hAnsiTheme="majorBidi" w:cstheme="majorBidi"/>
          <w:color w:val="1A1A1A"/>
        </w:rPr>
        <w:t>): specify orders from ACF/PACF; document any pre-transformation; obtain analytic prediction intervals.</w:t>
      </w:r>
    </w:p>
    <w:p w14:paraId="285D26B9" w14:textId="5985A791" w:rsidR="0038361B" w:rsidRPr="00717577" w:rsidRDefault="0038361B" w:rsidP="00717577">
      <w:pPr>
        <w:pStyle w:val="ListParagraph"/>
        <w:numPr>
          <w:ilvl w:val="0"/>
          <w:numId w:val="1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ETS: document error / trend / seasonal type; note that ETS and ARIMA typically converge in mean trajectory.</w:t>
      </w:r>
    </w:p>
    <w:p w14:paraId="18A35C67" w14:textId="2A89DE1B" w:rsidR="0038361B" w:rsidRPr="00717577" w:rsidRDefault="0038361B" w:rsidP="00717577">
      <w:pPr>
        <w:pStyle w:val="ListParagraph"/>
        <w:numPr>
          <w:ilvl w:val="0"/>
          <w:numId w:val="1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Theta: useful fast benchmark; analytic CIs unavailable - use bootstrap ≥ 2,000 draws.</w:t>
      </w:r>
    </w:p>
    <w:p w14:paraId="4E1CA30D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D2 Seasonal Extensions (Only if Seasonality Detected in B4)</w:t>
      </w:r>
    </w:p>
    <w:p w14:paraId="3BA7F613" w14:textId="0818114A" w:rsidR="0038361B" w:rsidRPr="00717577" w:rsidRDefault="0038361B" w:rsidP="00717577">
      <w:pPr>
        <w:pStyle w:val="ListParagraph"/>
        <w:numPr>
          <w:ilvl w:val="0"/>
          <w:numId w:val="1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SARIMA: add seasonal AR, MA, and differencing terms.</w:t>
      </w:r>
    </w:p>
    <w:p w14:paraId="35981444" w14:textId="48D9F9D8" w:rsidR="0038361B" w:rsidRPr="00717577" w:rsidRDefault="0038361B" w:rsidP="00717577">
      <w:pPr>
        <w:pStyle w:val="ListParagraph"/>
        <w:numPr>
          <w:ilvl w:val="0"/>
          <w:numId w:val="1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TBATS: for complex or multiple seasonality patterns.</w:t>
      </w:r>
    </w:p>
    <w:p w14:paraId="264E349E" w14:textId="1867DA85" w:rsidR="0038361B" w:rsidRPr="00717577" w:rsidRDefault="0038361B" w:rsidP="00717577">
      <w:pPr>
        <w:pStyle w:val="ListParagraph"/>
        <w:numPr>
          <w:ilvl w:val="0"/>
          <w:numId w:val="1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lastRenderedPageBreak/>
        <w:t>If no seasonal signal (typical for annual series): document exclusion explicitly.</w:t>
      </w:r>
    </w:p>
    <w:p w14:paraId="214568EB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D3 Semi-Parametric Models</w:t>
      </w:r>
    </w:p>
    <w:p w14:paraId="74140564" w14:textId="3A743CD0" w:rsidR="00717577" w:rsidRPr="00717577" w:rsidRDefault="00717577" w:rsidP="00717577">
      <w:pPr>
        <w:pStyle w:val="ListParagraph"/>
        <w:numPr>
          <w:ilvl w:val="0"/>
          <w:numId w:val="19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Frequentist/Bayesian GAM: Capture smooth nonlinear trends using penalized splines; use REML/GCV for frequentist estimation or posterior inference for Bayesian uncertainty propagation.</w:t>
      </w:r>
    </w:p>
    <w:p w14:paraId="2D650B23" w14:textId="7BA696C0" w:rsidR="00717577" w:rsidRPr="00717577" w:rsidRDefault="00717577" w:rsidP="00717577">
      <w:pPr>
        <w:pStyle w:val="ListParagraph"/>
        <w:numPr>
          <w:ilvl w:val="0"/>
          <w:numId w:val="19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DLM/BSTS: State</w:t>
      </w:r>
      <w:r w:rsidRPr="00717577">
        <w:rPr>
          <w:rFonts w:asciiTheme="majorBidi" w:hAnsiTheme="majorBidi" w:cstheme="majorBidi"/>
          <w:color w:val="1A1A1A"/>
        </w:rPr>
        <w:t>-space models that allow evolving trends and structural changes with probabilistic forecasts via Kalman filtering or Bayesian inference.</w:t>
      </w:r>
      <w:r w:rsidRPr="00717577">
        <w:rPr>
          <w:rFonts w:asciiTheme="majorBidi" w:hAnsiTheme="majorBidi" w:cstheme="majorBidi"/>
          <w:color w:val="1A1A1A"/>
        </w:rPr>
        <w:t xml:space="preserve"> </w:t>
      </w:r>
      <w:r w:rsidRPr="00717577">
        <w:rPr>
          <w:rFonts w:asciiTheme="majorBidi" w:hAnsiTheme="majorBidi" w:cstheme="majorBidi"/>
          <w:color w:val="1A1A1A"/>
        </w:rPr>
        <w:t xml:space="preserve">Recommended if </w:t>
      </w:r>
      <w:r w:rsidRPr="00717577">
        <w:rPr>
          <w:rFonts w:asciiTheme="majorBidi" w:hAnsiTheme="majorBidi" w:cstheme="majorBidi"/>
          <w:color w:val="1A1A1A"/>
        </w:rPr>
        <w:t>s</w:t>
      </w:r>
      <w:r w:rsidRPr="00717577">
        <w:rPr>
          <w:rFonts w:asciiTheme="majorBidi" w:hAnsiTheme="majorBidi" w:cstheme="majorBidi"/>
          <w:color w:val="1A1A1A"/>
        </w:rPr>
        <w:t xml:space="preserve">tructural </w:t>
      </w:r>
      <w:r w:rsidRPr="00717577">
        <w:rPr>
          <w:rFonts w:asciiTheme="majorBidi" w:hAnsiTheme="majorBidi" w:cstheme="majorBidi"/>
          <w:color w:val="1A1A1A"/>
        </w:rPr>
        <w:t>c</w:t>
      </w:r>
      <w:r w:rsidRPr="00717577">
        <w:rPr>
          <w:rFonts w:asciiTheme="majorBidi" w:hAnsiTheme="majorBidi" w:cstheme="majorBidi"/>
          <w:color w:val="1A1A1A"/>
        </w:rPr>
        <w:t xml:space="preserve">hange is </w:t>
      </w:r>
      <w:r w:rsidRPr="00717577">
        <w:rPr>
          <w:rFonts w:asciiTheme="majorBidi" w:hAnsiTheme="majorBidi" w:cstheme="majorBidi"/>
          <w:color w:val="1A1A1A"/>
        </w:rPr>
        <w:t>p</w:t>
      </w:r>
      <w:r w:rsidRPr="00717577">
        <w:rPr>
          <w:rFonts w:asciiTheme="majorBidi" w:hAnsiTheme="majorBidi" w:cstheme="majorBidi"/>
          <w:color w:val="1A1A1A"/>
        </w:rPr>
        <w:t>lausible</w:t>
      </w:r>
    </w:p>
    <w:p w14:paraId="35F05FDE" w14:textId="6610C278" w:rsidR="0038361B" w:rsidRPr="0038361B" w:rsidRDefault="0038361B" w:rsidP="00717577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</w:t>
      </w:r>
      <w:r w:rsidR="00717577">
        <w:rPr>
          <w:rFonts w:asciiTheme="majorBidi" w:hAnsiTheme="majorBidi" w:cstheme="majorBidi"/>
          <w:b/>
          <w:bCs/>
          <w:color w:val="1A1A1A"/>
        </w:rPr>
        <w:t>4</w:t>
      </w:r>
      <w:r w:rsidR="00717577" w:rsidRPr="0038361B">
        <w:rPr>
          <w:rFonts w:asciiTheme="majorBidi" w:hAnsiTheme="majorBidi" w:cstheme="majorBidi"/>
          <w:b/>
          <w:bCs/>
          <w:color w:val="1A1A1A"/>
        </w:rPr>
        <w:t xml:space="preserve"> Hierarchical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/ Subgroup Models (If Stratified Analysis Planned)</w:t>
      </w:r>
    </w:p>
    <w:p w14:paraId="619AA708" w14:textId="457AFE0C" w:rsidR="0038361B" w:rsidRPr="00717577" w:rsidRDefault="0038361B" w:rsidP="00717577">
      <w:pPr>
        <w:pStyle w:val="ListParagraph"/>
        <w:numPr>
          <w:ilvl w:val="0"/>
          <w:numId w:val="2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If forecasting by sex, age group, race, or stage: use hierarchical / multilevel models that borrow strength across strata rather than fitting independent models.</w:t>
      </w:r>
    </w:p>
    <w:p w14:paraId="0506C084" w14:textId="499623E4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D</w:t>
      </w:r>
      <w:r w:rsidR="00717577">
        <w:rPr>
          <w:rFonts w:asciiTheme="majorBidi" w:hAnsiTheme="majorBidi" w:cstheme="majorBidi"/>
          <w:b/>
          <w:bCs/>
          <w:color w:val="1A1A1A"/>
        </w:rPr>
        <w:t>5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Model Specification Documentation</w:t>
      </w:r>
    </w:p>
    <w:p w14:paraId="6F143CED" w14:textId="6A3B9C0F" w:rsidR="0038361B" w:rsidRPr="00717577" w:rsidRDefault="0038361B" w:rsidP="00717577">
      <w:pPr>
        <w:pStyle w:val="ListParagraph"/>
        <w:numPr>
          <w:ilvl w:val="0"/>
          <w:numId w:val="2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For every model: record all hyperparameters, transformation, software package and version.</w:t>
      </w:r>
    </w:p>
    <w:p w14:paraId="76723A0B" w14:textId="007F28CE" w:rsidR="0038361B" w:rsidRPr="00717577" w:rsidRDefault="0038361B" w:rsidP="00717577">
      <w:pPr>
        <w:pStyle w:val="ListParagraph"/>
        <w:numPr>
          <w:ilvl w:val="0"/>
          <w:numId w:val="2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For Bayesian models: record seed, chains, iterations, warmup, R-hat, and ESS.</w:t>
      </w:r>
    </w:p>
    <w:p w14:paraId="1729B235" w14:textId="0B09027E" w:rsidR="0038361B" w:rsidRPr="00717577" w:rsidRDefault="0038361B" w:rsidP="00717577">
      <w:pPr>
        <w:pStyle w:val="ListParagraph"/>
        <w:numPr>
          <w:ilvl w:val="0"/>
          <w:numId w:val="2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For bootstrap intervals: record number of draws (≥ 2,000).</w:t>
      </w:r>
    </w:p>
    <w:p w14:paraId="35A6589F" w14:textId="7618B663" w:rsidR="0038361B" w:rsidRDefault="0038361B" w:rsidP="00717577">
      <w:pPr>
        <w:pStyle w:val="ListParagraph"/>
        <w:numPr>
          <w:ilvl w:val="0"/>
          <w:numId w:val="20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Archive all model objects, posterior draws, and fitted values.</w:t>
      </w:r>
    </w:p>
    <w:p w14:paraId="5574417E" w14:textId="77777777" w:rsidR="00717577" w:rsidRPr="00717577" w:rsidRDefault="00717577" w:rsidP="00717577">
      <w:pPr>
        <w:pStyle w:val="ListParagraph"/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49A29C89" w14:textId="73DCA114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</w:t>
      </w:r>
      <w:r w:rsidR="00717577">
        <w:rPr>
          <w:rFonts w:asciiTheme="majorBidi" w:hAnsiTheme="majorBidi" w:cstheme="majorBidi"/>
          <w:b/>
          <w:bCs/>
          <w:color w:val="1A1A1A"/>
        </w:rPr>
        <w:t>.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EVALUATION &amp; VALIDATION</w:t>
      </w:r>
    </w:p>
    <w:p w14:paraId="7E5C0643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E1 Rolling-Origin Cross-Validation</w:t>
      </w:r>
    </w:p>
    <w:p w14:paraId="2B693805" w14:textId="218718D3" w:rsidR="0038361B" w:rsidRPr="00717577" w:rsidRDefault="0038361B" w:rsidP="00717577">
      <w:pPr>
        <w:pStyle w:val="ListParagraph"/>
        <w:numPr>
          <w:ilvl w:val="0"/>
          <w:numId w:val="21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Use rolling-origin CV (not a single train-test split); initial training window ≥ 10 years.</w:t>
      </w:r>
    </w:p>
    <w:p w14:paraId="7E96DF12" w14:textId="095D406B" w:rsidR="0038361B" w:rsidRPr="00717577" w:rsidRDefault="0038361B" w:rsidP="00717577">
      <w:pPr>
        <w:pStyle w:val="ListParagraph"/>
        <w:numPr>
          <w:ilvl w:val="0"/>
          <w:numId w:val="21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Roll forward one step at a time, re-estimating the model at each origin; record all forecast errors.</w:t>
      </w:r>
    </w:p>
    <w:p w14:paraId="7CF8ABC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E2 Multi-Step-Ahead Evaluation</w:t>
      </w:r>
    </w:p>
    <w:p w14:paraId="6AE2BD0B" w14:textId="7F7782E8" w:rsidR="0038361B" w:rsidRPr="00717577" w:rsidRDefault="0038361B" w:rsidP="00717577">
      <w:pPr>
        <w:pStyle w:val="ListParagraph"/>
        <w:numPr>
          <w:ilvl w:val="0"/>
          <w:numId w:val="22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Evaluate direct multi-step and recursive multi-step forecasting strategies for horizons &gt; 5 years.</w:t>
      </w:r>
    </w:p>
    <w:p w14:paraId="177B416A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E3 Point Accuracy - Rolling-Origin RMSE</w:t>
      </w:r>
    </w:p>
    <w:p w14:paraId="6E894111" w14:textId="5A094847" w:rsidR="0038361B" w:rsidRPr="00717577" w:rsidRDefault="0038361B" w:rsidP="00717577">
      <w:pPr>
        <w:pStyle w:val="ListParagraph"/>
        <w:numPr>
          <w:ilvl w:val="0"/>
          <w:numId w:val="22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Compute rolling-origin RMSE from one-step-ahead predictions (after 10-year burn-in).</w:t>
      </w:r>
    </w:p>
    <w:p w14:paraId="229226E8" w14:textId="34F76F24" w:rsidR="0038361B" w:rsidRPr="00717577" w:rsidRDefault="0038361B" w:rsidP="00717577">
      <w:pPr>
        <w:pStyle w:val="ListParagraph"/>
        <w:numPr>
          <w:ilvl w:val="0"/>
          <w:numId w:val="22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Report in-sample RMSE separately (reference only - not used for model ranking).</w:t>
      </w:r>
    </w:p>
    <w:p w14:paraId="5BEB6454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E4 Probabilistic Calibration - CRPS</w:t>
      </w:r>
    </w:p>
    <w:p w14:paraId="7074C061" w14:textId="19AC3937" w:rsidR="0038361B" w:rsidRPr="00717577" w:rsidRDefault="0038361B" w:rsidP="00717577">
      <w:pPr>
        <w:pStyle w:val="ListParagraph"/>
        <w:numPr>
          <w:ilvl w:val="0"/>
          <w:numId w:val="2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Compute CRPS for all models with predictive distributions.</w:t>
      </w:r>
    </w:p>
    <w:p w14:paraId="48CAFB31" w14:textId="47C9CE93" w:rsidR="0038361B" w:rsidRPr="00717577" w:rsidRDefault="0038361B" w:rsidP="00717577">
      <w:pPr>
        <w:spacing w:before="40" w:after="20" w:line="240" w:lineRule="auto"/>
        <w:rPr>
          <w:rFonts w:asciiTheme="majorBidi" w:hAnsiTheme="majorBidi" w:cstheme="majorBidi"/>
          <w:i/>
          <w:iCs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 xml:space="preserve">CRPS evaluates the full predictive CDF; </w:t>
      </w:r>
      <w:r w:rsidR="00717577" w:rsidRPr="0038361B">
        <w:rPr>
          <w:rFonts w:asciiTheme="majorBidi" w:hAnsiTheme="majorBidi" w:cstheme="majorBidi"/>
          <w:i/>
          <w:iCs/>
          <w:color w:val="1A1A1A"/>
        </w:rPr>
        <w:t>penalizes</w:t>
      </w:r>
      <w:r w:rsidRPr="0038361B">
        <w:rPr>
          <w:rFonts w:asciiTheme="majorBidi" w:hAnsiTheme="majorBidi" w:cstheme="majorBidi"/>
          <w:i/>
          <w:iCs/>
          <w:color w:val="1A1A1A"/>
        </w:rPr>
        <w:t xml:space="preserve"> overconfident and overdispersed intervals equally. Lower = better.</w:t>
      </w:r>
      <w:r w:rsidR="00717577">
        <w:rPr>
          <w:rFonts w:asciiTheme="majorBidi" w:hAnsiTheme="majorBidi" w:cstheme="majorBidi"/>
          <w:color w:val="1A1A1A"/>
        </w:rPr>
        <w:t xml:space="preserve"> </w:t>
      </w:r>
      <w:r w:rsidRPr="00717577">
        <w:rPr>
          <w:rFonts w:asciiTheme="majorBidi" w:hAnsiTheme="majorBidi" w:cstheme="majorBidi"/>
          <w:i/>
          <w:iCs/>
          <w:color w:val="1A1A1A"/>
        </w:rPr>
        <w:t>N</w:t>
      </w:r>
      <w:r w:rsidRPr="00717577">
        <w:rPr>
          <w:rFonts w:asciiTheme="majorBidi" w:hAnsiTheme="majorBidi" w:cstheme="majorBidi"/>
          <w:color w:val="1A1A1A"/>
        </w:rPr>
        <w:t xml:space="preserve">ever </w:t>
      </w:r>
      <w:r w:rsidRPr="00717577">
        <w:rPr>
          <w:rFonts w:asciiTheme="majorBidi" w:hAnsiTheme="majorBidi" w:cstheme="majorBidi"/>
          <w:i/>
          <w:iCs/>
          <w:color w:val="1A1A1A"/>
        </w:rPr>
        <w:t>use RMSE alone for long-horizon comparisons.</w:t>
      </w:r>
    </w:p>
    <w:p w14:paraId="2E136E81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E5 Interval Calibration</w:t>
      </w:r>
    </w:p>
    <w:p w14:paraId="3A830D53" w14:textId="2EC7543E" w:rsidR="0038361B" w:rsidRPr="00717577" w:rsidRDefault="0038361B" w:rsidP="00717577">
      <w:pPr>
        <w:pStyle w:val="ListParagraph"/>
        <w:numPr>
          <w:ilvl w:val="0"/>
          <w:numId w:val="2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Evaluate empirical 50% and 95% prediction interval coverage (hit rates).</w:t>
      </w:r>
    </w:p>
    <w:p w14:paraId="50A30769" w14:textId="2FA54339" w:rsidR="0038361B" w:rsidRPr="00717577" w:rsidRDefault="0038361B" w:rsidP="00717577">
      <w:pPr>
        <w:pStyle w:val="ListParagraph"/>
        <w:numPr>
          <w:ilvl w:val="0"/>
          <w:numId w:val="2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Compare 95% CI widths across all models at horizons: 1, 3, 5, 10, 15 years.</w:t>
      </w:r>
    </w:p>
    <w:p w14:paraId="19603451" w14:textId="06D81CF5" w:rsidR="0038361B" w:rsidRPr="00717577" w:rsidRDefault="0038361B" w:rsidP="00717577">
      <w:pPr>
        <w:pStyle w:val="ListParagraph"/>
        <w:numPr>
          <w:ilvl w:val="0"/>
          <w:numId w:val="23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lastRenderedPageBreak/>
        <w:t>Flag models with implausibly narrow intervals (overconfidence) or very wide short-horizon intervals (over-parameterization).</w:t>
      </w:r>
    </w:p>
    <w:p w14:paraId="1AC3D3DB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E6 Model Selection Decision Rule</w:t>
      </w:r>
    </w:p>
    <w:tbl>
      <w:tblPr>
        <w:tblStyle w:val="ListTable4-Accent3"/>
        <w:tblW w:w="1008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38361B" w:rsidRPr="0038361B" w14:paraId="3ED8A8B5" w14:textId="77777777" w:rsidTr="00717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hideMark/>
          </w:tcPr>
          <w:p w14:paraId="65A33686" w14:textId="77777777" w:rsidR="0038361B" w:rsidRPr="0038361B" w:rsidRDefault="0038361B" w:rsidP="0038361B">
            <w:pPr>
              <w:spacing w:before="40" w:after="20"/>
              <w:rPr>
                <w:rFonts w:asciiTheme="majorBidi" w:hAnsiTheme="majorBidi" w:cstheme="majorBidi"/>
              </w:rPr>
            </w:pPr>
            <w:r w:rsidRPr="0038361B">
              <w:rPr>
                <w:rFonts w:asciiTheme="majorBidi" w:hAnsiTheme="majorBidi" w:cstheme="majorBidi"/>
              </w:rPr>
              <w:t>Scenario</w:t>
            </w:r>
          </w:p>
        </w:tc>
        <w:tc>
          <w:tcPr>
            <w:tcW w:w="2520" w:type="dxa"/>
            <w:hideMark/>
          </w:tcPr>
          <w:p w14:paraId="416F94D6" w14:textId="77777777" w:rsidR="0038361B" w:rsidRPr="0038361B" w:rsidRDefault="0038361B" w:rsidP="0038361B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8361B">
              <w:rPr>
                <w:rFonts w:asciiTheme="majorBidi" w:hAnsiTheme="majorBidi" w:cstheme="majorBidi"/>
              </w:rPr>
              <w:t>Primary Metric</w:t>
            </w:r>
          </w:p>
        </w:tc>
        <w:tc>
          <w:tcPr>
            <w:tcW w:w="2520" w:type="dxa"/>
            <w:hideMark/>
          </w:tcPr>
          <w:p w14:paraId="70ADADA1" w14:textId="77777777" w:rsidR="0038361B" w:rsidRPr="0038361B" w:rsidRDefault="0038361B" w:rsidP="0038361B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8361B">
              <w:rPr>
                <w:rFonts w:asciiTheme="majorBidi" w:hAnsiTheme="majorBidi" w:cstheme="majorBidi"/>
              </w:rPr>
              <w:t>Secondary</w:t>
            </w:r>
          </w:p>
        </w:tc>
        <w:tc>
          <w:tcPr>
            <w:tcW w:w="2520" w:type="dxa"/>
            <w:hideMark/>
          </w:tcPr>
          <w:p w14:paraId="51EAFC2A" w14:textId="77777777" w:rsidR="0038361B" w:rsidRPr="0038361B" w:rsidRDefault="0038361B" w:rsidP="0038361B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8361B">
              <w:rPr>
                <w:rFonts w:asciiTheme="majorBidi" w:hAnsiTheme="majorBidi" w:cstheme="majorBidi"/>
              </w:rPr>
              <w:t>Preferred Model Class</w:t>
            </w:r>
          </w:p>
        </w:tc>
      </w:tr>
      <w:tr w:rsidR="0038361B" w:rsidRPr="0038361B" w14:paraId="3946FFA1" w14:textId="77777777" w:rsidTr="0071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hideMark/>
          </w:tcPr>
          <w:p w14:paraId="18CCEC3E" w14:textId="77777777" w:rsidR="0038361B" w:rsidRPr="0038361B" w:rsidRDefault="0038361B" w:rsidP="0038361B">
            <w:pPr>
              <w:spacing w:before="40" w:after="2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Short horizon (1- 5 yr)</w:t>
            </w:r>
          </w:p>
        </w:tc>
        <w:tc>
          <w:tcPr>
            <w:tcW w:w="2520" w:type="dxa"/>
            <w:hideMark/>
          </w:tcPr>
          <w:p w14:paraId="088FBAC1" w14:textId="77777777" w:rsidR="0038361B" w:rsidRPr="0038361B" w:rsidRDefault="0038361B" w:rsidP="0038361B">
            <w:pPr>
              <w:spacing w:before="4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Rolling-origin RMSE</w:t>
            </w:r>
          </w:p>
        </w:tc>
        <w:tc>
          <w:tcPr>
            <w:tcW w:w="2520" w:type="dxa"/>
            <w:hideMark/>
          </w:tcPr>
          <w:p w14:paraId="0CFC2262" w14:textId="77777777" w:rsidR="0038361B" w:rsidRPr="0038361B" w:rsidRDefault="0038361B" w:rsidP="0038361B">
            <w:pPr>
              <w:spacing w:before="4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CRPS</w:t>
            </w:r>
          </w:p>
        </w:tc>
        <w:tc>
          <w:tcPr>
            <w:tcW w:w="2520" w:type="dxa"/>
            <w:hideMark/>
          </w:tcPr>
          <w:p w14:paraId="3FBFB9C8" w14:textId="77777777" w:rsidR="0038361B" w:rsidRPr="0038361B" w:rsidRDefault="0038361B" w:rsidP="0038361B">
            <w:pPr>
              <w:spacing w:before="4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ARIMA / ETS / DLM</w:t>
            </w:r>
          </w:p>
        </w:tc>
      </w:tr>
      <w:tr w:rsidR="0038361B" w:rsidRPr="0038361B" w14:paraId="32FFB867" w14:textId="77777777" w:rsidTr="0071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hideMark/>
          </w:tcPr>
          <w:p w14:paraId="73C99263" w14:textId="77777777" w:rsidR="0038361B" w:rsidRPr="0038361B" w:rsidRDefault="0038361B" w:rsidP="0038361B">
            <w:pPr>
              <w:spacing w:before="40" w:after="2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Long horizon (5- 15+ yr)</w:t>
            </w:r>
          </w:p>
        </w:tc>
        <w:tc>
          <w:tcPr>
            <w:tcW w:w="2520" w:type="dxa"/>
            <w:hideMark/>
          </w:tcPr>
          <w:p w14:paraId="1701C412" w14:textId="77777777" w:rsidR="0038361B" w:rsidRPr="0038361B" w:rsidRDefault="0038361B" w:rsidP="0038361B">
            <w:pPr>
              <w:spacing w:before="4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CRPS</w:t>
            </w:r>
          </w:p>
        </w:tc>
        <w:tc>
          <w:tcPr>
            <w:tcW w:w="2520" w:type="dxa"/>
            <w:hideMark/>
          </w:tcPr>
          <w:p w14:paraId="39CBB3CA" w14:textId="77777777" w:rsidR="0038361B" w:rsidRPr="0038361B" w:rsidRDefault="0038361B" w:rsidP="0038361B">
            <w:pPr>
              <w:spacing w:before="4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RMSE + CI width</w:t>
            </w:r>
          </w:p>
        </w:tc>
        <w:tc>
          <w:tcPr>
            <w:tcW w:w="2520" w:type="dxa"/>
            <w:hideMark/>
          </w:tcPr>
          <w:p w14:paraId="56BD30A3" w14:textId="77777777" w:rsidR="0038361B" w:rsidRPr="0038361B" w:rsidRDefault="0038361B" w:rsidP="0038361B">
            <w:pPr>
              <w:spacing w:before="4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A1A1A"/>
              </w:rPr>
            </w:pPr>
            <w:r w:rsidRPr="0038361B">
              <w:rPr>
                <w:rFonts w:asciiTheme="majorBidi" w:hAnsiTheme="majorBidi" w:cstheme="majorBidi"/>
                <w:color w:val="1A1A1A"/>
              </w:rPr>
              <w:t>BSTS / Bayesian GAM</w:t>
            </w:r>
          </w:p>
        </w:tc>
      </w:tr>
    </w:tbl>
    <w:p w14:paraId="1752236F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i/>
          <w:iCs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>Short horizon decisions are sensitive to central estimates. RMSE directly measures that.</w:t>
      </w:r>
      <w:r w:rsidRPr="0038361B">
        <w:rPr>
          <w:rFonts w:asciiTheme="majorBidi" w:hAnsiTheme="majorBidi" w:cstheme="majorBidi"/>
          <w:color w:val="1A1A1A"/>
        </w:rPr>
        <w:t xml:space="preserve"> </w:t>
      </w:r>
      <w:r w:rsidRPr="0038361B">
        <w:rPr>
          <w:rFonts w:asciiTheme="majorBidi" w:hAnsiTheme="majorBidi" w:cstheme="majorBidi"/>
          <w:i/>
          <w:iCs/>
          <w:color w:val="1A1A1A"/>
        </w:rPr>
        <w:t>In long-horizon contexts, uncertainty calibration is more decision-relevant than marginal point accuracy differences</w:t>
      </w:r>
    </w:p>
    <w:p w14:paraId="45260EE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E7 Residual Diagnostics &amp; Sensitivity</w:t>
      </w:r>
    </w:p>
    <w:p w14:paraId="60166286" w14:textId="6768CED4" w:rsidR="0038361B" w:rsidRPr="00717577" w:rsidRDefault="0038361B" w:rsidP="00717577">
      <w:pPr>
        <w:pStyle w:val="ListParagraph"/>
        <w:numPr>
          <w:ilvl w:val="0"/>
          <w:numId w:val="2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ACF/PACF of residuals, normality checks.</w:t>
      </w:r>
    </w:p>
    <w:p w14:paraId="55CE87C5" w14:textId="5F1F713E" w:rsidR="0038361B" w:rsidRPr="00717577" w:rsidRDefault="0038361B" w:rsidP="00717577">
      <w:pPr>
        <w:pStyle w:val="ListParagraph"/>
        <w:numPr>
          <w:ilvl w:val="0"/>
          <w:numId w:val="2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Sensitivity analysis: vary training window ±2- 3 years; report impact on RMSE and CRPS.</w:t>
      </w:r>
    </w:p>
    <w:p w14:paraId="6F3B6947" w14:textId="74C7DE58" w:rsidR="0038361B" w:rsidRPr="00717577" w:rsidRDefault="0038361B" w:rsidP="00717577">
      <w:pPr>
        <w:pStyle w:val="ListParagraph"/>
        <w:numPr>
          <w:ilvl w:val="0"/>
          <w:numId w:val="2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For Bayesian models: prior sensitivity (tighten/loosen key priors by one order of magnitude).</w:t>
      </w:r>
    </w:p>
    <w:p w14:paraId="5542CB64" w14:textId="38B265EC" w:rsidR="0038361B" w:rsidRDefault="0038361B" w:rsidP="00717577">
      <w:pPr>
        <w:pStyle w:val="ListParagraph"/>
        <w:numPr>
          <w:ilvl w:val="0"/>
          <w:numId w:val="2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For count models: test overdispersion assumption (Poisson vs negative-binomial).</w:t>
      </w:r>
    </w:p>
    <w:p w14:paraId="2FA8FB57" w14:textId="77777777" w:rsidR="00717577" w:rsidRPr="00717577" w:rsidRDefault="00717577" w:rsidP="00717577">
      <w:pPr>
        <w:pStyle w:val="ListParagraph"/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7E81AC3E" w14:textId="00FFD445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F</w:t>
      </w:r>
      <w:r w:rsidR="00717577">
        <w:rPr>
          <w:rFonts w:asciiTheme="majorBidi" w:hAnsiTheme="majorBidi" w:cstheme="majorBidi"/>
          <w:b/>
          <w:bCs/>
          <w:color w:val="1A1A1A"/>
        </w:rPr>
        <w:t xml:space="preserve">.  </w:t>
      </w:r>
      <w:r w:rsidRPr="0038361B">
        <w:rPr>
          <w:rFonts w:asciiTheme="majorBidi" w:hAnsiTheme="majorBidi" w:cstheme="majorBidi"/>
          <w:b/>
          <w:bCs/>
          <w:color w:val="1A1A1A"/>
        </w:rPr>
        <w:t>FORECASTING &amp; UNCERTAINTY QUANTIFICATION</w:t>
      </w:r>
    </w:p>
    <w:p w14:paraId="4FB9BC7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F1 Point Forecasts</w:t>
      </w:r>
    </w:p>
    <w:p w14:paraId="237FD11D" w14:textId="54DCF4DF" w:rsidR="0038361B" w:rsidRPr="00717577" w:rsidRDefault="0038361B" w:rsidP="00717577">
      <w:pPr>
        <w:pStyle w:val="ListParagraph"/>
        <w:numPr>
          <w:ilvl w:val="0"/>
          <w:numId w:val="2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Produce forecasts on the log scale; back-transform with bias correction: E[Y] = exp (μ + 0.5σ²).</w:t>
      </w:r>
    </w:p>
    <w:p w14:paraId="7985FBA1" w14:textId="68439F4E" w:rsidR="0038361B" w:rsidRPr="00717577" w:rsidRDefault="0038361B" w:rsidP="00717577">
      <w:pPr>
        <w:pStyle w:val="ListParagraph"/>
        <w:numPr>
          <w:ilvl w:val="0"/>
          <w:numId w:val="2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For Bayesian/simulation models: exponentiate posterior draws; compute mean and intervals on original scale.</w:t>
      </w:r>
    </w:p>
    <w:p w14:paraId="2413553D" w14:textId="06F0CF9A" w:rsidR="0038361B" w:rsidRPr="00717577" w:rsidRDefault="0038361B" w:rsidP="00717577">
      <w:pPr>
        <w:pStyle w:val="ListParagraph"/>
        <w:numPr>
          <w:ilvl w:val="0"/>
          <w:numId w:val="27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Report at horizons: 1, 3, 5, 10, and 15 years minimum.</w:t>
      </w:r>
    </w:p>
    <w:p w14:paraId="14B9C17B" w14:textId="1C5CC0F0" w:rsidR="0038361B" w:rsidRPr="00717577" w:rsidRDefault="0038361B" w:rsidP="00717577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b/>
          <w:bCs/>
          <w:color w:val="1A1A1A"/>
        </w:rPr>
        <w:t>F2 Predictive Intervals</w:t>
      </w:r>
    </w:p>
    <w:p w14:paraId="354047A1" w14:textId="087045D8" w:rsidR="0038361B" w:rsidRPr="00717577" w:rsidRDefault="0038361B" w:rsidP="00717577">
      <w:pPr>
        <w:pStyle w:val="ListParagraph"/>
        <w:numPr>
          <w:ilvl w:val="0"/>
          <w:numId w:val="2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Report 50% and 95% prediction/credible intervals for all models at all horizons.</w:t>
      </w:r>
    </w:p>
    <w:p w14:paraId="7E08AAF3" w14:textId="4ABB6F68" w:rsidR="0038361B" w:rsidRPr="00717577" w:rsidRDefault="0038361B" w:rsidP="00717577">
      <w:pPr>
        <w:pStyle w:val="ListParagraph"/>
        <w:numPr>
          <w:ilvl w:val="0"/>
          <w:numId w:val="2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Compare 95% CI widths across models explicitly (report in per-100,000 units).</w:t>
      </w:r>
    </w:p>
    <w:p w14:paraId="2D9326B6" w14:textId="0C3E1D5E" w:rsidR="0038361B" w:rsidRPr="00717577" w:rsidRDefault="0038361B" w:rsidP="00717577">
      <w:pPr>
        <w:pStyle w:val="ListParagraph"/>
        <w:numPr>
          <w:ilvl w:val="0"/>
          <w:numId w:val="28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717577">
        <w:rPr>
          <w:rFonts w:asciiTheme="majorBidi" w:hAnsiTheme="majorBidi" w:cstheme="majorBidi"/>
          <w:color w:val="1A1A1A"/>
        </w:rPr>
        <w:t>Document interval generation method: analytical / bootstrap (n draws) / posterior predictive.</w:t>
      </w:r>
    </w:p>
    <w:p w14:paraId="0140E678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F3 Population-to-Count Translation</w:t>
      </w:r>
    </w:p>
    <w:p w14:paraId="31D62E9C" w14:textId="0A7043F4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Translate forecast rates to expected case counts for operational planning.</w:t>
      </w:r>
    </w:p>
    <w:p w14:paraId="00C6E62D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>Propagate rate uncertainty through population projections - population projections carry their own uncertainty especially at 15-year horizons. Do not treat projected population as fixed.</w:t>
      </w:r>
    </w:p>
    <w:p w14:paraId="6979009C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F4 Scenario-Based &amp; Ensemble Forecasting</w:t>
      </w:r>
    </w:p>
    <w:p w14:paraId="621941F7" w14:textId="1CAE96C7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long-horizon planning: produce optimistic / central / pessimistic trajectory scenarios.</w:t>
      </w:r>
    </w:p>
    <w:p w14:paraId="7E0493E4" w14:textId="21DDF82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lastRenderedPageBreak/>
        <w:t>If multiple models perform comparably: consider ensemble (equal-weight or CRPS-weighted).</w:t>
      </w:r>
    </w:p>
    <w:p w14:paraId="10AA9901" w14:textId="5F602B34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Report range of endpoint-year projections across all models to make model uncertainty visible.</w:t>
      </w:r>
    </w:p>
    <w:p w14:paraId="7BBC628C" w14:textId="7AC25D46" w:rsid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declining indications: explicitly report lower-bound scenario and implications for patient availability.</w:t>
      </w:r>
    </w:p>
    <w:p w14:paraId="5B10495E" w14:textId="77777777" w:rsidR="00717577" w:rsidRPr="0038361B" w:rsidRDefault="00717577" w:rsidP="00717577">
      <w:pPr>
        <w:spacing w:before="40" w:after="20" w:line="240" w:lineRule="auto"/>
        <w:ind w:left="810"/>
        <w:rPr>
          <w:rFonts w:asciiTheme="majorBidi" w:hAnsiTheme="majorBidi" w:cstheme="majorBidi"/>
          <w:color w:val="1A1A1A"/>
        </w:rPr>
      </w:pPr>
    </w:p>
    <w:p w14:paraId="051D94FE" w14:textId="5D1FE80B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G</w:t>
      </w:r>
      <w:r w:rsidR="00717577">
        <w:rPr>
          <w:rFonts w:asciiTheme="majorBidi" w:hAnsiTheme="majorBidi" w:cstheme="majorBidi"/>
          <w:b/>
          <w:bCs/>
          <w:color w:val="1A1A1A"/>
        </w:rPr>
        <w:t xml:space="preserve">. </w:t>
      </w:r>
      <w:r w:rsidRPr="0038361B">
        <w:rPr>
          <w:rFonts w:asciiTheme="majorBidi" w:hAnsiTheme="majorBidi" w:cstheme="majorBidi"/>
          <w:b/>
          <w:bCs/>
          <w:color w:val="1A1A1A"/>
        </w:rPr>
        <w:t>REPORTING &amp; VISUALIZATION</w:t>
      </w:r>
    </w:p>
    <w:p w14:paraId="5AE978C3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G1 Figures</w:t>
      </w:r>
    </w:p>
    <w:p w14:paraId="49CABC49" w14:textId="74BB8AA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Main figure: observed data + all model forecasts overlaid with shaded 95% prediction intervals.</w:t>
      </w:r>
    </w:p>
    <w:p w14:paraId="01A6287F" w14:textId="5D4F4F9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Separate panels or distinguishable line styles per model; numeric rate labels at key years.</w:t>
      </w:r>
    </w:p>
    <w:p w14:paraId="5E6C39CC" w14:textId="3D415647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Composite diagnostic figure: ACF / PACF / spectral plots with labelled axes and significance bounds.</w:t>
      </w:r>
    </w:p>
    <w:p w14:paraId="78F220A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G2 Performance Tables</w:t>
      </w:r>
    </w:p>
    <w:p w14:paraId="7BDB67ED" w14:textId="3F1E535E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Table: in-sample RMSE, rolling-origin RMSE, CRPS, 95% CI widths at 1, 5, 15-year horizons.</w:t>
      </w:r>
    </w:p>
    <w:p w14:paraId="2B2EF765" w14:textId="52C816DE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Document which metric drove final model selection.</w:t>
      </w:r>
    </w:p>
    <w:p w14:paraId="43D5A0C1" w14:textId="7321EACC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Supplementary table: model characteristics (trend handling, uncertainty type, assumptions).</w:t>
      </w:r>
    </w:p>
    <w:p w14:paraId="7584D564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G3 Reporting Standards</w:t>
      </w:r>
    </w:p>
    <w:p w14:paraId="03FB4FE6" w14:textId="75498642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State forecasting objective and intended audience explicitly in the methods section.</w:t>
      </w:r>
    </w:p>
    <w:p w14:paraId="5B34D3B0" w14:textId="673622DA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Present 95% prediction intervals in all figures and tables - never point forecasts alone.</w:t>
      </w:r>
    </w:p>
    <w:p w14:paraId="14A9FC6E" w14:textId="203A1108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Provide sensitivity and scenario appendices (if conducted).</w:t>
      </w:r>
    </w:p>
    <w:p w14:paraId="5845B43E" w14:textId="1E36433C" w:rsidR="0038361B" w:rsidRDefault="00717577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Report on</w:t>
      </w:r>
      <w:r w:rsidR="0038361B" w:rsidRPr="0038361B">
        <w:rPr>
          <w:rFonts w:asciiTheme="majorBidi" w:hAnsiTheme="majorBidi" w:cstheme="majorBidi"/>
          <w:color w:val="1A1A1A"/>
        </w:rPr>
        <w:t xml:space="preserve"> whether projected counts translate into operational constraints (e.g. trial enrolment shortfalls).</w:t>
      </w:r>
    </w:p>
    <w:p w14:paraId="17620525" w14:textId="77777777" w:rsidR="00717577" w:rsidRPr="0038361B" w:rsidRDefault="00717577" w:rsidP="00717577">
      <w:pPr>
        <w:spacing w:before="40" w:after="20" w:line="240" w:lineRule="auto"/>
        <w:ind w:left="810"/>
        <w:rPr>
          <w:rFonts w:asciiTheme="majorBidi" w:hAnsiTheme="majorBidi" w:cstheme="majorBidi"/>
          <w:color w:val="1A1A1A"/>
        </w:rPr>
      </w:pPr>
    </w:p>
    <w:p w14:paraId="052095C7" w14:textId="5F4EFC7C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H</w:t>
      </w:r>
      <w:r w:rsidR="00717577">
        <w:rPr>
          <w:rFonts w:asciiTheme="majorBidi" w:hAnsiTheme="majorBidi" w:cstheme="majorBidi"/>
          <w:b/>
          <w:bCs/>
          <w:color w:val="1A1A1A"/>
        </w:rPr>
        <w:t xml:space="preserve">. </w:t>
      </w:r>
      <w:r w:rsidRPr="0038361B">
        <w:rPr>
          <w:rFonts w:asciiTheme="majorBidi" w:hAnsiTheme="majorBidi" w:cstheme="majorBidi"/>
          <w:b/>
          <w:bCs/>
          <w:color w:val="1A1A1A"/>
        </w:rPr>
        <w:t>PRACTICAL GUIDANCE FOR DECISION-MAKERS</w:t>
      </w:r>
    </w:p>
    <w:p w14:paraId="4E1EB24F" w14:textId="4D92735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Document which country / region the forecast applies to; note that method choice is shaped by healthcare infrastructure, reimbursement, and regulatory environment.</w:t>
      </w:r>
    </w:p>
    <w:p w14:paraId="0AAB5153" w14:textId="4E0A0C8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declining indications: emphasize lower-bound risks for capacity planning and commercial projections.</w:t>
      </w:r>
    </w:p>
    <w:p w14:paraId="695BA1B6" w14:textId="34BE2D48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Recommend contingency planning when model projections diverge by &gt; 10% in absolute rate at the planning horizon.</w:t>
      </w:r>
    </w:p>
    <w:p w14:paraId="7B57A4AC" w14:textId="560A50E3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Stress-test commercial projections under both favorable and unfavorable incidence scenarios.</w:t>
      </w:r>
    </w:p>
    <w:p w14:paraId="6C55475A" w14:textId="4F6F07A4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lastRenderedPageBreak/>
        <w:t>When model intervals diverge substantially, present ranges to stakeholders rather than single-point values.</w:t>
      </w:r>
    </w:p>
    <w:p w14:paraId="1E9F450D" w14:textId="1426FEF6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Plan for regular forecast updates as new data releases become available.</w:t>
      </w:r>
    </w:p>
    <w:p w14:paraId="5F28D937" w14:textId="777259F6" w:rsidR="0038361B" w:rsidRDefault="0038361B" w:rsidP="0038361B">
      <w:pPr>
        <w:spacing w:before="40" w:after="20" w:line="240" w:lineRule="auto"/>
        <w:rPr>
          <w:rFonts w:asciiTheme="majorBidi" w:hAnsiTheme="majorBidi" w:cstheme="majorBidi"/>
          <w:i/>
          <w:iCs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>Communicate uncertainty to non-technical stakeholders using scenario narratives and visual fan charts rather than statistical metrics alone.</w:t>
      </w:r>
    </w:p>
    <w:p w14:paraId="7FDE0D86" w14:textId="77777777" w:rsidR="00717577" w:rsidRPr="0038361B" w:rsidRDefault="00717577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3D21F67C" w14:textId="23107DAE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I</w:t>
      </w:r>
      <w:r w:rsidR="00717577">
        <w:rPr>
          <w:rFonts w:asciiTheme="majorBidi" w:hAnsiTheme="majorBidi" w:cstheme="majorBidi"/>
          <w:b/>
          <w:bCs/>
          <w:color w:val="1A1A1A"/>
        </w:rPr>
        <w:t>.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REPRODUCIBILITY &amp; GOVERNANCE</w:t>
      </w:r>
    </w:p>
    <w:p w14:paraId="5AF9D547" w14:textId="64368A36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Provide fully runnable code with README covering: data ingestion, model fitting, rolling-origin CV, CRPS, back-transformation, and plotting.</w:t>
      </w:r>
    </w:p>
    <w:p w14:paraId="3D77E3A7" w14:textId="7B4A6696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Pre-register analysis plan (or document as pre-specified) before model fitting begins.</w:t>
      </w:r>
    </w:p>
    <w:p w14:paraId="3B6555DC" w14:textId="68B2DE1C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Version-control dataset snapshots and code via git tag or DOI.</w:t>
      </w:r>
    </w:p>
    <w:p w14:paraId="399BAABF" w14:textId="5D59E36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 xml:space="preserve">Record software versions and random seeds for all stochastic elements (e.g. R 4.4.x, brms 2.x, </w:t>
      </w:r>
      <w:proofErr w:type="spellStart"/>
      <w:r w:rsidRPr="0038361B">
        <w:rPr>
          <w:rFonts w:asciiTheme="majorBidi" w:hAnsiTheme="majorBidi" w:cstheme="majorBidi"/>
          <w:color w:val="1A1A1A"/>
        </w:rPr>
        <w:t>set.seed</w:t>
      </w:r>
      <w:proofErr w:type="spellEnd"/>
      <w:r w:rsidRPr="0038361B">
        <w:rPr>
          <w:rFonts w:asciiTheme="majorBidi" w:hAnsiTheme="majorBidi" w:cstheme="majorBidi"/>
          <w:color w:val="1A1A1A"/>
        </w:rPr>
        <w:t>(123)).</w:t>
      </w:r>
    </w:p>
    <w:p w14:paraId="23F2225A" w14:textId="0CF29F8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 xml:space="preserve">Create model registry entry: </w:t>
      </w:r>
      <w:proofErr w:type="spellStart"/>
      <w:r w:rsidRPr="0038361B">
        <w:rPr>
          <w:rFonts w:asciiTheme="majorBidi" w:hAnsiTheme="majorBidi" w:cstheme="majorBidi"/>
          <w:color w:val="1A1A1A"/>
        </w:rPr>
        <w:t>model_id</w:t>
      </w:r>
      <w:proofErr w:type="spellEnd"/>
      <w:r w:rsidRPr="0038361B">
        <w:rPr>
          <w:rFonts w:asciiTheme="majorBidi" w:hAnsiTheme="majorBidi" w:cstheme="majorBidi"/>
          <w:color w:val="1A1A1A"/>
        </w:rPr>
        <w:t>, version, author, date, git hash/DOI, and changelog summary.</w:t>
      </w:r>
    </w:p>
    <w:p w14:paraId="1B1C9CAE" w14:textId="139951FB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Record stakeholder sign-off for forecasts used in operational or commercial decisions.</w:t>
      </w:r>
    </w:p>
    <w:p w14:paraId="33B38BB7" w14:textId="77C58AB3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Archive model objects, posterior draws, and all validation outputs.</w:t>
      </w:r>
    </w:p>
    <w:p w14:paraId="0A03B06B" w14:textId="39FA1D40" w:rsid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Document any deviations from the pre-specified analysis plan.</w:t>
      </w:r>
    </w:p>
    <w:p w14:paraId="137FBBCB" w14:textId="77777777" w:rsidR="00717577" w:rsidRPr="0038361B" w:rsidRDefault="00717577" w:rsidP="00717577">
      <w:pPr>
        <w:spacing w:before="40" w:after="20" w:line="240" w:lineRule="auto"/>
        <w:ind w:left="810"/>
        <w:rPr>
          <w:rFonts w:asciiTheme="majorBidi" w:hAnsiTheme="majorBidi" w:cstheme="majorBidi"/>
          <w:color w:val="1A1A1A"/>
        </w:rPr>
      </w:pPr>
    </w:p>
    <w:p w14:paraId="4A93B08B" w14:textId="30108CD3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J</w:t>
      </w:r>
      <w:r w:rsidR="00717577">
        <w:rPr>
          <w:rFonts w:asciiTheme="majorBidi" w:hAnsiTheme="majorBidi" w:cstheme="majorBidi"/>
          <w:b/>
          <w:bCs/>
          <w:color w:val="1A1A1A"/>
        </w:rPr>
        <w:t xml:space="preserve">. </w:t>
      </w:r>
      <w:r w:rsidRPr="0038361B">
        <w:rPr>
          <w:rFonts w:asciiTheme="majorBidi" w:hAnsiTheme="majorBidi" w:cstheme="majorBidi"/>
          <w:b/>
          <w:bCs/>
          <w:color w:val="1A1A1A"/>
        </w:rPr>
        <w:t>LIMITATIONS &amp; ASSUMPTIONS</w:t>
      </w:r>
    </w:p>
    <w:p w14:paraId="1EE89CC4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J1 Model Assumptions</w:t>
      </w:r>
    </w:p>
    <w:p w14:paraId="5CD2BDA1" w14:textId="366284FB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State assumptions about stationarity, trend persistence, and absence of structural breaks.</w:t>
      </w:r>
    </w:p>
    <w:p w14:paraId="1BC1ACB2" w14:textId="4165BD03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univariate models: note that structural drivers (screening, treatment, demographics) are not modelled.</w:t>
      </w:r>
    </w:p>
    <w:p w14:paraId="700AEF05" w14:textId="5E6D1784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State that no single model is sufficient for long-range planning; optimal model depends on objective.</w:t>
      </w:r>
    </w:p>
    <w:p w14:paraId="6E808228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J2 Data Limitations</w:t>
      </w:r>
    </w:p>
    <w:p w14:paraId="530E35BC" w14:textId="2403CFA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Report registry coverage limitations (% population, geographic scope).</w:t>
      </w:r>
    </w:p>
    <w:p w14:paraId="63305B37" w14:textId="7789B9D4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Document coding changes (ICD revision, histology reclassification) affecting time-series comparability.</w:t>
      </w:r>
    </w:p>
    <w:p w14:paraId="512838BA" w14:textId="2F87858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stratified analyses: document data sparsity by subgroup, stage, or demographic.</w:t>
      </w:r>
    </w:p>
    <w:p w14:paraId="0F15190E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J3 Sensitivity &amp; Uncertainty</w:t>
      </w:r>
    </w:p>
    <w:p w14:paraId="376EEDA0" w14:textId="6AEC3A82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 xml:space="preserve">Report sensitivity to priors, smoothing parameters, training window, and </w:t>
      </w:r>
      <w:r w:rsidR="00717577" w:rsidRPr="0038361B">
        <w:rPr>
          <w:rFonts w:asciiTheme="majorBidi" w:hAnsiTheme="majorBidi" w:cstheme="majorBidi"/>
          <w:color w:val="1A1A1A"/>
        </w:rPr>
        <w:t>change points</w:t>
      </w:r>
      <w:r w:rsidRPr="0038361B">
        <w:rPr>
          <w:rFonts w:asciiTheme="majorBidi" w:hAnsiTheme="majorBidi" w:cstheme="majorBidi"/>
          <w:color w:val="1A1A1A"/>
        </w:rPr>
        <w:t>.</w:t>
      </w:r>
    </w:p>
    <w:p w14:paraId="359EEE2A" w14:textId="0C66DC4B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If models differ by &gt; 15% on endpoint projected rate, report the range explicitly.</w:t>
      </w:r>
    </w:p>
    <w:p w14:paraId="2D238F56" w14:textId="05EBCD2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 xml:space="preserve">Recommend regular model re-fitting as new data </w:t>
      </w:r>
      <w:r w:rsidR="00717577" w:rsidRPr="0038361B">
        <w:rPr>
          <w:rFonts w:asciiTheme="majorBidi" w:hAnsiTheme="majorBidi" w:cstheme="majorBidi"/>
          <w:color w:val="1A1A1A"/>
        </w:rPr>
        <w:t>becomes</w:t>
      </w:r>
      <w:r w:rsidRPr="0038361B">
        <w:rPr>
          <w:rFonts w:asciiTheme="majorBidi" w:hAnsiTheme="majorBidi" w:cstheme="majorBidi"/>
          <w:color w:val="1A1A1A"/>
        </w:rPr>
        <w:t xml:space="preserve"> available.</w:t>
      </w:r>
    </w:p>
    <w:p w14:paraId="483E940F" w14:textId="4CA2111E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b/>
          <w:bCs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lastRenderedPageBreak/>
        <w:t>K</w:t>
      </w:r>
      <w:r w:rsidR="00717577">
        <w:rPr>
          <w:rFonts w:asciiTheme="majorBidi" w:hAnsiTheme="majorBidi" w:cstheme="majorBidi"/>
          <w:b/>
          <w:bCs/>
          <w:color w:val="1A1A1A"/>
        </w:rPr>
        <w:t xml:space="preserve">. </w:t>
      </w:r>
      <w:r w:rsidRPr="0038361B">
        <w:rPr>
          <w:rFonts w:asciiTheme="majorBidi" w:hAnsiTheme="majorBidi" w:cstheme="majorBidi"/>
          <w:b/>
          <w:bCs/>
          <w:color w:val="1A1A1A"/>
        </w:rPr>
        <w:t xml:space="preserve"> COVARIATE </w:t>
      </w:r>
      <w:r w:rsidR="00717577" w:rsidRPr="0038361B">
        <w:rPr>
          <w:rFonts w:asciiTheme="majorBidi" w:hAnsiTheme="majorBidi" w:cstheme="majorBidi"/>
          <w:b/>
          <w:bCs/>
          <w:color w:val="1A1A1A"/>
        </w:rPr>
        <w:t>ADJUSTMENT [</w:t>
      </w:r>
      <w:r w:rsidRPr="0038361B">
        <w:rPr>
          <w:rFonts w:asciiTheme="majorBidi" w:hAnsiTheme="majorBidi" w:cstheme="majorBidi"/>
          <w:b/>
          <w:bCs/>
          <w:color w:val="1A1A1A"/>
        </w:rPr>
        <w:t>OPTIONAL - Complete A- J First]</w:t>
      </w:r>
    </w:p>
    <w:p w14:paraId="23C2D7AC" w14:textId="6954133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 xml:space="preserve"> Keep the unconditional univariate forecast as the primary result. Covariate-adjusted models are secondary / scenario outputs. Use this section only when time-varying covariates (smoking prevalence, age distribution, screening rates, policy indicators) are reported.</w:t>
      </w:r>
    </w:p>
    <w:p w14:paraId="04D89B42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K1 Preconditions - All Must Be Met</w:t>
      </w:r>
    </w:p>
    <w:p w14:paraId="04C8E82E" w14:textId="0586077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Historical covariate data available for the full modelling period (2000 - present) or longer.</w:t>
      </w:r>
    </w:p>
    <w:p w14:paraId="2A7FDED7" w14:textId="0886E6D9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 xml:space="preserve">External </w:t>
      </w:r>
      <w:r w:rsidR="0004598B" w:rsidRPr="0038361B">
        <w:rPr>
          <w:rFonts w:asciiTheme="majorBidi" w:hAnsiTheme="majorBidi" w:cstheme="majorBidi"/>
          <w:color w:val="1A1A1A"/>
        </w:rPr>
        <w:t>cov</w:t>
      </w:r>
      <w:r w:rsidR="0004598B">
        <w:rPr>
          <w:rFonts w:asciiTheme="majorBidi" w:hAnsiTheme="majorBidi" w:cstheme="majorBidi"/>
          <w:color w:val="1A1A1A"/>
        </w:rPr>
        <w:t>a</w:t>
      </w:r>
      <w:r w:rsidR="0004598B" w:rsidRPr="0038361B">
        <w:rPr>
          <w:rFonts w:asciiTheme="majorBidi" w:hAnsiTheme="majorBidi" w:cstheme="majorBidi"/>
          <w:color w:val="1A1A1A"/>
        </w:rPr>
        <w:t>riate</w:t>
      </w:r>
      <w:r w:rsidRPr="0038361B">
        <w:rPr>
          <w:rFonts w:asciiTheme="majorBidi" w:hAnsiTheme="majorBidi" w:cstheme="majorBidi"/>
          <w:color w:val="1A1A1A"/>
        </w:rPr>
        <w:t xml:space="preserve"> projections or plausible scenarios available for the full forecast horizon.</w:t>
      </w:r>
    </w:p>
    <w:p w14:paraId="0694A571" w14:textId="50C1B692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Empirical test confirms covariate adds predictive value over the baseline univariate model.</w:t>
      </w:r>
    </w:p>
    <w:p w14:paraId="0F9B9088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i/>
          <w:iCs/>
          <w:color w:val="1A1A1A"/>
        </w:rPr>
        <w:t>Report partial R², delta RMSE, delta CRPS, or AIC/BIC improvement. Default threshold: &lt; 5% RMSE reduction → retain unconditional model as primary. Threshold may be adapted based on domain tolerance; document chosen threshold.</w:t>
      </w:r>
    </w:p>
    <w:p w14:paraId="5E0478E3" w14:textId="576D386A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N &lt; 30 annual observations: restrict covariate functional complexity to linear term or low-df spline (k ≤ 3).</w:t>
      </w:r>
    </w:p>
    <w:p w14:paraId="6C9E813E" w14:textId="472C9046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Pre-specify whether model is predictive or causal; if causal, document identification assumptions.</w:t>
      </w:r>
    </w:p>
    <w:p w14:paraId="17D10D21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K2 Candidate Covariate Selection &amp; Preprocessing</w:t>
      </w:r>
    </w:p>
    <w:p w14:paraId="49F16A27" w14:textId="1F19D2A6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List all candidate covariates with biological / epidemiological rationale. Conduct a rapid review to identify prognostic factors associated with the disease area</w:t>
      </w:r>
      <w:r w:rsidRPr="0038361B">
        <w:rPr>
          <w:rFonts w:asciiTheme="majorBidi" w:hAnsiTheme="majorBidi" w:cstheme="majorBidi"/>
          <w:i/>
          <w:iCs/>
          <w:color w:val="1A1A1A"/>
        </w:rPr>
        <w:t>.</w:t>
      </w:r>
    </w:p>
    <w:p w14:paraId="4D8238BA" w14:textId="38C1877D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Decide lag structure upfront; justify biologically plausible lag window (e.g. smoking lag 5- 15 yr for SCLC).</w:t>
      </w:r>
    </w:p>
    <w:p w14:paraId="17C71A41" w14:textId="4CD6053E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Align covariates to the same calendar units as outcome, document interpolation for missing years.</w:t>
      </w:r>
    </w:p>
    <w:p w14:paraId="4C46EB8E" w14:textId="4F2FA050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Standardize all covariates; record scaling method (z-score / min-max / none).</w:t>
      </w:r>
    </w:p>
    <w:p w14:paraId="57C78C6A" w14:textId="5C1B63F2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Assess collinearity (VIF or pairwise correlation matrix); document action for collinear predictors (PCA, pooling, or principled exclusion).</w:t>
      </w:r>
    </w:p>
    <w:p w14:paraId="1D629294" w14:textId="2F316767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Document source, version, and access date for every covariate dataset.</w:t>
      </w:r>
    </w:p>
    <w:p w14:paraId="699E09F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K3 Model Specification with Covariates</w:t>
      </w:r>
    </w:p>
    <w:p w14:paraId="6EF1062B" w14:textId="077554BD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Count data: Poisson or negative-binomial regression with offset = log(population).</w:t>
      </w:r>
    </w:p>
    <w:p w14:paraId="2F869DBA" w14:textId="35763898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Rate data: GAM or Bayesian GAM with covariate smooth terms (low-k).</w:t>
      </w:r>
    </w:p>
    <w:p w14:paraId="5A5DB705" w14:textId="700AC4A0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 xml:space="preserve">For GAMs: run </w:t>
      </w:r>
      <w:proofErr w:type="spellStart"/>
      <w:r w:rsidRPr="0038361B">
        <w:rPr>
          <w:rFonts w:asciiTheme="majorBidi" w:hAnsiTheme="majorBidi" w:cstheme="majorBidi"/>
          <w:color w:val="1A1A1A"/>
        </w:rPr>
        <w:t>mgcv</w:t>
      </w:r>
      <w:proofErr w:type="spellEnd"/>
      <w:r w:rsidRPr="0038361B">
        <w:rPr>
          <w:rFonts w:asciiTheme="majorBidi" w:hAnsiTheme="majorBidi" w:cstheme="majorBidi"/>
          <w:color w:val="1A1A1A"/>
        </w:rPr>
        <w:t>::</w:t>
      </w:r>
      <w:proofErr w:type="spellStart"/>
      <w:r w:rsidRPr="0038361B">
        <w:rPr>
          <w:rFonts w:asciiTheme="majorBidi" w:hAnsiTheme="majorBidi" w:cstheme="majorBidi"/>
          <w:color w:val="1A1A1A"/>
        </w:rPr>
        <w:t>concurvity</w:t>
      </w:r>
      <w:proofErr w:type="spellEnd"/>
      <w:r w:rsidRPr="0038361B">
        <w:rPr>
          <w:rFonts w:asciiTheme="majorBidi" w:hAnsiTheme="majorBidi" w:cstheme="majorBidi"/>
          <w:color w:val="1A1A1A"/>
        </w:rPr>
        <w:t>() - values &gt; 0.8 indicate problematic concavity; simplify or pool predictors.</w:t>
      </w:r>
    </w:p>
    <w:p w14:paraId="58431B79" w14:textId="1C78968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Bayesian models: document weakly informative priors on covariate coefficients (Student-t(3, 0, 2.5)); run prior predictive checks before fitting.</w:t>
      </w:r>
    </w:p>
    <w:p w14:paraId="2181D6F0" w14:textId="0682F94D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BSTS: apply spike-and-slab variable selection; report posterior inclusion probabilities per covariate.</w:t>
      </w:r>
    </w:p>
    <w:p w14:paraId="0D1F70D5" w14:textId="24C1B3A7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Formally diagnose overdispersion (deviance/df &gt;&gt; 1 → prefer negative-binomial).</w:t>
      </w:r>
    </w:p>
    <w:p w14:paraId="0A386556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lastRenderedPageBreak/>
        <w:t>K4 Covariate Forecast Scenarios &amp; Uncertainty Propagation</w:t>
      </w:r>
    </w:p>
    <w:p w14:paraId="3094526F" w14:textId="7F261180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Define ≥ 3 covariate projection scenarios: central / optimistic / pessimistic.</w:t>
      </w:r>
    </w:p>
    <w:p w14:paraId="452B3D06" w14:textId="5C98491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Source each scenario from a published projection or expert elicitation; archive source and access date.</w:t>
      </w:r>
    </w:p>
    <w:p w14:paraId="26D0DAB6" w14:textId="51344AA4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Propagate covariate uncertainty into outcome intervals: joint modelling (Option A) or simulation ≥ 1,000 paths (Option B).</w:t>
      </w:r>
    </w:p>
    <w:p w14:paraId="237CD9F9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K5 Evaluation Against Unconditional Baseline</w:t>
      </w:r>
    </w:p>
    <w:p w14:paraId="07C2DF4E" w14:textId="66CDFD0A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Run unconditional baseline (Sections D- E) alongside all covariate-adjusted models.</w:t>
      </w:r>
    </w:p>
    <w:p w14:paraId="59FD6F81" w14:textId="22B343BB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Tabulate delta RMSE and delta CRPS; if both &lt; 5%, retain unconditional model as primary.</w:t>
      </w:r>
    </w:p>
    <w:p w14:paraId="6AAB7C3B" w14:textId="19A291AA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Sensitivity analysis: re-run with/without each covariate individually; report marginal accuracy impact.</w:t>
      </w:r>
    </w:p>
    <w:p w14:paraId="4FC9D181" w14:textId="76B208B5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For BSTS: report which covariates achieved posterior inclusion probability &gt; 0.5 and summarize marginal effects.</w:t>
      </w:r>
    </w:p>
    <w:p w14:paraId="0C771530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b/>
          <w:bCs/>
          <w:color w:val="1A1A1A"/>
        </w:rPr>
        <w:t>K6 Reporting Requirements</w:t>
      </w:r>
    </w:p>
    <w:p w14:paraId="4F748550" w14:textId="0714D37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Present conditional and unconditional forecasts in separate, clearly labelled panels or table columns.</w:t>
      </w:r>
    </w:p>
    <w:p w14:paraId="442B34B7" w14:textId="074BD5AF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Label every conditional forecast with its explicit covariate-path assumption.</w:t>
      </w:r>
    </w:p>
    <w:p w14:paraId="4892247A" w14:textId="63CF9C00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Include partial-effect plots for key covariates with 95% CIs in a supplementary figure.</w:t>
      </w:r>
    </w:p>
    <w:p w14:paraId="298E278D" w14:textId="6382A081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Include performance comparison table: unconditional vs covariate-adjusted RMSE, CRPS, 95% CI width at 1, 5, 15-year horizons.</w:t>
      </w:r>
    </w:p>
    <w:p w14:paraId="4D900DC9" w14:textId="33192A7D" w:rsidR="0038361B" w:rsidRPr="0038361B" w:rsidRDefault="0038361B" w:rsidP="0038361B">
      <w:pPr>
        <w:numPr>
          <w:ilvl w:val="0"/>
          <w:numId w:val="5"/>
        </w:numPr>
        <w:spacing w:before="40" w:after="20" w:line="240" w:lineRule="auto"/>
        <w:rPr>
          <w:rFonts w:asciiTheme="majorBidi" w:hAnsiTheme="majorBidi" w:cstheme="majorBidi"/>
          <w:color w:val="1A1A1A"/>
        </w:rPr>
      </w:pPr>
      <w:r w:rsidRPr="0038361B">
        <w:rPr>
          <w:rFonts w:asciiTheme="majorBidi" w:hAnsiTheme="majorBidi" w:cstheme="majorBidi"/>
          <w:color w:val="1A1A1A"/>
        </w:rPr>
        <w:t>Include covariate uncertainty table: per-horizon variance decomposition.</w:t>
      </w:r>
    </w:p>
    <w:p w14:paraId="4CEE3ADC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6A54F837" w14:textId="77777777" w:rsidR="0038361B" w:rsidRPr="0038361B" w:rsidRDefault="0038361B" w:rsidP="0038361B">
      <w:pPr>
        <w:spacing w:before="40" w:after="20" w:line="240" w:lineRule="auto"/>
        <w:rPr>
          <w:rFonts w:asciiTheme="majorBidi" w:hAnsiTheme="majorBidi" w:cstheme="majorBidi"/>
          <w:color w:val="1A1A1A"/>
        </w:rPr>
      </w:pPr>
    </w:p>
    <w:p w14:paraId="4A83A9C9" w14:textId="77777777" w:rsidR="003B69F9" w:rsidRPr="003B69F9" w:rsidRDefault="003B69F9" w:rsidP="003B69F9">
      <w:pPr>
        <w:spacing w:before="40" w:after="20" w:line="240" w:lineRule="auto"/>
        <w:rPr>
          <w:rFonts w:asciiTheme="majorBidi" w:hAnsiTheme="majorBidi" w:cstheme="majorBidi"/>
          <w:color w:val="1A1A1A"/>
        </w:rPr>
      </w:pPr>
    </w:p>
    <w:sectPr w:rsidR="003B69F9" w:rsidRPr="003B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F9F"/>
    <w:multiLevelType w:val="hybridMultilevel"/>
    <w:tmpl w:val="F33CF184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045735"/>
    <w:multiLevelType w:val="hybridMultilevel"/>
    <w:tmpl w:val="1166CBC0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2046135"/>
    <w:multiLevelType w:val="hybridMultilevel"/>
    <w:tmpl w:val="9AEE1F54"/>
    <w:lvl w:ilvl="0" w:tplc="CD5822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07F0"/>
    <w:multiLevelType w:val="hybridMultilevel"/>
    <w:tmpl w:val="44BC767E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7D506FE"/>
    <w:multiLevelType w:val="hybridMultilevel"/>
    <w:tmpl w:val="B82871BC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1CB108B"/>
    <w:multiLevelType w:val="hybridMultilevel"/>
    <w:tmpl w:val="93127C2E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B267B"/>
    <w:multiLevelType w:val="hybridMultilevel"/>
    <w:tmpl w:val="FEE4F4BE"/>
    <w:lvl w:ilvl="0" w:tplc="CD5822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03F43"/>
    <w:multiLevelType w:val="hybridMultilevel"/>
    <w:tmpl w:val="84A8A4F4"/>
    <w:lvl w:ilvl="0" w:tplc="CD5822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</w:rPr>
    </w:lvl>
    <w:lvl w:ilvl="1" w:tplc="FFFFFFFF">
      <w:start w:val="1"/>
      <w:numFmt w:val="bullet"/>
      <w:lvlText w:val="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7C710E"/>
    <w:multiLevelType w:val="hybridMultilevel"/>
    <w:tmpl w:val="1116DA74"/>
    <w:lvl w:ilvl="0" w:tplc="CD5822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90DEF"/>
    <w:multiLevelType w:val="hybridMultilevel"/>
    <w:tmpl w:val="71EE2A26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43A67"/>
    <w:multiLevelType w:val="hybridMultilevel"/>
    <w:tmpl w:val="A01CC282"/>
    <w:lvl w:ilvl="0" w:tplc="CD5822B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E5C0C3F"/>
    <w:multiLevelType w:val="hybridMultilevel"/>
    <w:tmpl w:val="F33CECF6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24F1274"/>
    <w:multiLevelType w:val="hybridMultilevel"/>
    <w:tmpl w:val="7AAA306A"/>
    <w:lvl w:ilvl="0" w:tplc="1B5842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29CF"/>
    <w:multiLevelType w:val="hybridMultilevel"/>
    <w:tmpl w:val="C2EEA316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C56898BC">
      <w:start w:val="1"/>
      <w:numFmt w:val="bullet"/>
      <w:lvlText w:val=""/>
      <w:lvlJc w:val="left"/>
      <w:pPr>
        <w:ind w:left="990" w:hanging="360"/>
      </w:pPr>
    </w:lvl>
    <w:lvl w:ilvl="2" w:tplc="E0549176">
      <w:numFmt w:val="decimal"/>
      <w:lvlText w:val=""/>
      <w:lvlJc w:val="left"/>
    </w:lvl>
    <w:lvl w:ilvl="3" w:tplc="EECEEAF8">
      <w:numFmt w:val="decimal"/>
      <w:lvlText w:val=""/>
      <w:lvlJc w:val="left"/>
    </w:lvl>
    <w:lvl w:ilvl="4" w:tplc="D17075FE">
      <w:numFmt w:val="decimal"/>
      <w:lvlText w:val=""/>
      <w:lvlJc w:val="left"/>
    </w:lvl>
    <w:lvl w:ilvl="5" w:tplc="F216F5C8">
      <w:numFmt w:val="decimal"/>
      <w:lvlText w:val=""/>
      <w:lvlJc w:val="left"/>
    </w:lvl>
    <w:lvl w:ilvl="6" w:tplc="85FCBC54">
      <w:numFmt w:val="decimal"/>
      <w:lvlText w:val=""/>
      <w:lvlJc w:val="left"/>
    </w:lvl>
    <w:lvl w:ilvl="7" w:tplc="8B58244C">
      <w:numFmt w:val="decimal"/>
      <w:lvlText w:val=""/>
      <w:lvlJc w:val="left"/>
    </w:lvl>
    <w:lvl w:ilvl="8" w:tplc="C696F0EA">
      <w:numFmt w:val="decimal"/>
      <w:lvlText w:val=""/>
      <w:lvlJc w:val="left"/>
    </w:lvl>
  </w:abstractNum>
  <w:abstractNum w:abstractNumId="14" w15:restartNumberingAfterBreak="0">
    <w:nsid w:val="492F58C0"/>
    <w:multiLevelType w:val="hybridMultilevel"/>
    <w:tmpl w:val="272C3026"/>
    <w:lvl w:ilvl="0" w:tplc="CD5822B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9CB34AF"/>
    <w:multiLevelType w:val="hybridMultilevel"/>
    <w:tmpl w:val="A20ACAFA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5321888"/>
    <w:multiLevelType w:val="hybridMultilevel"/>
    <w:tmpl w:val="F4F63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96663"/>
    <w:multiLevelType w:val="hybridMultilevel"/>
    <w:tmpl w:val="80CC7364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BBA42E2"/>
    <w:multiLevelType w:val="hybridMultilevel"/>
    <w:tmpl w:val="FC0871E2"/>
    <w:lvl w:ilvl="0" w:tplc="CD5822B6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DCB71D9"/>
    <w:multiLevelType w:val="hybridMultilevel"/>
    <w:tmpl w:val="E0A4991C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53EDD"/>
    <w:multiLevelType w:val="hybridMultilevel"/>
    <w:tmpl w:val="BFD83276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1D568CF"/>
    <w:multiLevelType w:val="hybridMultilevel"/>
    <w:tmpl w:val="498E5FEE"/>
    <w:lvl w:ilvl="0" w:tplc="CD5822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A457F"/>
    <w:multiLevelType w:val="hybridMultilevel"/>
    <w:tmpl w:val="F7B449F0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02ABA"/>
    <w:multiLevelType w:val="hybridMultilevel"/>
    <w:tmpl w:val="AB4CF6AA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965EC"/>
    <w:multiLevelType w:val="hybridMultilevel"/>
    <w:tmpl w:val="DC7898FE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E086C"/>
    <w:multiLevelType w:val="hybridMultilevel"/>
    <w:tmpl w:val="71288278"/>
    <w:lvl w:ilvl="0" w:tplc="CD5822B6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591234930">
    <w:abstractNumId w:val="12"/>
  </w:num>
  <w:num w:numId="2" w16cid:durableId="567230051">
    <w:abstractNumId w:val="2"/>
  </w:num>
  <w:num w:numId="3" w16cid:durableId="1503624004">
    <w:abstractNumId w:val="13"/>
    <w:lvlOverride w:ilvl="0">
      <w:startOverride w:val="1"/>
    </w:lvlOverride>
  </w:num>
  <w:num w:numId="4" w16cid:durableId="1823504226">
    <w:abstractNumId w:val="8"/>
  </w:num>
  <w:num w:numId="5" w16cid:durableId="977497149">
    <w:abstractNumId w:val="13"/>
  </w:num>
  <w:num w:numId="6" w16cid:durableId="595938992">
    <w:abstractNumId w:val="13"/>
  </w:num>
  <w:num w:numId="7" w16cid:durableId="848253405">
    <w:abstractNumId w:val="7"/>
  </w:num>
  <w:num w:numId="8" w16cid:durableId="1294290052">
    <w:abstractNumId w:val="10"/>
  </w:num>
  <w:num w:numId="9" w16cid:durableId="1800952299">
    <w:abstractNumId w:val="14"/>
  </w:num>
  <w:num w:numId="10" w16cid:durableId="1459185275">
    <w:abstractNumId w:val="18"/>
  </w:num>
  <w:num w:numId="11" w16cid:durableId="2108111248">
    <w:abstractNumId w:val="16"/>
  </w:num>
  <w:num w:numId="12" w16cid:durableId="1239286936">
    <w:abstractNumId w:val="23"/>
  </w:num>
  <w:num w:numId="13" w16cid:durableId="2093041192">
    <w:abstractNumId w:val="11"/>
  </w:num>
  <w:num w:numId="14" w16cid:durableId="300155393">
    <w:abstractNumId w:val="5"/>
  </w:num>
  <w:num w:numId="15" w16cid:durableId="1727604245">
    <w:abstractNumId w:val="9"/>
  </w:num>
  <w:num w:numId="16" w16cid:durableId="1660497674">
    <w:abstractNumId w:val="15"/>
  </w:num>
  <w:num w:numId="17" w16cid:durableId="968315932">
    <w:abstractNumId w:val="24"/>
  </w:num>
  <w:num w:numId="18" w16cid:durableId="1298298449">
    <w:abstractNumId w:val="20"/>
  </w:num>
  <w:num w:numId="19" w16cid:durableId="348989614">
    <w:abstractNumId w:val="19"/>
  </w:num>
  <w:num w:numId="20" w16cid:durableId="785544135">
    <w:abstractNumId w:val="22"/>
  </w:num>
  <w:num w:numId="21" w16cid:durableId="287317807">
    <w:abstractNumId w:val="4"/>
  </w:num>
  <w:num w:numId="22" w16cid:durableId="435903223">
    <w:abstractNumId w:val="0"/>
  </w:num>
  <w:num w:numId="23" w16cid:durableId="331761835">
    <w:abstractNumId w:val="1"/>
  </w:num>
  <w:num w:numId="24" w16cid:durableId="1989818558">
    <w:abstractNumId w:val="6"/>
  </w:num>
  <w:num w:numId="25" w16cid:durableId="2077968812">
    <w:abstractNumId w:val="25"/>
  </w:num>
  <w:num w:numId="26" w16cid:durableId="1710954205">
    <w:abstractNumId w:val="21"/>
  </w:num>
  <w:num w:numId="27" w16cid:durableId="1284268107">
    <w:abstractNumId w:val="17"/>
  </w:num>
  <w:num w:numId="28" w16cid:durableId="35488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48"/>
    <w:rsid w:val="0004598B"/>
    <w:rsid w:val="003247D8"/>
    <w:rsid w:val="0038361B"/>
    <w:rsid w:val="003B69F9"/>
    <w:rsid w:val="003F7D98"/>
    <w:rsid w:val="00437314"/>
    <w:rsid w:val="004711F6"/>
    <w:rsid w:val="00526655"/>
    <w:rsid w:val="00717577"/>
    <w:rsid w:val="00AE1D48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18AF"/>
  <w15:chartTrackingRefBased/>
  <w15:docId w15:val="{CC4EF5AA-7F3C-4036-89F4-A05D91D6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D4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E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D48"/>
    <w:rPr>
      <w:b/>
      <w:bCs/>
      <w:smallCaps/>
      <w:color w:val="0F4761" w:themeColor="accent1" w:themeShade="BF"/>
      <w:spacing w:val="5"/>
    </w:rPr>
  </w:style>
  <w:style w:type="table" w:styleId="ListTable3-Accent3">
    <w:name w:val="List Table 3 Accent 3"/>
    <w:basedOn w:val="TableNormal"/>
    <w:uiPriority w:val="48"/>
    <w:rsid w:val="0071757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71757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2146</Words>
  <Characters>13091</Characters>
  <Application>Microsoft Office Word</Application>
  <DocSecurity>0</DocSecurity>
  <Lines>272</Lines>
  <Paragraphs>227</Paragraphs>
  <ScaleCrop>false</ScaleCrop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Saswata Paul Choudhury</dc:creator>
  <cp:keywords/>
  <dc:description/>
  <cp:lastModifiedBy>Saswata Paul Choudhury</cp:lastModifiedBy>
  <cp:revision>7</cp:revision>
  <dcterms:created xsi:type="dcterms:W3CDTF">2026-03-09T05:54:00Z</dcterms:created>
  <dcterms:modified xsi:type="dcterms:W3CDTF">2026-03-09T06:38:00Z</dcterms:modified>
</cp:coreProperties>
</file>