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647D5" w14:textId="77777777" w:rsidR="00BE5B9B" w:rsidRPr="00BC0481" w:rsidRDefault="00BE5B9B" w:rsidP="00BE5B9B">
      <w:pPr>
        <w:adjustRightInd w:val="0"/>
        <w:snapToGrid w:val="0"/>
        <w:spacing w:line="480" w:lineRule="auto"/>
        <w:rPr>
          <w:b/>
          <w:bCs/>
        </w:rPr>
      </w:pPr>
      <w:r w:rsidRPr="00BC0481">
        <w:rPr>
          <w:b/>
          <w:bCs/>
        </w:rPr>
        <w:t>Supplementary Information</w:t>
      </w:r>
    </w:p>
    <w:p w14:paraId="76CE8653" w14:textId="77777777" w:rsidR="00BE5B9B" w:rsidRDefault="00BE5B9B" w:rsidP="00BE5B9B">
      <w:pPr>
        <w:adjustRightInd w:val="0"/>
        <w:snapToGrid w:val="0"/>
        <w:spacing w:line="480" w:lineRule="auto"/>
        <w:rPr>
          <w:rFonts w:ascii="Times New Roman" w:hAnsi="Times New Roman" w:cs="Times New Roman"/>
          <w:b/>
          <w:i/>
          <w:color w:val="000000" w:themeColor="text1"/>
        </w:rPr>
      </w:pPr>
    </w:p>
    <w:p w14:paraId="6C041716" w14:textId="77777777" w:rsidR="00BE5B9B" w:rsidRPr="00357258" w:rsidRDefault="00BE5B9B" w:rsidP="00BE5B9B">
      <w:pPr>
        <w:adjustRightInd w:val="0"/>
        <w:snapToGrid w:val="0"/>
        <w:spacing w:line="480" w:lineRule="auto"/>
        <w:rPr>
          <w:rFonts w:ascii="Times New Roman" w:hAnsi="Times New Roman" w:cs="Times New Roman"/>
        </w:rPr>
      </w:pPr>
      <w:r w:rsidRPr="00357258">
        <w:rPr>
          <w:rFonts w:ascii="Times New Roman" w:hAnsi="Times New Roman" w:cs="Times New Roman"/>
          <w:b/>
          <w:bCs/>
        </w:rPr>
        <w:t>Supplementary Figure S1. PCR validation of annotated intron</w:t>
      </w:r>
      <w:r w:rsidRPr="00357258">
        <w:rPr>
          <w:rFonts w:ascii="Times New Roman" w:hAnsi="Times New Roman" w:cs="Times New Roman"/>
          <w:b/>
          <w:bCs/>
        </w:rPr>
        <w:noBreakHyphen/>
        <w:t xml:space="preserve">containing genes in </w:t>
      </w:r>
      <w:r w:rsidRPr="00357258">
        <w:rPr>
          <w:rFonts w:ascii="Times New Roman" w:hAnsi="Times New Roman" w:cs="Times New Roman"/>
          <w:b/>
          <w:bCs/>
          <w:i/>
          <w:iCs/>
        </w:rPr>
        <w:t>T. vaginalis</w:t>
      </w:r>
      <w:r w:rsidRPr="00357258">
        <w:rPr>
          <w:rFonts w:ascii="Times New Roman" w:hAnsi="Times New Roman" w:cs="Times New Roman"/>
          <w:b/>
          <w:bCs/>
        </w:rPr>
        <w:t>.</w:t>
      </w:r>
      <w:r w:rsidRPr="00357258">
        <w:rPr>
          <w:rFonts w:ascii="Times New Roman" w:hAnsi="Times New Roman" w:cs="Times New Roman"/>
        </w:rPr>
        <w:t xml:space="preserve"> </w:t>
      </w:r>
    </w:p>
    <w:p w14:paraId="73F6876C" w14:textId="77777777" w:rsidR="00BE5B9B" w:rsidRPr="00357258" w:rsidRDefault="00BE5B9B" w:rsidP="00BE5B9B">
      <w:pPr>
        <w:adjustRightInd w:val="0"/>
        <w:snapToGrid w:val="0"/>
        <w:spacing w:line="480" w:lineRule="auto"/>
        <w:rPr>
          <w:rFonts w:ascii="Times New Roman" w:hAnsi="Times New Roman" w:cs="Times New Roman"/>
          <w:b/>
          <w:i/>
          <w:color w:val="000000" w:themeColor="text1"/>
        </w:rPr>
      </w:pPr>
      <w:r w:rsidRPr="00357258">
        <w:rPr>
          <w:rFonts w:ascii="Times New Roman" w:hAnsi="Times New Roman" w:cs="Times New Roman"/>
        </w:rPr>
        <w:t>Agarose</w:t>
      </w:r>
      <w:r w:rsidRPr="00357258">
        <w:rPr>
          <w:rFonts w:ascii="Times New Roman" w:hAnsi="Times New Roman" w:cs="Times New Roman"/>
        </w:rPr>
        <w:noBreakHyphen/>
        <w:t>gel electrophoresis of PCR amplicons generated from genomic DNA (gDNA) and cDNA templates. Each panel corresponds to one of the 31 reference intron</w:t>
      </w:r>
      <w:r w:rsidRPr="00357258">
        <w:rPr>
          <w:rFonts w:ascii="Times New Roman" w:hAnsi="Times New Roman" w:cs="Times New Roman"/>
        </w:rPr>
        <w:noBreakHyphen/>
        <w:t xml:space="preserve">bearing genes, with expected amplicon sizes (gDNA | cDNA, in base pairs) indicated below the gene IDs. For every gene, the left lane shows the gDNA amplicon, and the right lane shows the cDNA amplicon; a synthetic DNA ladder is provided on the far right for size reference. For the majority of candidates, bands of the expected sizes confirm the genomic presence of the annotated introns and the successful splicing of the transcripts. The absence of cDNA or gDNA amplicons in specific panels (e.g., </w:t>
      </w:r>
      <w:r w:rsidRPr="00357258">
        <w:rPr>
          <w:rFonts w:ascii="Times New Roman" w:hAnsi="Times New Roman" w:cs="Times New Roman"/>
          <w:i/>
          <w:iCs/>
        </w:rPr>
        <w:t>TVAGG3_0536040</w:t>
      </w:r>
      <w:r w:rsidRPr="00357258">
        <w:rPr>
          <w:rFonts w:ascii="Times New Roman" w:hAnsi="Times New Roman" w:cs="Times New Roman"/>
        </w:rPr>
        <w:t xml:space="preserve">, </w:t>
      </w:r>
      <w:r w:rsidRPr="00357258">
        <w:rPr>
          <w:rFonts w:ascii="Times New Roman" w:hAnsi="Times New Roman" w:cs="Times New Roman"/>
          <w:i/>
          <w:iCs/>
        </w:rPr>
        <w:t>TVAGG3_0511450</w:t>
      </w:r>
      <w:r w:rsidRPr="00357258">
        <w:rPr>
          <w:rFonts w:ascii="Times New Roman" w:hAnsi="Times New Roman" w:cs="Times New Roman"/>
        </w:rPr>
        <w:t xml:space="preserve">) corresponds to genes lacking detectable expression or amplification under the assayed conditions, which is consistent with the transcriptomic evidence summarized in </w:t>
      </w:r>
      <w:r w:rsidRPr="00357258">
        <w:rPr>
          <w:rFonts w:ascii="Times New Roman" w:hAnsi="Times New Roman" w:cs="Times New Roman"/>
          <w:b/>
          <w:bCs/>
        </w:rPr>
        <w:t>Supplementary Table S1</w:t>
      </w:r>
      <w:r w:rsidRPr="00357258">
        <w:rPr>
          <w:rFonts w:ascii="Times New Roman" w:hAnsi="Times New Roman" w:cs="Times New Roman"/>
        </w:rPr>
        <w:t>.</w:t>
      </w:r>
    </w:p>
    <w:p w14:paraId="53B631BE" w14:textId="77777777" w:rsidR="00BE5B9B" w:rsidRPr="00357258" w:rsidRDefault="00BE5B9B" w:rsidP="00BE5B9B">
      <w:pPr>
        <w:adjustRightInd w:val="0"/>
        <w:snapToGrid w:val="0"/>
        <w:spacing w:line="480" w:lineRule="auto"/>
        <w:rPr>
          <w:rFonts w:ascii="Times New Roman" w:hAnsi="Times New Roman" w:cs="Times New Roman"/>
          <w:b/>
          <w:i/>
          <w:color w:val="000000" w:themeColor="text1"/>
        </w:rPr>
      </w:pPr>
    </w:p>
    <w:p w14:paraId="0F9F3B70" w14:textId="77777777" w:rsidR="00BE5B9B" w:rsidRPr="00357258" w:rsidRDefault="00BE5B9B" w:rsidP="00BE5B9B">
      <w:pPr>
        <w:adjustRightInd w:val="0"/>
        <w:snapToGrid w:val="0"/>
        <w:spacing w:line="480" w:lineRule="auto"/>
        <w:rPr>
          <w:rFonts w:ascii="Times New Roman" w:hAnsi="Times New Roman" w:cs="Times New Roman"/>
        </w:rPr>
      </w:pPr>
      <w:r w:rsidRPr="00357258">
        <w:rPr>
          <w:rFonts w:ascii="Times New Roman" w:hAnsi="Times New Roman" w:cs="Times New Roman"/>
          <w:b/>
          <w:bCs/>
        </w:rPr>
        <w:t>Supplementary Figure S2. Transcriptomic coverage profiles of the 31 reference intron-containing genes.</w:t>
      </w:r>
      <w:r w:rsidRPr="00357258">
        <w:rPr>
          <w:rFonts w:ascii="Times New Roman" w:hAnsi="Times New Roman" w:cs="Times New Roman"/>
        </w:rPr>
        <w:t xml:space="preserve"> </w:t>
      </w:r>
    </w:p>
    <w:p w14:paraId="6AB8035D" w14:textId="77777777" w:rsidR="00BE5B9B" w:rsidRPr="00357258" w:rsidRDefault="00BE5B9B" w:rsidP="00BE5B9B">
      <w:pPr>
        <w:adjustRightInd w:val="0"/>
        <w:snapToGrid w:val="0"/>
        <w:spacing w:line="480" w:lineRule="auto"/>
        <w:rPr>
          <w:rFonts w:ascii="Times New Roman" w:hAnsi="Times New Roman" w:cs="Times New Roman"/>
          <w:sz w:val="20"/>
          <w:szCs w:val="20"/>
        </w:rPr>
      </w:pPr>
      <w:r w:rsidRPr="00357258">
        <w:rPr>
          <w:rFonts w:ascii="Times New Roman" w:hAnsi="Times New Roman" w:cs="Times New Roman"/>
        </w:rPr>
        <w:t xml:space="preserve">Integrative Genomics Viewer (IGV) snapshots displaying read alignments across the 31 annotated loci in </w:t>
      </w:r>
      <w:r w:rsidRPr="00357258">
        <w:rPr>
          <w:rFonts w:ascii="Times New Roman" w:hAnsi="Times New Roman" w:cs="Times New Roman"/>
          <w:i/>
          <w:iCs/>
        </w:rPr>
        <w:t>T. vaginalis</w:t>
      </w:r>
      <w:r w:rsidRPr="00357258">
        <w:rPr>
          <w:rFonts w:ascii="Times New Roman" w:hAnsi="Times New Roman" w:cs="Times New Roman"/>
        </w:rPr>
        <w:t>. For each gene panel, the alignment tracks from top to bottom represent Illumina short reads (SR), Nanopore cDNA reads (cDNA), and Nanopore direct RNA reads (DRS). The bottom tracks denote the reference gene models. Split-read alignments and coverage gaps consistently define the intron boundaries across multiple datasets. In concordance with the PCR validation (</w:t>
      </w:r>
      <w:r w:rsidRPr="00357258">
        <w:rPr>
          <w:rFonts w:ascii="Times New Roman" w:hAnsi="Times New Roman" w:cs="Times New Roman"/>
          <w:b/>
          <w:bCs/>
        </w:rPr>
        <w:t>Supplementary Figure S1</w:t>
      </w:r>
      <w:r w:rsidRPr="00357258">
        <w:rPr>
          <w:rFonts w:ascii="Times New Roman" w:hAnsi="Times New Roman" w:cs="Times New Roman"/>
        </w:rPr>
        <w:t xml:space="preserve">), specific loci </w:t>
      </w:r>
      <w:r w:rsidRPr="00357258">
        <w:rPr>
          <w:rFonts w:ascii="Times New Roman" w:hAnsi="Times New Roman" w:cs="Times New Roman"/>
        </w:rPr>
        <w:lastRenderedPageBreak/>
        <w:t xml:space="preserve">(e.g., </w:t>
      </w:r>
      <w:r w:rsidRPr="00357258">
        <w:rPr>
          <w:rFonts w:ascii="Times New Roman" w:hAnsi="Times New Roman" w:cs="Times New Roman"/>
          <w:i/>
          <w:iCs/>
        </w:rPr>
        <w:t>TVAGG3_0511450</w:t>
      </w:r>
      <w:r w:rsidRPr="00357258">
        <w:rPr>
          <w:rFonts w:ascii="Times New Roman" w:hAnsi="Times New Roman" w:cs="Times New Roman"/>
        </w:rPr>
        <w:t xml:space="preserve"> and </w:t>
      </w:r>
      <w:r w:rsidRPr="00357258">
        <w:rPr>
          <w:rFonts w:ascii="Times New Roman" w:hAnsi="Times New Roman" w:cs="Times New Roman"/>
          <w:i/>
          <w:iCs/>
        </w:rPr>
        <w:t>TVAGG3_0536040</w:t>
      </w:r>
      <w:r w:rsidRPr="00357258">
        <w:rPr>
          <w:rFonts w:ascii="Times New Roman" w:hAnsi="Times New Roman" w:cs="Times New Roman"/>
        </w:rPr>
        <w:t>) exhibit minimal to no detectable transcriptomic coverage, correlating directly with their lack of cDNA amplification.</w:t>
      </w:r>
    </w:p>
    <w:p w14:paraId="3065F229" w14:textId="77777777" w:rsidR="00BE5B9B" w:rsidRPr="00357258" w:rsidRDefault="00BE5B9B" w:rsidP="00BE5B9B">
      <w:pPr>
        <w:adjustRightInd w:val="0"/>
        <w:snapToGrid w:val="0"/>
        <w:spacing w:line="480" w:lineRule="auto"/>
        <w:jc w:val="center"/>
        <w:rPr>
          <w:rFonts w:ascii="Times New Roman" w:hAnsi="Times New Roman" w:cs="Times New Roman"/>
          <w:color w:val="0D0D0D"/>
          <w:shd w:val="clear" w:color="auto" w:fill="FFFFFF"/>
        </w:rPr>
      </w:pPr>
    </w:p>
    <w:p w14:paraId="5207CD89" w14:textId="77777777" w:rsidR="00BE5B9B" w:rsidRPr="00357258" w:rsidRDefault="00BE5B9B" w:rsidP="00BE5B9B">
      <w:pPr>
        <w:adjustRightInd w:val="0"/>
        <w:snapToGrid w:val="0"/>
        <w:spacing w:line="480" w:lineRule="auto"/>
        <w:rPr>
          <w:rFonts w:ascii="Times New Roman" w:hAnsi="Times New Roman" w:cs="Times New Roman"/>
        </w:rPr>
      </w:pPr>
      <w:r w:rsidRPr="00357258">
        <w:rPr>
          <w:rFonts w:ascii="Times New Roman" w:hAnsi="Times New Roman" w:cs="Times New Roman"/>
          <w:b/>
          <w:bCs/>
        </w:rPr>
        <w:t xml:space="preserve">Supplementary Figure S3. Transcriptomic coverage profiles of the 17 newly validated intron-containing genes in </w:t>
      </w:r>
      <w:r w:rsidRPr="00357258">
        <w:rPr>
          <w:rFonts w:ascii="Times New Roman" w:hAnsi="Times New Roman" w:cs="Times New Roman"/>
          <w:b/>
          <w:bCs/>
          <w:i/>
          <w:iCs/>
        </w:rPr>
        <w:t>T. vaginalis</w:t>
      </w:r>
      <w:r w:rsidRPr="00357258">
        <w:rPr>
          <w:rFonts w:ascii="Times New Roman" w:hAnsi="Times New Roman" w:cs="Times New Roman"/>
          <w:b/>
          <w:bCs/>
        </w:rPr>
        <w:t>.</w:t>
      </w:r>
      <w:r w:rsidRPr="00357258">
        <w:rPr>
          <w:rFonts w:ascii="Times New Roman" w:hAnsi="Times New Roman" w:cs="Times New Roman"/>
        </w:rPr>
        <w:t xml:space="preserve"> </w:t>
      </w:r>
    </w:p>
    <w:p w14:paraId="1064D4EB" w14:textId="77777777" w:rsidR="00BE5B9B" w:rsidRPr="00357258" w:rsidRDefault="00BE5B9B" w:rsidP="00BE5B9B">
      <w:pPr>
        <w:adjustRightInd w:val="0"/>
        <w:snapToGrid w:val="0"/>
        <w:spacing w:line="480" w:lineRule="auto"/>
        <w:rPr>
          <w:rFonts w:ascii="Times New Roman" w:hAnsi="Times New Roman" w:cs="Times New Roman"/>
          <w:b/>
        </w:rPr>
      </w:pPr>
      <w:r w:rsidRPr="00357258">
        <w:rPr>
          <w:rFonts w:ascii="Times New Roman" w:hAnsi="Times New Roman" w:cs="Times New Roman"/>
        </w:rPr>
        <w:t xml:space="preserve">Integrative Genomics Viewer (IGV) snapshots displaying read alignments across the 17 newly discovered or structurally corrected loci (TVAGG3_CG01 to TVAGG3_CG17). For each gene panel, the alignment tracks from top to bottom represent Illumina short reads (SR), Nanopore cDNA reads (cDNA), and Nanopore direct RNA reads (DRS). Split-read alignments and sharp drops in read coverage consistently define the precise intron boundaries across the multiple sequencing datasets. These visual findings directly corroborate the experimental and transcriptomic evidence summarized in </w:t>
      </w:r>
      <w:r w:rsidRPr="00357258">
        <w:rPr>
          <w:rFonts w:ascii="Times New Roman" w:hAnsi="Times New Roman" w:cs="Times New Roman"/>
          <w:b/>
          <w:bCs/>
        </w:rPr>
        <w:t>Supplementary Table S2</w:t>
      </w:r>
      <w:r w:rsidRPr="00357258">
        <w:rPr>
          <w:rFonts w:ascii="Times New Roman" w:hAnsi="Times New Roman" w:cs="Times New Roman"/>
        </w:rPr>
        <w:t>.</w:t>
      </w:r>
    </w:p>
    <w:p w14:paraId="0748EE2D" w14:textId="77777777" w:rsidR="00BE5B9B" w:rsidRPr="00357258" w:rsidRDefault="00BE5B9B" w:rsidP="00BE5B9B">
      <w:pPr>
        <w:adjustRightInd w:val="0"/>
        <w:snapToGrid w:val="0"/>
        <w:spacing w:line="480" w:lineRule="auto"/>
        <w:rPr>
          <w:rFonts w:ascii="Times New Roman" w:hAnsi="Times New Roman" w:cs="Times New Roman"/>
          <w:b/>
        </w:rPr>
      </w:pPr>
    </w:p>
    <w:p w14:paraId="13E5EDAC" w14:textId="77777777" w:rsidR="00BE5B9B" w:rsidRPr="00357258" w:rsidRDefault="00BE5B9B" w:rsidP="00BE5B9B">
      <w:pPr>
        <w:adjustRightInd w:val="0"/>
        <w:snapToGrid w:val="0"/>
        <w:spacing w:line="480" w:lineRule="auto"/>
        <w:rPr>
          <w:rFonts w:ascii="Times New Roman" w:hAnsi="Times New Roman" w:cs="Times New Roman"/>
          <w:b/>
        </w:rPr>
      </w:pPr>
    </w:p>
    <w:p w14:paraId="76DB913C" w14:textId="77777777" w:rsidR="00BE5B9B" w:rsidRPr="00357258" w:rsidRDefault="00BE5B9B" w:rsidP="00BE5B9B">
      <w:pPr>
        <w:adjustRightInd w:val="0"/>
        <w:snapToGrid w:val="0"/>
        <w:spacing w:line="480" w:lineRule="auto"/>
        <w:rPr>
          <w:rFonts w:ascii="Times New Roman" w:hAnsi="Times New Roman" w:cs="Times New Roman"/>
        </w:rPr>
      </w:pPr>
      <w:r w:rsidRPr="00357258">
        <w:rPr>
          <w:rFonts w:ascii="Times New Roman" w:hAnsi="Times New Roman" w:cs="Times New Roman"/>
          <w:b/>
          <w:bCs/>
        </w:rPr>
        <w:t xml:space="preserve">Supplementary Table S1. Overview of 31 Annotated Intron-Containing Genes in the </w:t>
      </w:r>
      <w:r w:rsidRPr="00357258">
        <w:rPr>
          <w:rFonts w:ascii="Times New Roman" w:hAnsi="Times New Roman" w:cs="Times New Roman"/>
          <w:b/>
          <w:bCs/>
          <w:i/>
          <w:iCs/>
        </w:rPr>
        <w:t>T. vaginalis</w:t>
      </w:r>
      <w:r w:rsidRPr="00357258">
        <w:rPr>
          <w:rFonts w:ascii="Times New Roman" w:hAnsi="Times New Roman" w:cs="Times New Roman"/>
          <w:b/>
          <w:bCs/>
        </w:rPr>
        <w:t xml:space="preserve"> (G3 2022) Reference Genome.</w:t>
      </w:r>
      <w:r w:rsidRPr="00357258">
        <w:rPr>
          <w:rFonts w:ascii="Times New Roman" w:hAnsi="Times New Roman" w:cs="Times New Roman"/>
        </w:rPr>
        <w:t xml:space="preserve"> </w:t>
      </w:r>
    </w:p>
    <w:p w14:paraId="605F9C03" w14:textId="77777777" w:rsidR="00BE5B9B" w:rsidRPr="00357258" w:rsidRDefault="00BE5B9B" w:rsidP="00BE5B9B">
      <w:pPr>
        <w:adjustRightInd w:val="0"/>
        <w:snapToGrid w:val="0"/>
        <w:spacing w:line="480" w:lineRule="auto"/>
        <w:rPr>
          <w:rFonts w:ascii="Times New Roman" w:hAnsi="Times New Roman" w:cs="Times New Roman"/>
          <w:b/>
          <w:i/>
          <w:color w:val="000000" w:themeColor="text1"/>
        </w:rPr>
      </w:pPr>
      <w:r w:rsidRPr="00357258">
        <w:rPr>
          <w:rFonts w:ascii="Times New Roman" w:hAnsi="Times New Roman" w:cs="Times New Roman"/>
        </w:rPr>
        <w:t>This table lists each gene’s basic information, intron type, and exon coordinates. The multiple lines of experimental and transcriptomic evidence are indicated by check marks (</w:t>
      </w:r>
      <w:r w:rsidRPr="00357258">
        <w:rPr>
          <w:rFonts w:ascii="Segoe UI Symbol" w:hAnsi="Segoe UI Symbol" w:cs="Segoe UI Symbol"/>
        </w:rPr>
        <w:t>✓</w:t>
      </w:r>
      <w:r w:rsidRPr="00357258">
        <w:rPr>
          <w:rFonts w:ascii="Times New Roman" w:hAnsi="Times New Roman" w:cs="Times New Roman"/>
        </w:rPr>
        <w:t>, presence) and crosses (</w:t>
      </w:r>
      <w:r w:rsidRPr="00357258">
        <w:rPr>
          <w:rFonts w:ascii="Segoe UI Symbol" w:hAnsi="Segoe UI Symbol" w:cs="Segoe UI Symbol"/>
        </w:rPr>
        <w:t>✗</w:t>
      </w:r>
      <w:r w:rsidRPr="00357258">
        <w:rPr>
          <w:rFonts w:ascii="Times New Roman" w:hAnsi="Times New Roman" w:cs="Times New Roman"/>
        </w:rPr>
        <w:t>, absence), including gel electrophoresis (Gel), Illumina short reads (SR), Nanopore cDNA (ONT cDNA), Nanopore direct RNA (ONT DRS), and public SRA datasets. Quantitative poly(A) features derived from DRS data are provided where available, including mean and median poly(A)-tail lengths (in nucleotides) with their associated interquartile ranges (IQR), as well as the predicted polyadenylation signal motif (Top Motif) and its distance to the transcript end site (Distance to TES).</w:t>
      </w:r>
    </w:p>
    <w:p w14:paraId="4EF10A9D" w14:textId="77777777" w:rsidR="00BE5B9B" w:rsidRPr="00357258" w:rsidRDefault="00BE5B9B" w:rsidP="00BE5B9B">
      <w:pPr>
        <w:spacing w:line="480" w:lineRule="auto"/>
        <w:rPr>
          <w:rFonts w:ascii="Times New Roman" w:hAnsi="Times New Roman" w:cs="Times New Roman"/>
          <w:b/>
          <w:bCs/>
          <w:color w:val="0D0D0D"/>
          <w:shd w:val="clear" w:color="auto" w:fill="FFFFFF"/>
        </w:rPr>
      </w:pPr>
    </w:p>
    <w:p w14:paraId="1030F59D" w14:textId="77777777" w:rsidR="00BE5B9B" w:rsidRPr="00357258" w:rsidRDefault="00BE5B9B" w:rsidP="00BE5B9B">
      <w:pPr>
        <w:spacing w:line="480" w:lineRule="auto"/>
        <w:rPr>
          <w:rFonts w:ascii="Times New Roman" w:hAnsi="Times New Roman" w:cs="Times New Roman"/>
          <w:b/>
          <w:bCs/>
          <w:color w:val="0D0D0D"/>
          <w:shd w:val="clear" w:color="auto" w:fill="FFFFFF"/>
        </w:rPr>
      </w:pPr>
      <w:r w:rsidRPr="00357258">
        <w:rPr>
          <w:rFonts w:ascii="Times New Roman" w:hAnsi="Times New Roman" w:cs="Times New Roman"/>
          <w:b/>
          <w:bCs/>
        </w:rPr>
        <w:lastRenderedPageBreak/>
        <w:t xml:space="preserve">Supplementary Table S2. Summary of 17 Newly Validated Intron-Containing Genes in </w:t>
      </w:r>
      <w:r w:rsidRPr="00357258">
        <w:rPr>
          <w:rFonts w:ascii="Times New Roman" w:hAnsi="Times New Roman" w:cs="Times New Roman"/>
          <w:b/>
          <w:bCs/>
          <w:i/>
          <w:iCs/>
        </w:rPr>
        <w:t>Trichomonas vaginalis</w:t>
      </w:r>
      <w:r w:rsidRPr="00357258">
        <w:rPr>
          <w:rFonts w:ascii="Times New Roman" w:hAnsi="Times New Roman" w:cs="Times New Roman"/>
          <w:b/>
          <w:bCs/>
        </w:rPr>
        <w:t xml:space="preserve"> (G3 2022 Assembly).</w:t>
      </w:r>
      <w:r w:rsidRPr="00357258">
        <w:rPr>
          <w:rFonts w:ascii="Times New Roman" w:hAnsi="Times New Roman" w:cs="Times New Roman"/>
        </w:rPr>
        <w:t xml:space="preserve"> </w:t>
      </w:r>
    </w:p>
    <w:p w14:paraId="414B53F0" w14:textId="77777777" w:rsidR="00BE5B9B" w:rsidRPr="00357258" w:rsidRDefault="00BE5B9B" w:rsidP="00BE5B9B">
      <w:pPr>
        <w:spacing w:line="480" w:lineRule="auto"/>
        <w:rPr>
          <w:rFonts w:ascii="Times New Roman" w:hAnsi="Times New Roman" w:cs="Times New Roman"/>
        </w:rPr>
      </w:pPr>
      <w:r w:rsidRPr="00357258">
        <w:rPr>
          <w:rFonts w:ascii="Times New Roman" w:hAnsi="Times New Roman" w:cs="Times New Roman"/>
        </w:rPr>
        <w:t>This table lists the 17 intron-containing genes newly discovered or structurally corrected and experimentally validated in the present study. For each gene, the following information is provided: our assigned gene name, the corresponding reference gene name, functional description, chromosome, strand direction, intron type (A or B), and exact genomic coordinates for the intron and flanking exons. Validation evidence is indicated by check marks (</w:t>
      </w:r>
      <w:r w:rsidRPr="00357258">
        <w:rPr>
          <w:rFonts w:ascii="Segoe UI Symbol" w:hAnsi="Segoe UI Symbol" w:cs="Segoe UI Symbol"/>
        </w:rPr>
        <w:t>✓</w:t>
      </w:r>
      <w:r w:rsidRPr="00357258">
        <w:rPr>
          <w:rFonts w:ascii="Times New Roman" w:hAnsi="Times New Roman" w:cs="Times New Roman"/>
        </w:rPr>
        <w:t>, presence) and crosses (</w:t>
      </w:r>
      <w:r w:rsidRPr="00357258">
        <w:rPr>
          <w:rFonts w:ascii="Segoe UI Symbol" w:hAnsi="Segoe UI Symbol" w:cs="Segoe UI Symbol"/>
        </w:rPr>
        <w:t>✗</w:t>
      </w:r>
      <w:r w:rsidRPr="00357258">
        <w:rPr>
          <w:rFonts w:ascii="Times New Roman" w:hAnsi="Times New Roman" w:cs="Times New Roman"/>
        </w:rPr>
        <w:t>, absence) across multiple parameters and platforms: successful primer design, gel electrophoresis (Gel check), Illumina short reads (SR), Nanopore cDNA (ONT cDNA), Nanopore direct RNA (ONT DRS), and public SRA datasets. Quantitative poly(A) features derived from DRS data are provided where available, including mean and median poly(A)-tail lengths (in nucleotides) with their associated interquartile ranges (IQR), as well as the predicted polyadenylation signal motif (Top Motif) and its distance to the transcript end site (Distance to TES).</w:t>
      </w:r>
    </w:p>
    <w:p w14:paraId="01DFF81B" w14:textId="77777777" w:rsidR="00BE5B9B" w:rsidRPr="00357258" w:rsidRDefault="00BE5B9B" w:rsidP="00BE5B9B">
      <w:pPr>
        <w:spacing w:line="480" w:lineRule="auto"/>
        <w:rPr>
          <w:rFonts w:ascii="Times New Roman" w:hAnsi="Times New Roman" w:cs="Times New Roman"/>
        </w:rPr>
      </w:pPr>
    </w:p>
    <w:p w14:paraId="083DD617" w14:textId="77777777" w:rsidR="00BE5B9B" w:rsidRPr="00357258" w:rsidRDefault="00BE5B9B" w:rsidP="00BE5B9B">
      <w:pPr>
        <w:spacing w:line="480" w:lineRule="auto"/>
        <w:rPr>
          <w:rFonts w:ascii="Times New Roman" w:hAnsi="Times New Roman" w:cs="Times New Roman"/>
        </w:rPr>
      </w:pPr>
      <w:r w:rsidRPr="00357258">
        <w:rPr>
          <w:rFonts w:ascii="Times New Roman" w:hAnsi="Times New Roman" w:cs="Times New Roman"/>
          <w:b/>
          <w:bCs/>
        </w:rPr>
        <w:t xml:space="preserve">Supplementary Table S3. Long-read re-evaluation of introns in </w:t>
      </w:r>
      <w:r w:rsidRPr="00357258">
        <w:rPr>
          <w:rFonts w:ascii="Times New Roman" w:hAnsi="Times New Roman" w:cs="Times New Roman"/>
          <w:b/>
          <w:bCs/>
          <w:i/>
          <w:iCs/>
        </w:rPr>
        <w:t>Trichomonas vaginalis</w:t>
      </w:r>
      <w:r w:rsidRPr="00357258">
        <w:rPr>
          <w:rFonts w:ascii="Times New Roman" w:hAnsi="Times New Roman" w:cs="Times New Roman"/>
          <w:b/>
          <w:bCs/>
        </w:rPr>
        <w:t>: cross-reference to previous annotations and updates from this study.</w:t>
      </w:r>
    </w:p>
    <w:p w14:paraId="474ADF43" w14:textId="77777777" w:rsidR="00BE5B9B" w:rsidRPr="00357258" w:rsidRDefault="00BE5B9B" w:rsidP="00BE5B9B">
      <w:pPr>
        <w:spacing w:line="480" w:lineRule="auto"/>
        <w:rPr>
          <w:rFonts w:ascii="Times New Roman" w:hAnsi="Times New Roman" w:cs="Times New Roman"/>
        </w:rPr>
      </w:pPr>
      <w:r w:rsidRPr="00357258">
        <w:rPr>
          <w:rFonts w:ascii="Times New Roman" w:hAnsi="Times New Roman" w:cs="Times New Roman"/>
        </w:rPr>
        <w:t xml:space="preserve">This table cross-references 64 intron-bearing loci—incorporating those recently analyzed by Callejas-Hernández </w:t>
      </w:r>
      <w:r w:rsidRPr="00966287">
        <w:rPr>
          <w:rFonts w:ascii="Times New Roman" w:hAnsi="Times New Roman" w:cs="Times New Roman"/>
        </w:rPr>
        <w:t>et al.</w:t>
      </w:r>
      <w:r w:rsidRPr="00357258">
        <w:rPr>
          <w:rFonts w:ascii="Times New Roman" w:hAnsi="Times New Roman" w:cs="Times New Roman"/>
        </w:rPr>
        <w:fldChar w:fldCharType="begin"/>
      </w:r>
      <w:r w:rsidRPr="00357258">
        <w:rPr>
          <w:rFonts w:ascii="Times New Roman" w:hAnsi="Times New Roman" w:cs="Times New Roman"/>
        </w:rPr>
        <w:instrText xml:space="preserve"> ADDIN EN.CITE &lt;EndNote&gt;&lt;Cite&gt;&lt;Author&gt;Callejas-Hernandez&lt;/Author&gt;&lt;Year&gt;2025&lt;/Year&gt;&lt;RecNum&gt;567&lt;/RecNum&gt;&lt;DisplayText&gt;[19]&lt;/DisplayText&gt;&lt;record&gt;&lt;rec-number&gt;567&lt;/rec-number&gt;&lt;foreign-keys&gt;&lt;key app="EN" db-id="dfwt9wxx452afdesf98p5ep5xas9srwvsstp" timestamp="1772249516" guid="6bfb135a-5cd7-47c6-9434-2d6d646d2177"&gt;567&lt;/key&gt;&lt;/foreign-keys&gt;&lt;ref-type name="Journal Article"&gt;17&lt;/ref-type&gt;&lt;contributors&gt;&lt;authors&gt;&lt;author&gt;Callejas-Hernandez, F.&lt;/author&gt;&lt;author&gt;Shiratori, M.&lt;/author&gt;&lt;author&gt;Sullivan, S. A.&lt;/author&gt;&lt;author&gt;Blow, F.&lt;/author&gt;&lt;author&gt;Carlton, J. M.&lt;/author&gt;&lt;/authors&gt;&lt;/contributors&gt;&lt;auth-address&gt;Department of Biology, Center for Genomics and Systems Biology, New York University, New York, New York, United States of America.&lt;/auth-address&gt;&lt;titles&gt;&lt;title&gt;Redefining the spliceosomal introns of the sexually transmitted parasite Trichomonas vaginalis and its close relative in columbid birds&lt;/title&gt;&lt;secondary-title&gt;PLoS Pathog&lt;/secondary-title&gt;&lt;/titles&gt;&lt;periodical&gt;&lt;full-title&gt;PLoS Pathog&lt;/full-title&gt;&lt;/periodical&gt;&lt;pages&gt;e1013282&lt;/pages&gt;&lt;volume&gt;21&lt;/volume&gt;&lt;number&gt;7&lt;/number&gt;&lt;edition&gt;20250723&lt;/edition&gt;&lt;keywords&gt;&lt;keyword&gt;*Introns/genetics&lt;/keyword&gt;&lt;keyword&gt;Animals&lt;/keyword&gt;&lt;keyword&gt;*Trichomonas vaginalis/genetics&lt;/keyword&gt;&lt;keyword&gt;*Spliceosomes/genetics&lt;/keyword&gt;&lt;keyword&gt;Female&lt;/keyword&gt;&lt;keyword&gt;*Trichomonas Infections/parasitology&lt;/keyword&gt;&lt;keyword&gt;Humans&lt;/keyword&gt;&lt;keyword&gt;Genome, Protozoan&lt;/keyword&gt;&lt;/keywords&gt;&lt;dates&gt;&lt;year&gt;2025&lt;/year&gt;&lt;pub-dates&gt;&lt;date&gt;Jul&lt;/date&gt;&lt;/pub-dates&gt;&lt;/dates&gt;&lt;isbn&gt;1553-7374 (Electronic)&amp;#xD;1553-7366 (Print)&amp;#xD;1553-7366 (Linking)&lt;/isbn&gt;&lt;accession-num&gt;40700464&lt;/accession-num&gt;&lt;urls&gt;&lt;related-urls&gt;&lt;url&gt;https://www.ncbi.nlm.nih.gov/pubmed/40700464&lt;/url&gt;&lt;/related-urls&gt;&lt;/urls&gt;&lt;custom1&gt;The authors have declared that no competing interests exist.&lt;/custom1&gt;&lt;custom2&gt;PMC12316389&lt;/custom2&gt;&lt;electronic-resource-num&gt;10.1371/journal.ppat.1013282&lt;/electronic-resource-num&gt;&lt;remote-database-name&gt;Medline&lt;/remote-database-name&gt;&lt;remote-database-provider&gt;NLM&lt;/remote-database-provider&gt;&lt;/record&gt;&lt;/Cite&gt;&lt;/EndNote&gt;</w:instrText>
      </w:r>
      <w:r w:rsidRPr="00357258">
        <w:rPr>
          <w:rFonts w:ascii="Times New Roman" w:hAnsi="Times New Roman" w:cs="Times New Roman"/>
        </w:rPr>
        <w:fldChar w:fldCharType="separate"/>
      </w:r>
      <w:r w:rsidRPr="00357258">
        <w:rPr>
          <w:rFonts w:ascii="Times New Roman" w:hAnsi="Times New Roman" w:cs="Times New Roman"/>
          <w:noProof/>
        </w:rPr>
        <w:t>[19]</w:t>
      </w:r>
      <w:r w:rsidRPr="00357258">
        <w:rPr>
          <w:rFonts w:ascii="Times New Roman" w:hAnsi="Times New Roman" w:cs="Times New Roman"/>
        </w:rPr>
        <w:fldChar w:fldCharType="end"/>
      </w:r>
      <w:r w:rsidRPr="00357258">
        <w:rPr>
          <w:rFonts w:ascii="Times New Roman" w:hAnsi="Times New Roman" w:cs="Times New Roman"/>
        </w:rPr>
        <w:t xml:space="preserve"> alongside their original 2007 reference genome IDs (</w:t>
      </w:r>
      <w:r w:rsidRPr="00357258">
        <w:rPr>
          <w:rStyle w:val="HTMLCode"/>
          <w:rFonts w:ascii="Times New Roman" w:hAnsi="Times New Roman" w:cs="Times New Roman"/>
        </w:rPr>
        <w:t>TVAG_</w:t>
      </w:r>
      <w:r w:rsidRPr="00357258">
        <w:rPr>
          <w:rFonts w:ascii="Times New Roman" w:hAnsi="Times New Roman" w:cs="Times New Roman"/>
        </w:rPr>
        <w:t xml:space="preserve">) </w:t>
      </w:r>
      <w:r w:rsidRPr="00357258">
        <w:rPr>
          <w:rFonts w:ascii="Times New Roman" w:hAnsi="Times New Roman" w:cs="Times New Roman"/>
        </w:rPr>
        <w:lastRenderedPageBreak/>
        <w:t>and updated G3 2022 IDs (</w:t>
      </w:r>
      <w:r w:rsidRPr="00357258">
        <w:rPr>
          <w:rStyle w:val="HTMLCode"/>
          <w:rFonts w:ascii="Times New Roman" w:hAnsi="Times New Roman" w:cs="Times New Roman"/>
        </w:rPr>
        <w:t>TVAGG3_</w:t>
      </w:r>
      <w:r w:rsidRPr="00357258">
        <w:rPr>
          <w:rFonts w:ascii="Times New Roman" w:hAnsi="Times New Roman" w:cs="Times New Roman"/>
        </w:rPr>
        <w:t>)—with the multi-omics evidence generated in the present study. For each locus, we summarize the strand orientation, intron type (A or B, based on splice-site motifs), curatorial status (validated, newly identified, or re-annotated), functional annotation, and salient remarks. Validation evidence is indicated by check marks (</w:t>
      </w:r>
      <w:r w:rsidRPr="00357258">
        <w:rPr>
          <w:rFonts w:ascii="Segoe UI Symbol" w:hAnsi="Segoe UI Symbol" w:cs="Segoe UI Symbol"/>
        </w:rPr>
        <w:t>✓</w:t>
      </w:r>
      <w:r w:rsidRPr="00357258">
        <w:rPr>
          <w:rFonts w:ascii="Times New Roman" w:hAnsi="Times New Roman" w:cs="Times New Roman"/>
        </w:rPr>
        <w:t>, presence) and crosses (</w:t>
      </w:r>
      <w:r w:rsidRPr="00357258">
        <w:rPr>
          <w:rFonts w:ascii="Segoe UI Symbol" w:hAnsi="Segoe UI Symbol" w:cs="Segoe UI Symbol"/>
        </w:rPr>
        <w:t>✗</w:t>
      </w:r>
      <w:r w:rsidRPr="00357258">
        <w:rPr>
          <w:rFonts w:ascii="Times New Roman" w:hAnsi="Times New Roman" w:cs="Times New Roman"/>
        </w:rPr>
        <w:t>, absence) across multiple platforms: gel electrophoresis (Gel), Illumina short reads (SR), Nanopore cDNA (ONT cDNA), and Nanopore direct RNA (ONT DRS). Quantitative poly(A) tail features estimated from DRS reads (mean and median lengths, IQR, predicted polyadenylation motif, and distance to transcript end site) are also provided where applicable. This compilation allows for a rapid assessment of concordance, structural corrections, and novel extensions relative to both historical and recent annotations.</w:t>
      </w:r>
    </w:p>
    <w:p w14:paraId="1E63F2F0" w14:textId="77777777" w:rsidR="00BE5B9B" w:rsidRPr="00357258" w:rsidRDefault="00BE5B9B" w:rsidP="00BE5B9B">
      <w:pPr>
        <w:spacing w:line="480" w:lineRule="auto"/>
        <w:rPr>
          <w:rFonts w:ascii="Times New Roman" w:hAnsi="Times New Roman" w:cs="Times New Roman"/>
        </w:rPr>
      </w:pPr>
    </w:p>
    <w:p w14:paraId="7B6B9110" w14:textId="77777777" w:rsidR="00BE5B9B" w:rsidRPr="00357258" w:rsidRDefault="00BE5B9B" w:rsidP="00BE5B9B">
      <w:pPr>
        <w:spacing w:line="480" w:lineRule="auto"/>
        <w:rPr>
          <w:rFonts w:ascii="Times New Roman" w:hAnsi="Times New Roman" w:cs="Times New Roman"/>
        </w:rPr>
      </w:pPr>
      <w:r w:rsidRPr="00357258">
        <w:rPr>
          <w:rFonts w:ascii="Times New Roman" w:hAnsi="Times New Roman" w:cs="Times New Roman"/>
          <w:b/>
          <w:bCs/>
        </w:rPr>
        <w:t>Supplementary Table S4. Proteomic identification of newly validated intron-containing gene products.</w:t>
      </w:r>
      <w:r w:rsidRPr="00357258">
        <w:rPr>
          <w:rFonts w:ascii="Times New Roman" w:hAnsi="Times New Roman" w:cs="Times New Roman"/>
        </w:rPr>
        <w:t xml:space="preserve"> </w:t>
      </w:r>
    </w:p>
    <w:p w14:paraId="68A915A3" w14:textId="77777777" w:rsidR="00BE5B9B" w:rsidRPr="00357258" w:rsidRDefault="00BE5B9B" w:rsidP="00BE5B9B">
      <w:pPr>
        <w:spacing w:line="480" w:lineRule="auto"/>
        <w:rPr>
          <w:rFonts w:ascii="Times New Roman" w:hAnsi="Times New Roman" w:cs="Times New Roman"/>
          <w:b/>
          <w:bCs/>
        </w:rPr>
      </w:pPr>
      <w:r w:rsidRPr="00357258">
        <w:rPr>
          <w:rFonts w:ascii="Times New Roman" w:hAnsi="Times New Roman" w:cs="Times New Roman"/>
        </w:rPr>
        <w:t>Peptide-spectrum match (PSM) details for unique peptides mapping to TVAGG3_CG07 and TVAGG3_CG08. The table includes protein accession, peptide sequences, modifications, PSM counts, mass accuracy (DeltaM), and search engine confidence scores, providing orthogonal evidence for their translation.</w:t>
      </w:r>
    </w:p>
    <w:p w14:paraId="39AFEDC0" w14:textId="77777777" w:rsidR="00BE5B9B" w:rsidRPr="00357258" w:rsidRDefault="00BE5B9B" w:rsidP="00BE5B9B">
      <w:pPr>
        <w:spacing w:line="480" w:lineRule="auto"/>
        <w:rPr>
          <w:rFonts w:ascii="Times New Roman" w:hAnsi="Times New Roman" w:cs="Times New Roman"/>
          <w:b/>
          <w:bCs/>
        </w:rPr>
      </w:pPr>
    </w:p>
    <w:p w14:paraId="2D40A8EE" w14:textId="77777777" w:rsidR="00BE5B9B" w:rsidRDefault="00BE5B9B" w:rsidP="00BE5B9B">
      <w:pPr>
        <w:spacing w:line="480" w:lineRule="auto"/>
        <w:rPr>
          <w:rFonts w:ascii="Times New Roman" w:hAnsi="Times New Roman" w:cs="Times New Roman"/>
        </w:rPr>
      </w:pPr>
      <w:r w:rsidRPr="00357258">
        <w:rPr>
          <w:rFonts w:ascii="Times New Roman" w:hAnsi="Times New Roman" w:cs="Times New Roman"/>
          <w:b/>
          <w:bCs/>
        </w:rPr>
        <w:lastRenderedPageBreak/>
        <w:t xml:space="preserve">Supplementary Table S5. Primer sequences used for the amplification and validation of intron-containing genes in </w:t>
      </w:r>
      <w:r w:rsidRPr="00357258">
        <w:rPr>
          <w:rFonts w:ascii="Times New Roman" w:hAnsi="Times New Roman" w:cs="Times New Roman"/>
          <w:b/>
          <w:bCs/>
          <w:i/>
          <w:iCs/>
        </w:rPr>
        <w:t>T. vaginalis</w:t>
      </w:r>
      <w:r w:rsidRPr="00357258">
        <w:rPr>
          <w:rFonts w:ascii="Times New Roman" w:hAnsi="Times New Roman" w:cs="Times New Roman"/>
          <w:b/>
          <w:bCs/>
        </w:rPr>
        <w:t>.</w:t>
      </w:r>
      <w:r w:rsidRPr="00357258">
        <w:rPr>
          <w:rFonts w:ascii="Times New Roman" w:hAnsi="Times New Roman" w:cs="Times New Roman"/>
        </w:rPr>
        <w:t xml:space="preserve"> </w:t>
      </w:r>
    </w:p>
    <w:p w14:paraId="249D858F" w14:textId="77777777" w:rsidR="00BE5B9B" w:rsidRPr="000B1338" w:rsidRDefault="00BE5B9B" w:rsidP="00BE5B9B">
      <w:pPr>
        <w:spacing w:line="480" w:lineRule="auto"/>
        <w:rPr>
          <w:rFonts w:ascii="Times New Roman" w:hAnsi="Times New Roman" w:cs="Times New Roman"/>
          <w:b/>
        </w:rPr>
      </w:pPr>
      <w:r w:rsidRPr="00357258">
        <w:rPr>
          <w:rFonts w:ascii="Times New Roman" w:hAnsi="Times New Roman" w:cs="Times New Roman"/>
        </w:rPr>
        <w:t xml:space="preserve">This table lists the forward and reverse primer sequences (5′–3′) designed for the experimental validation of the </w:t>
      </w:r>
      <w:r>
        <w:rPr>
          <w:rFonts w:ascii="Times New Roman" w:hAnsi="Times New Roman" w:cs="Times New Roman"/>
        </w:rPr>
        <w:t xml:space="preserve">48 </w:t>
      </w:r>
      <w:r w:rsidRPr="00357258">
        <w:rPr>
          <w:rFonts w:ascii="Times New Roman" w:hAnsi="Times New Roman" w:cs="Times New Roman"/>
        </w:rPr>
        <w:t xml:space="preserve">intron-bearing loci investigated in this study, categorized by their curatorial status and intron type (Newly identified, Type A, Type B, and Unclassified). The expected amplicon sizes for both genomic DNA (gDNA) and spliced transcripts (cDNA) are provided in base pairs (bp), corresponding to the gel electrophoresis results shown in </w:t>
      </w:r>
      <w:r w:rsidRPr="00357258">
        <w:rPr>
          <w:rFonts w:ascii="Times New Roman" w:hAnsi="Times New Roman" w:cs="Times New Roman"/>
          <w:b/>
          <w:bCs/>
        </w:rPr>
        <w:t>Supplementary Figure S1</w:t>
      </w:r>
      <w:r w:rsidRPr="00357258">
        <w:rPr>
          <w:rFonts w:ascii="Times New Roman" w:hAnsi="Times New Roman" w:cs="Times New Roman"/>
        </w:rPr>
        <w:t>.</w:t>
      </w:r>
    </w:p>
    <w:p w14:paraId="4A198349" w14:textId="77777777" w:rsidR="00E023F9" w:rsidRDefault="00E023F9"/>
    <w:sectPr w:rsidR="00E023F9" w:rsidSect="00BE5B9B">
      <w:pgSz w:w="11906" w:h="16838"/>
      <w:pgMar w:top="1418" w:right="1418" w:bottom="1418" w:left="1418"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ptos Display">
    <w:charset w:val="00"/>
    <w:family w:val="swiss"/>
    <w:pitch w:val="variable"/>
    <w:sig w:usb0="20000287" w:usb1="00000003" w:usb2="00000000"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B9B"/>
    <w:rsid w:val="000C4033"/>
    <w:rsid w:val="004B42CB"/>
    <w:rsid w:val="005F2B46"/>
    <w:rsid w:val="006E1731"/>
    <w:rsid w:val="00B260B7"/>
    <w:rsid w:val="00B467B0"/>
    <w:rsid w:val="00B85331"/>
    <w:rsid w:val="00BE5B9B"/>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CAC63"/>
  <w15:chartTrackingRefBased/>
  <w15:docId w15:val="{E3471640-6695-4DE2-8411-0902AB9C3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5B9B"/>
    <w:pPr>
      <w:spacing w:after="0" w:line="240" w:lineRule="auto"/>
    </w:pPr>
    <w:rPr>
      <w:rFonts w:ascii="PMingLiU" w:eastAsia="PMingLiU" w:hAnsi="PMingLiU" w:cs="PMingLiU"/>
      <w:kern w:val="0"/>
      <w:lang w:val="en-US" w:eastAsia="zh-TW"/>
      <w14:ligatures w14:val="none"/>
    </w:rPr>
  </w:style>
  <w:style w:type="paragraph" w:styleId="Heading1">
    <w:name w:val="heading 1"/>
    <w:basedOn w:val="Normal"/>
    <w:next w:val="Normal"/>
    <w:link w:val="Heading1Char"/>
    <w:uiPriority w:val="9"/>
    <w:qFormat/>
    <w:rsid w:val="00BE5B9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BE5B9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BE5B9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BE5B9B"/>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BE5B9B"/>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BE5B9B"/>
    <w:pPr>
      <w:keepNext/>
      <w:keepLines/>
      <w:spacing w:before="4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BE5B9B"/>
    <w:pPr>
      <w:keepNext/>
      <w:keepLines/>
      <w:spacing w:before="4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BE5B9B"/>
    <w:pPr>
      <w:keepNext/>
      <w:keepLines/>
      <w:spacing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BE5B9B"/>
    <w:pPr>
      <w:keepNext/>
      <w:keepLines/>
      <w:spacing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5B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5B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5B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5B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5B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5B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5B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5B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5B9B"/>
    <w:rPr>
      <w:rFonts w:eastAsiaTheme="majorEastAsia" w:cstheme="majorBidi"/>
      <w:color w:val="272727" w:themeColor="text1" w:themeTint="D8"/>
    </w:rPr>
  </w:style>
  <w:style w:type="paragraph" w:styleId="Title">
    <w:name w:val="Title"/>
    <w:basedOn w:val="Normal"/>
    <w:next w:val="Normal"/>
    <w:link w:val="TitleChar"/>
    <w:uiPriority w:val="10"/>
    <w:qFormat/>
    <w:rsid w:val="00BE5B9B"/>
    <w:pPr>
      <w:spacing w:after="80"/>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BE5B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5B9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BE5B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5B9B"/>
    <w:pPr>
      <w:spacing w:before="160" w:after="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BE5B9B"/>
    <w:rPr>
      <w:i/>
      <w:iCs/>
      <w:color w:val="404040" w:themeColor="text1" w:themeTint="BF"/>
    </w:rPr>
  </w:style>
  <w:style w:type="paragraph" w:styleId="ListParagraph">
    <w:name w:val="List Paragraph"/>
    <w:basedOn w:val="Normal"/>
    <w:uiPriority w:val="34"/>
    <w:qFormat/>
    <w:rsid w:val="00BE5B9B"/>
    <w:pPr>
      <w:spacing w:after="160"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BE5B9B"/>
    <w:rPr>
      <w:i/>
      <w:iCs/>
      <w:color w:val="0F4761" w:themeColor="accent1" w:themeShade="BF"/>
    </w:rPr>
  </w:style>
  <w:style w:type="paragraph" w:styleId="IntenseQuote">
    <w:name w:val="Intense Quote"/>
    <w:basedOn w:val="Normal"/>
    <w:next w:val="Normal"/>
    <w:link w:val="IntenseQuoteChar"/>
    <w:uiPriority w:val="30"/>
    <w:qFormat/>
    <w:rsid w:val="00BE5B9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BE5B9B"/>
    <w:rPr>
      <w:i/>
      <w:iCs/>
      <w:color w:val="0F4761" w:themeColor="accent1" w:themeShade="BF"/>
    </w:rPr>
  </w:style>
  <w:style w:type="character" w:styleId="IntenseReference">
    <w:name w:val="Intense Reference"/>
    <w:basedOn w:val="DefaultParagraphFont"/>
    <w:uiPriority w:val="32"/>
    <w:qFormat/>
    <w:rsid w:val="00BE5B9B"/>
    <w:rPr>
      <w:b/>
      <w:bCs/>
      <w:smallCaps/>
      <w:color w:val="0F4761" w:themeColor="accent1" w:themeShade="BF"/>
      <w:spacing w:val="5"/>
    </w:rPr>
  </w:style>
  <w:style w:type="character" w:styleId="HTMLCode">
    <w:name w:val="HTML Code"/>
    <w:basedOn w:val="DefaultParagraphFont"/>
    <w:uiPriority w:val="99"/>
    <w:semiHidden/>
    <w:unhideWhenUsed/>
    <w:rsid w:val="00BE5B9B"/>
    <w:rPr>
      <w:rFonts w:ascii="MingLiU" w:eastAsia="MingLiU" w:hAnsi="MingLiU" w:cs="MingLiU"/>
      <w:sz w:val="24"/>
      <w:szCs w:val="24"/>
    </w:rPr>
  </w:style>
  <w:style w:type="character" w:styleId="LineNumber">
    <w:name w:val="line number"/>
    <w:basedOn w:val="DefaultParagraphFont"/>
    <w:uiPriority w:val="99"/>
    <w:semiHidden/>
    <w:unhideWhenUsed/>
    <w:rsid w:val="00BE5B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1177</Words>
  <Characters>7558</Characters>
  <Application>Microsoft Office Word</Application>
  <DocSecurity>0</DocSecurity>
  <Lines>164</Lines>
  <Paragraphs>77</Paragraphs>
  <ScaleCrop>false</ScaleCrop>
  <Company/>
  <LinksUpToDate>false</LinksUpToDate>
  <CharactersWithSpaces>8658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2026-03-20T14:41:00Z</dcterms:created>
  <dcterms:modified xsi:type="dcterms:W3CDTF">2026-03-20T14:42:00Z</dcterms:modified>
</cp:coreProperties>
</file>