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56A5C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eastAsia="宋体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30"/>
          <w:szCs w:val="30"/>
          <w:lang w:val="en-US" w:eastAsia="zh-CN"/>
        </w:rPr>
        <w:t>Scoring Criteria</w:t>
      </w:r>
    </w:p>
    <w:p w14:paraId="36C8D34E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eastAsia="宋体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lang w:val="en-US" w:eastAsia="zh-CN"/>
        </w:rPr>
        <w:t>1、</w:t>
      </w:r>
      <w:r>
        <w:rPr>
          <w:rFonts w:hint="default" w:ascii="Times New Roman" w:hAnsi="Times New Roman" w:eastAsia="宋体" w:cs="Times New Roman"/>
          <w:b w:val="0"/>
          <w:bCs w:val="0"/>
          <w:sz w:val="30"/>
          <w:szCs w:val="30"/>
          <w:lang w:val="en-US" w:eastAsia="zh-CN"/>
        </w:rPr>
        <w:t>Accuracy</w:t>
      </w:r>
    </w:p>
    <w:p w14:paraId="601DA6F8">
      <w:pPr>
        <w:numPr>
          <w:numId w:val="0"/>
        </w:num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Evaluation criterion: Whether the content is consistent with current clinical guidelines and evidence-based medicine, and whether the statements are scientifically sound and free of major errors.</w:t>
      </w:r>
    </w:p>
    <w:tbl>
      <w:tblPr>
        <w:tblStyle w:val="3"/>
        <w:tblW w:w="829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6868"/>
      </w:tblGrid>
      <w:tr w14:paraId="773CAA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42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7BDC56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Score</w:t>
            </w:r>
          </w:p>
        </w:tc>
        <w:tc>
          <w:tcPr>
            <w:tcW w:w="68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D4D329">
            <w:pPr>
              <w:snapToGrid w:val="0"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Anchoring description</w:t>
            </w:r>
          </w:p>
        </w:tc>
      </w:tr>
      <w:tr w14:paraId="44A042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427" w:type="dxa"/>
            <w:tcBorders>
              <w:top w:val="single" w:color="auto" w:sz="4" w:space="0"/>
            </w:tcBorders>
            <w:noWrap w:val="0"/>
            <w:vAlign w:val="center"/>
          </w:tcPr>
          <w:p w14:paraId="1D52F106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68" w:type="dxa"/>
            <w:tcBorders>
              <w:top w:val="single" w:color="auto" w:sz="4" w:space="0"/>
            </w:tcBorders>
            <w:noWrap w:val="0"/>
            <w:vAlign w:val="center"/>
          </w:tcPr>
          <w:p w14:paraId="116D20BB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Multiple statements are clearly incorrect and substantially inconsistent with current guidelines or evidence-based practice.</w:t>
            </w:r>
          </w:p>
        </w:tc>
      </w:tr>
      <w:tr w14:paraId="744EBC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427" w:type="dxa"/>
            <w:noWrap w:val="0"/>
            <w:vAlign w:val="center"/>
          </w:tcPr>
          <w:p w14:paraId="2C573CA5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68" w:type="dxa"/>
            <w:noWrap w:val="0"/>
            <w:vAlign w:val="center"/>
          </w:tcPr>
          <w:p w14:paraId="73EAD7D8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Numerous inaccurate or outdated statements are present, which may lead to misunderstanding or biased interpretation.</w:t>
            </w:r>
          </w:p>
        </w:tc>
      </w:tr>
      <w:tr w14:paraId="06D843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427" w:type="dxa"/>
            <w:noWrap w:val="0"/>
            <w:vAlign w:val="center"/>
          </w:tcPr>
          <w:p w14:paraId="3EE7B574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68" w:type="dxa"/>
            <w:noWrap w:val="0"/>
            <w:vAlign w:val="center"/>
          </w:tcPr>
          <w:p w14:paraId="3193B702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The content is generally correct; however, some wording is imprecise or lacks adequate evidence support.</w:t>
            </w:r>
          </w:p>
        </w:tc>
      </w:tr>
      <w:tr w14:paraId="0C0044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427" w:type="dxa"/>
            <w:noWrap w:val="0"/>
            <w:vAlign w:val="center"/>
          </w:tcPr>
          <w:p w14:paraId="761C8395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68" w:type="dxa"/>
            <w:noWrap w:val="0"/>
            <w:vAlign w:val="center"/>
          </w:tcPr>
          <w:p w14:paraId="0DAF99DC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The content is accurate and broadly consistent with current guidelines and evidence-based practice.</w:t>
            </w:r>
          </w:p>
        </w:tc>
      </w:tr>
      <w:tr w14:paraId="444AA7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427" w:type="dxa"/>
            <w:noWrap w:val="0"/>
            <w:vAlign w:val="center"/>
          </w:tcPr>
          <w:p w14:paraId="66C7FA36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868" w:type="dxa"/>
            <w:noWrap w:val="0"/>
            <w:vAlign w:val="center"/>
          </w:tcPr>
          <w:p w14:paraId="267EB478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The content is fully accurate, strictly aligned with the most recent guidelines and evidence-based practice, and is presented in a clear and standardized manner.</w:t>
            </w:r>
          </w:p>
        </w:tc>
      </w:tr>
    </w:tbl>
    <w:p w14:paraId="0F877F10">
      <w:pPr>
        <w:rPr>
          <w:rFonts w:hint="eastAsia"/>
          <w:lang w:val="en-US" w:eastAsia="zh-CN"/>
        </w:rPr>
      </w:pPr>
    </w:p>
    <w:p w14:paraId="12156240">
      <w:pPr>
        <w:numPr>
          <w:ilvl w:val="0"/>
          <w:numId w:val="0"/>
        </w:numPr>
        <w:spacing w:line="360" w:lineRule="auto"/>
        <w:ind w:leftChars="0"/>
        <w:rPr>
          <w:rFonts w:hint="eastAsia" w:ascii="Times New Roman" w:hAnsi="Times New Roman" w:eastAsia="宋体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30"/>
          <w:szCs w:val="30"/>
          <w:lang w:val="en-US" w:eastAsia="zh-CN"/>
        </w:rPr>
        <w:t>2、Comprehensiveness</w:t>
      </w:r>
    </w:p>
    <w:p w14:paraId="288CB767">
      <w:pPr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Evaluation criterion: Whether the content covers key elements of health education for patients with multidrug-resistant organism (MDRO) infections.</w:t>
      </w:r>
    </w:p>
    <w:tbl>
      <w:tblPr>
        <w:tblStyle w:val="3"/>
        <w:tblW w:w="829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6868"/>
      </w:tblGrid>
      <w:tr w14:paraId="151071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42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E3F4AD">
            <w:pPr>
              <w:snapToGrid w:val="0"/>
              <w:spacing w:line="360" w:lineRule="auto"/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Score</w:t>
            </w:r>
          </w:p>
        </w:tc>
        <w:tc>
          <w:tcPr>
            <w:tcW w:w="68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BD06F3">
            <w:pPr>
              <w:snapToGrid w:val="0"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Anchoring description</w:t>
            </w:r>
          </w:p>
        </w:tc>
      </w:tr>
      <w:tr w14:paraId="3A29A9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427" w:type="dxa"/>
            <w:tcBorders>
              <w:top w:val="single" w:color="auto" w:sz="4" w:space="0"/>
            </w:tcBorders>
            <w:noWrap w:val="0"/>
            <w:vAlign w:val="center"/>
          </w:tcPr>
          <w:p w14:paraId="4F33EFE2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68" w:type="dxa"/>
            <w:tcBorders>
              <w:top w:val="single" w:color="auto" w:sz="4" w:space="0"/>
            </w:tcBorders>
            <w:noWrap w:val="0"/>
            <w:vAlign w:val="center"/>
          </w:tcPr>
          <w:p w14:paraId="16F06A2C">
            <w:pPr>
              <w:snapToGrid w:val="0"/>
              <w:spacing w:line="360" w:lineRule="auto"/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Substantial omissions; only isolated aspects are addressed.</w:t>
            </w:r>
          </w:p>
        </w:tc>
      </w:tr>
      <w:tr w14:paraId="3D27B9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427" w:type="dxa"/>
            <w:noWrap w:val="0"/>
            <w:vAlign w:val="center"/>
          </w:tcPr>
          <w:p w14:paraId="24BF2417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68" w:type="dxa"/>
            <w:noWrap w:val="0"/>
            <w:vAlign w:val="center"/>
          </w:tcPr>
          <w:p w14:paraId="1DE08789">
            <w:pPr>
              <w:snapToGrid w:val="0"/>
              <w:spacing w:line="360" w:lineRule="auto"/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Limited coverage of key points, with important information missing.</w:t>
            </w:r>
          </w:p>
        </w:tc>
      </w:tr>
      <w:tr w14:paraId="1760E9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427" w:type="dxa"/>
            <w:noWrap w:val="0"/>
            <w:vAlign w:val="center"/>
          </w:tcPr>
          <w:p w14:paraId="6EE5550D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68" w:type="dxa"/>
            <w:noWrap w:val="0"/>
            <w:vAlign w:val="center"/>
          </w:tcPr>
          <w:p w14:paraId="1963CFD0">
            <w:pPr>
              <w:snapToGrid w:val="0"/>
              <w:spacing w:line="360" w:lineRule="auto"/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Some core points are covered, but the presentation is insufficiently systematic or comprehensive.</w:t>
            </w:r>
          </w:p>
        </w:tc>
      </w:tr>
      <w:tr w14:paraId="22F17B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427" w:type="dxa"/>
            <w:noWrap w:val="0"/>
            <w:vAlign w:val="center"/>
          </w:tcPr>
          <w:p w14:paraId="558BECA6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68" w:type="dxa"/>
            <w:noWrap w:val="0"/>
            <w:vAlign w:val="center"/>
          </w:tcPr>
          <w:p w14:paraId="51CCAF83">
            <w:pPr>
              <w:snapToGrid w:val="0"/>
              <w:spacing w:line="360" w:lineRule="auto"/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Most key points are covered, with a relatively complete structure.</w:t>
            </w:r>
          </w:p>
        </w:tc>
      </w:tr>
      <w:tr w14:paraId="19DFE3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427" w:type="dxa"/>
            <w:noWrap w:val="0"/>
            <w:vAlign w:val="center"/>
          </w:tcPr>
          <w:p w14:paraId="229BA9F6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868" w:type="dxa"/>
            <w:noWrap w:val="0"/>
            <w:vAlign w:val="center"/>
          </w:tcPr>
          <w:p w14:paraId="10643371">
            <w:pPr>
              <w:snapToGrid w:val="0"/>
              <w:spacing w:line="360" w:lineRule="auto"/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Systematic and comprehensive coverage of all key points with clear hierarchy and organization.</w:t>
            </w:r>
          </w:p>
        </w:tc>
      </w:tr>
    </w:tbl>
    <w:p w14:paraId="6E6DA6A0">
      <w:pPr>
        <w:numPr>
          <w:ilvl w:val="0"/>
          <w:numId w:val="0"/>
        </w:numPr>
        <w:spacing w:line="360" w:lineRule="auto"/>
        <w:ind w:leftChars="0"/>
        <w:rPr>
          <w:rFonts w:hint="eastAsia" w:ascii="Times New Roman" w:hAnsi="Times New Roman" w:eastAsia="宋体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30"/>
          <w:szCs w:val="30"/>
          <w:lang w:val="en-US" w:eastAsia="zh-CN"/>
        </w:rPr>
        <w:t>3、</w:t>
      </w:r>
      <w:r>
        <w:rPr>
          <w:rFonts w:hint="eastAsia" w:ascii="Times New Roman" w:hAnsi="Times New Roman" w:eastAsia="宋体" w:cs="Times New Roman"/>
          <w:b w:val="0"/>
          <w:bCs w:val="0"/>
          <w:sz w:val="30"/>
          <w:szCs w:val="30"/>
          <w:lang w:val="en-US" w:eastAsia="zh-CN"/>
        </w:rPr>
        <w:t>Safety</w:t>
      </w:r>
    </w:p>
    <w:p w14:paraId="08B5A537">
      <w:pPr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Evaluation criterion: Whether the content contains misinformation, potential health risks, or inappropriate recommendations.</w:t>
      </w:r>
    </w:p>
    <w:tbl>
      <w:tblPr>
        <w:tblStyle w:val="3"/>
        <w:tblW w:w="829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6868"/>
      </w:tblGrid>
      <w:tr w14:paraId="5BAF78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42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tbl>
            <w:tblPr>
              <w:tblW w:w="0" w:type="auto"/>
              <w:tblCellSpacing w:w="15" w:type="dxa"/>
              <w:tblInd w:w="-4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37"/>
            </w:tblGrid>
            <w:tr w14:paraId="1CB2A87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Header/>
                <w:tblCellSpacing w:w="15" w:type="dxa"/>
              </w:trPr>
              <w:tc>
                <w:tcPr>
                  <w:tcW w:w="0" w:type="auto"/>
                  <w:shd w:val="clear"/>
                  <w:vAlign w:val="center"/>
                </w:tcPr>
                <w:p w14:paraId="6CE2AD35">
                  <w:pPr>
                    <w:snapToGrid w:val="0"/>
                    <w:spacing w:line="360" w:lineRule="auto"/>
                    <w:jc w:val="both"/>
                    <w:rPr>
                      <w:rFonts w:hint="default" w:ascii="Times New Roman" w:hAnsi="Times New Roman" w:cs="Times New Roman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en-US" w:eastAsia="zh-CN"/>
                    </w:rPr>
                    <w:t>Score</w:t>
                  </w:r>
                </w:p>
              </w:tc>
            </w:tr>
          </w:tbl>
          <w:p w14:paraId="7F468580">
            <w:pPr>
              <w:snapToGrid w:val="0"/>
              <w:spacing w:line="360" w:lineRule="auto"/>
              <w:ind w:firstLine="480" w:firstLineChars="200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8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F726D3">
            <w:pPr>
              <w:snapToGrid w:val="0"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Anchoring description</w:t>
            </w:r>
          </w:p>
        </w:tc>
      </w:tr>
      <w:tr w14:paraId="29731C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427" w:type="dxa"/>
            <w:tcBorders>
              <w:top w:val="single" w:color="auto" w:sz="4" w:space="0"/>
            </w:tcBorders>
            <w:noWrap w:val="0"/>
            <w:vAlign w:val="center"/>
          </w:tcPr>
          <w:p w14:paraId="510503A6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68" w:type="dxa"/>
            <w:tcBorders>
              <w:top w:val="single" w:color="auto" w:sz="4" w:space="0"/>
            </w:tcBorders>
            <w:noWrap w:val="0"/>
            <w:vAlign w:val="center"/>
          </w:tcPr>
          <w:p w14:paraId="0BBC8552">
            <w:pPr>
              <w:snapToGrid w:val="0"/>
              <w:spacing w:line="360" w:lineRule="auto"/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Contains clearly misleading and/or high-risk recommendations that may endanger the patient or others.</w:t>
            </w:r>
          </w:p>
        </w:tc>
      </w:tr>
      <w:tr w14:paraId="68F366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427" w:type="dxa"/>
            <w:noWrap w:val="0"/>
            <w:vAlign w:val="center"/>
          </w:tcPr>
          <w:p w14:paraId="66AFA67A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68" w:type="dxa"/>
            <w:noWrap w:val="0"/>
            <w:vAlign w:val="center"/>
          </w:tcPr>
          <w:p w14:paraId="7D2F1861">
            <w:pPr>
              <w:snapToGrid w:val="0"/>
              <w:spacing w:line="360" w:lineRule="auto"/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Includes potentially risky information that requires correction by healthcare professionals.</w:t>
            </w:r>
          </w:p>
        </w:tc>
      </w:tr>
      <w:tr w14:paraId="1042EF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427" w:type="dxa"/>
            <w:noWrap w:val="0"/>
            <w:vAlign w:val="center"/>
          </w:tcPr>
          <w:p w14:paraId="3F619DCB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68" w:type="dxa"/>
            <w:noWrap w:val="0"/>
            <w:vAlign w:val="center"/>
          </w:tcPr>
          <w:p w14:paraId="28B2E1A5">
            <w:pPr>
              <w:snapToGrid w:val="0"/>
              <w:spacing w:line="360" w:lineRule="auto"/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Generally safe, but certain statements may be misinterpreted.</w:t>
            </w:r>
          </w:p>
        </w:tc>
      </w:tr>
      <w:tr w14:paraId="3147CF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427" w:type="dxa"/>
            <w:noWrap w:val="0"/>
            <w:vAlign w:val="center"/>
          </w:tcPr>
          <w:p w14:paraId="5F8DAB0C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68" w:type="dxa"/>
            <w:noWrap w:val="0"/>
            <w:vAlign w:val="center"/>
          </w:tcPr>
          <w:p w14:paraId="5D66EA42">
            <w:pPr>
              <w:snapToGrid w:val="0"/>
              <w:spacing w:line="360" w:lineRule="auto"/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Safe overall, with adequate risk warnings and precautions.</w:t>
            </w:r>
          </w:p>
        </w:tc>
      </w:tr>
      <w:tr w14:paraId="65528E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427" w:type="dxa"/>
            <w:noWrap w:val="0"/>
            <w:vAlign w:val="center"/>
          </w:tcPr>
          <w:p w14:paraId="11477573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868" w:type="dxa"/>
            <w:noWrap w:val="0"/>
            <w:vAlign w:val="center"/>
          </w:tcPr>
          <w:p w14:paraId="4E1737DA">
            <w:pPr>
              <w:snapToGrid w:val="0"/>
              <w:spacing w:line="360" w:lineRule="auto"/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Highly safe; no misleading information, with explicit and guideline-concordant risk communication.</w:t>
            </w:r>
          </w:p>
        </w:tc>
      </w:tr>
    </w:tbl>
    <w:p w14:paraId="12F89A97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sz w:val="30"/>
          <w:szCs w:val="30"/>
          <w:lang w:val="en-US" w:eastAsia="zh-CN"/>
        </w:rPr>
      </w:pPr>
    </w:p>
    <w:p w14:paraId="520A6A7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sz w:val="30"/>
          <w:szCs w:val="30"/>
          <w:lang w:val="en-US" w:eastAsia="zh-CN"/>
        </w:rPr>
      </w:pPr>
    </w:p>
    <w:p w14:paraId="6CE9AC57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30"/>
          <w:szCs w:val="30"/>
          <w:lang w:val="en-US" w:eastAsia="zh-CN"/>
        </w:rPr>
        <w:t>4.H</w:t>
      </w:r>
      <w:r>
        <w:rPr>
          <w:rFonts w:hint="default" w:ascii="Times New Roman" w:hAnsi="Times New Roman" w:eastAsia="宋体" w:cs="Times New Roman"/>
          <w:b w:val="0"/>
          <w:bCs w:val="0"/>
          <w:sz w:val="30"/>
          <w:szCs w:val="30"/>
          <w:lang w:val="en-US" w:eastAsia="zh-CN"/>
        </w:rPr>
        <w:t>umanistic care</w:t>
      </w:r>
    </w:p>
    <w:p w14:paraId="6A868DDD">
      <w:pPr>
        <w:snapToGrid w:val="0"/>
        <w:spacing w:line="360" w:lineRule="auto"/>
        <w:ind w:firstLine="480" w:firstLineChars="200"/>
        <w:jc w:val="left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Evaluation criterion: Whether the response demonstrates empathy, respect, and support; considers patients’psychological experiences, emotional needs, and cultural context; uses warm and encouraging language; and helps alleviate anxiety among patients and family caregivers.</w:t>
      </w:r>
    </w:p>
    <w:tbl>
      <w:tblPr>
        <w:tblStyle w:val="3"/>
        <w:tblW w:w="961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8226"/>
      </w:tblGrid>
      <w:tr w14:paraId="46B02E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tbl>
            <w:tblPr>
              <w:tblW w:w="0" w:type="auto"/>
              <w:tblCellSpacing w:w="15" w:type="dxa"/>
              <w:tblInd w:w="-1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784"/>
            </w:tblGrid>
            <w:tr w14:paraId="2D2606D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</w:tblPrEx>
              <w:trPr>
                <w:tblHeader/>
                <w:tblCellSpacing w:w="15" w:type="dxa"/>
              </w:trPr>
              <w:tc>
                <w:tcPr>
                  <w:tcW w:w="724" w:type="dxa"/>
                  <w:shd w:val="clear"/>
                  <w:vAlign w:val="center"/>
                </w:tcPr>
                <w:p w14:paraId="1A013DE6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kern w:val="0"/>
                      <w:sz w:val="24"/>
                      <w:szCs w:val="24"/>
                      <w:lang w:val="en-US" w:eastAsia="zh-CN" w:bidi="ar"/>
                    </w:rPr>
                    <w:t>Score</w:t>
                  </w:r>
                </w:p>
              </w:tc>
            </w:tr>
          </w:tbl>
          <w:p w14:paraId="2220C4F8">
            <w:pPr>
              <w:snapToGrid w:val="0"/>
              <w:spacing w:line="36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tbl>
            <w:tblPr>
              <w:tblW w:w="0" w:type="auto"/>
              <w:tblCellSpacing w:w="15" w:type="dxa"/>
              <w:tblInd w:w="-189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8010"/>
            </w:tblGrid>
            <w:tr w14:paraId="64C8E33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</w:tblPrEx>
              <w:trPr>
                <w:tblCellSpacing w:w="15" w:type="dxa"/>
                <w:hidden/>
              </w:trPr>
              <w:tc>
                <w:tcPr>
                  <w:tcW w:w="180" w:type="dxa"/>
                  <w:shd w:val="clear"/>
                  <w:vAlign w:val="center"/>
                </w:tcPr>
                <w:p w14:paraId="57295A80">
                  <w:pPr>
                    <w:rPr>
                      <w:vanish/>
                      <w:sz w:val="24"/>
                      <w:szCs w:val="24"/>
                    </w:rPr>
                  </w:pPr>
                </w:p>
                <w:tbl>
                  <w:tblPr>
                    <w:tblW w:w="7920" w:type="dxa"/>
                    <w:tblCellSpacing w:w="15" w:type="dxa"/>
                    <w:tblInd w:w="-45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shd w:val="clear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7920"/>
                  </w:tblGrid>
                  <w:tr w14:paraId="125BB266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</w:tblPrEx>
                    <w:trPr>
                      <w:trHeight w:val="521" w:hRule="atLeast"/>
                      <w:tblCellSpacing w:w="15" w:type="dxa"/>
                    </w:trPr>
                    <w:tc>
                      <w:tcPr>
                        <w:tcW w:w="0" w:type="auto"/>
                        <w:shd w:val="clear"/>
                        <w:vAlign w:val="center"/>
                      </w:tcPr>
                      <w:p w14:paraId="0DF06534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bCs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>Anchoring description</w:t>
                        </w:r>
                      </w:p>
                    </w:tc>
                  </w:tr>
                </w:tbl>
                <w:p w14:paraId="3D63D7F6">
                  <w:pPr>
                    <w:jc w:val="center"/>
                    <w:rPr>
                      <w:rFonts w:hint="eastAsia" w:ascii="宋体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20E9E13">
            <w:pPr>
              <w:rPr>
                <w:vanish/>
                <w:sz w:val="24"/>
                <w:szCs w:val="24"/>
              </w:rPr>
            </w:pPr>
          </w:p>
          <w:p w14:paraId="6FBDBC14">
            <w:pPr>
              <w:snapToGrid w:val="0"/>
              <w:spacing w:line="360" w:lineRule="auto"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1A55E5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536" w:type="dxa"/>
            <w:tcBorders>
              <w:top w:val="single" w:color="auto" w:sz="4" w:space="0"/>
            </w:tcBorders>
            <w:noWrap w:val="0"/>
            <w:vAlign w:val="center"/>
          </w:tcPr>
          <w:p w14:paraId="749748C6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077" w:type="dxa"/>
            <w:tcBorders>
              <w:top w:val="single" w:color="auto" w:sz="4" w:space="0"/>
            </w:tcBorders>
            <w:noWrap w:val="0"/>
            <w:vAlign w:val="center"/>
          </w:tcPr>
          <w:p w14:paraId="77B35592">
            <w:pPr>
              <w:snapToGrid w:val="0"/>
              <w:spacing w:line="360" w:lineRule="auto"/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Cold or rigid tone that may increase anxiety or helplessness; lacks emotional support entirely.</w:t>
            </w:r>
          </w:p>
        </w:tc>
      </w:tr>
      <w:tr w14:paraId="718183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536" w:type="dxa"/>
            <w:noWrap w:val="0"/>
            <w:vAlign w:val="center"/>
          </w:tcPr>
          <w:p w14:paraId="0B5DB53E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077" w:type="dxa"/>
            <w:noWrap w:val="0"/>
            <w:vAlign w:val="center"/>
          </w:tcPr>
          <w:p w14:paraId="0D3A92B7">
            <w:pPr>
              <w:snapToGrid w:val="0"/>
              <w:spacing w:line="360" w:lineRule="auto"/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Neutral and mechanical language focused solely on information delivery, with minimal attention to psychological needs.</w:t>
            </w:r>
          </w:p>
        </w:tc>
      </w:tr>
      <w:tr w14:paraId="2AE704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536" w:type="dxa"/>
            <w:noWrap w:val="0"/>
            <w:vAlign w:val="center"/>
          </w:tcPr>
          <w:p w14:paraId="3FD3C8BE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077" w:type="dxa"/>
            <w:noWrap w:val="0"/>
            <w:vAlign w:val="center"/>
          </w:tcPr>
          <w:p w14:paraId="495F3AE7">
            <w:pPr>
              <w:snapToGrid w:val="0"/>
              <w:spacing w:line="360" w:lineRule="auto"/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Shows basic concern, but the expression is formulaic and lacks deep empathy or individualized humanistic care.</w:t>
            </w:r>
          </w:p>
        </w:tc>
      </w:tr>
      <w:tr w14:paraId="2B79B7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536" w:type="dxa"/>
            <w:noWrap w:val="0"/>
            <w:vAlign w:val="center"/>
          </w:tcPr>
          <w:p w14:paraId="006EBF78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077" w:type="dxa"/>
            <w:noWrap w:val="0"/>
            <w:vAlign w:val="center"/>
          </w:tcPr>
          <w:p w14:paraId="2081B2EF">
            <w:pPr>
              <w:snapToGrid w:val="0"/>
              <w:spacing w:line="360" w:lineRule="auto"/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Warm and supportive tone reflecting empathy; uses appropriate encouragement and may help alleviate some anxiety.</w:t>
            </w:r>
          </w:p>
        </w:tc>
      </w:tr>
      <w:tr w14:paraId="0BFD74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536" w:type="dxa"/>
            <w:noWrap w:val="0"/>
            <w:vAlign w:val="center"/>
          </w:tcPr>
          <w:p w14:paraId="097306E3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077" w:type="dxa"/>
            <w:noWrap w:val="0"/>
            <w:vAlign w:val="center"/>
          </w:tcPr>
          <w:p w14:paraId="4BE30849">
            <w:pPr>
              <w:snapToGrid w:val="0"/>
              <w:spacing w:line="360" w:lineRule="auto"/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Strongly humanistic and compassionate; communicates understanding and support from the patient’s perspective, substantially enhancing confidence and sense of safety, with clear emotional reassurance.</w:t>
            </w:r>
          </w:p>
        </w:tc>
      </w:tr>
    </w:tbl>
    <w:p w14:paraId="4DDAEE0F">
      <w:pPr>
        <w:numPr>
          <w:ilvl w:val="0"/>
          <w:numId w:val="0"/>
        </w:numPr>
        <w:spacing w:line="360" w:lineRule="auto"/>
        <w:ind w:leftChars="0"/>
        <w:rPr>
          <w:rFonts w:hint="eastAsia" w:ascii="Times New Roman" w:hAnsi="Times New Roman" w:cs="Times New Roman"/>
          <w:b w:val="0"/>
          <w:bCs w:val="0"/>
          <w:sz w:val="30"/>
          <w:szCs w:val="30"/>
          <w:lang w:val="en-US" w:eastAsia="zh-CN"/>
        </w:rPr>
      </w:pPr>
    </w:p>
    <w:p w14:paraId="7A6EA079">
      <w:pPr>
        <w:numPr>
          <w:ilvl w:val="0"/>
          <w:numId w:val="1"/>
        </w:numPr>
        <w:spacing w:line="360" w:lineRule="auto"/>
        <w:ind w:leftChars="0"/>
        <w:rPr>
          <w:rFonts w:hint="eastAsia" w:ascii="Times New Roman" w:hAnsi="Times New Roman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lang w:val="en-US" w:eastAsia="zh-CN"/>
        </w:rPr>
        <w:t>Practicality</w:t>
      </w:r>
    </w:p>
    <w:p w14:paraId="08A3BE73">
      <w:pPr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Evaluation criterion: Whether the content is specific and feasible; can directly guide patients and caregivers to take actions in daily life; whether steps are clear, contexts are specified, and recommendations are operationalizable.</w:t>
      </w:r>
    </w:p>
    <w:tbl>
      <w:tblPr>
        <w:tblStyle w:val="3"/>
        <w:tblW w:w="979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8106"/>
      </w:tblGrid>
      <w:tr w14:paraId="3284F3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6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tbl>
            <w:tblPr>
              <w:tblW w:w="0" w:type="auto"/>
              <w:tblCellSpacing w:w="15" w:type="dxa"/>
              <w:tblInd w:w="-329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979"/>
            </w:tblGrid>
            <w:tr w14:paraId="7ED514B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</w:tblPrEx>
              <w:trPr>
                <w:tblHeader/>
                <w:tblCellSpacing w:w="15" w:type="dxa"/>
              </w:trPr>
              <w:tc>
                <w:tcPr>
                  <w:tcW w:w="919" w:type="dxa"/>
                  <w:shd w:val="clear"/>
                  <w:vAlign w:val="center"/>
                </w:tcPr>
                <w:p w14:paraId="612A13B8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default" w:ascii="Times New Roman" w:hAnsi="Times New Roman" w:cs="Times New Roman"/>
                      <w:b w:val="0"/>
                      <w:bCs w:val="0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kern w:val="0"/>
                      <w:sz w:val="24"/>
                      <w:szCs w:val="24"/>
                      <w:lang w:val="en-US" w:eastAsia="zh-CN" w:bidi="ar"/>
                    </w:rPr>
                    <w:t>Score</w:t>
                  </w:r>
                </w:p>
              </w:tc>
            </w:tr>
          </w:tbl>
          <w:p w14:paraId="28F68B7A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10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A09903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Anchoring description</w:t>
            </w:r>
          </w:p>
        </w:tc>
      </w:tr>
      <w:tr w14:paraId="37840D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87" w:type="dxa"/>
            <w:tcBorders>
              <w:top w:val="single" w:color="auto" w:sz="4" w:space="0"/>
            </w:tcBorders>
            <w:noWrap w:val="0"/>
            <w:vAlign w:val="center"/>
          </w:tcPr>
          <w:p w14:paraId="7E322050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06" w:type="dxa"/>
            <w:tcBorders>
              <w:top w:val="single" w:color="auto" w:sz="4" w:space="0"/>
            </w:tcBorders>
            <w:noWrap w:val="0"/>
            <w:vAlign w:val="center"/>
          </w:tcPr>
          <w:p w14:paraId="7041D502">
            <w:pPr>
              <w:snapToGrid w:val="0"/>
              <w:spacing w:line="360" w:lineRule="auto"/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Vague and abstract; states only theory/principles without actionable steps; not operationalizable.</w:t>
            </w:r>
          </w:p>
        </w:tc>
      </w:tr>
      <w:tr w14:paraId="578268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687" w:type="dxa"/>
            <w:noWrap w:val="0"/>
            <w:vAlign w:val="center"/>
          </w:tcPr>
          <w:p w14:paraId="0BB2E76A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106" w:type="dxa"/>
            <w:noWrap w:val="0"/>
            <w:vAlign w:val="center"/>
          </w:tcPr>
          <w:p w14:paraId="0242E6A3">
            <w:pPr>
              <w:snapToGrid w:val="0"/>
              <w:spacing w:line="360" w:lineRule="auto"/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Provides a few general suggestions, but wording is ambiguous and lacks details on how/when/how often to act; difficult to implement.</w:t>
            </w:r>
          </w:p>
        </w:tc>
      </w:tr>
      <w:tr w14:paraId="7311D7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87" w:type="dxa"/>
            <w:noWrap w:val="0"/>
            <w:vAlign w:val="center"/>
          </w:tcPr>
          <w:p w14:paraId="041E1BDC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106" w:type="dxa"/>
            <w:noWrap w:val="0"/>
            <w:vAlign w:val="center"/>
          </w:tcPr>
          <w:p w14:paraId="05A2DE15">
            <w:pPr>
              <w:snapToGrid w:val="0"/>
              <w:spacing w:line="360" w:lineRule="auto"/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Offers basic advice with some step descriptions, but insufficient detail or contextual differentiation; implementation may remain confusing.</w:t>
            </w:r>
          </w:p>
        </w:tc>
      </w:tr>
      <w:tr w14:paraId="08DE39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687" w:type="dxa"/>
            <w:noWrap w:val="0"/>
            <w:vAlign w:val="center"/>
          </w:tcPr>
          <w:p w14:paraId="5CAEDF96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106" w:type="dxa"/>
            <w:noWrap w:val="0"/>
            <w:vAlign w:val="center"/>
          </w:tcPr>
          <w:p w14:paraId="582B5FB5">
            <w:pPr>
              <w:snapToGrid w:val="0"/>
              <w:spacing w:line="360" w:lineRule="auto"/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Clear recommendations with explicit steps; differentiates scenarios; highly feasible and directly usable.</w:t>
            </w:r>
          </w:p>
        </w:tc>
      </w:tr>
      <w:tr w14:paraId="34B980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87" w:type="dxa"/>
            <w:noWrap w:val="0"/>
            <w:vAlign w:val="center"/>
          </w:tcPr>
          <w:p w14:paraId="3C25F5E1">
            <w:pPr>
              <w:snapToGrid w:val="0"/>
              <w:spacing w:line="36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106" w:type="dxa"/>
            <w:noWrap w:val="0"/>
            <w:vAlign w:val="center"/>
          </w:tcPr>
          <w:p w14:paraId="56CD819F">
            <w:pPr>
              <w:snapToGrid w:val="0"/>
              <w:spacing w:line="360" w:lineRule="auto"/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Highly structured and scenario-based; provides step-by-step guidance, concrete examples, tool/resource suggestions, and cautions; easily translated into real-world behaviors.</w:t>
            </w:r>
          </w:p>
        </w:tc>
      </w:tr>
    </w:tbl>
    <w:p w14:paraId="444B808F">
      <w:pPr>
        <w:keepNext w:val="0"/>
        <w:keepLines w:val="0"/>
        <w:widowControl/>
        <w:numPr>
          <w:ilvl w:val="0"/>
          <w:numId w:val="0"/>
        </w:numPr>
        <w:suppressLineNumbers w:val="0"/>
        <w:snapToGrid w:val="0"/>
        <w:jc w:val="both"/>
        <w:textAlignment w:val="center"/>
        <w:rPr>
          <w:rFonts w:hint="default" w:ascii="宋体" w:hAnsi="宋体" w:cs="宋体"/>
          <w:b/>
          <w:bCs/>
          <w:i w:val="0"/>
          <w:iCs w:val="0"/>
          <w:color w:val="auto"/>
          <w:sz w:val="32"/>
          <w:szCs w:val="32"/>
          <w:u w:val="none"/>
          <w:lang w:val="en-US" w:eastAsia="zh-CN"/>
        </w:rPr>
      </w:pPr>
    </w:p>
    <w:p w14:paraId="41BB921F">
      <w:pPr>
        <w:rPr>
          <w:rFonts w:hint="eastAsia"/>
          <w:lang w:val="en-US" w:eastAsia="zh-CN"/>
        </w:rPr>
      </w:pPr>
    </w:p>
    <w:p w14:paraId="0513B64B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662D98"/>
    <w:multiLevelType w:val="singleLevel"/>
    <w:tmpl w:val="99662D98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626C76"/>
    <w:rsid w:val="1DC6338F"/>
    <w:rsid w:val="24D84792"/>
    <w:rsid w:val="2BFD2672"/>
    <w:rsid w:val="47A7732C"/>
    <w:rsid w:val="4CFB09F8"/>
    <w:rsid w:val="4D7F33D7"/>
    <w:rsid w:val="724812E0"/>
    <w:rsid w:val="7733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978</Words>
  <Characters>980</Characters>
  <Lines>0</Lines>
  <Paragraphs>0</Paragraphs>
  <TotalTime>18</TotalTime>
  <ScaleCrop>false</ScaleCrop>
  <LinksUpToDate>false</LinksUpToDate>
  <CharactersWithSpaces>981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2026-01-30T08:53:00Z</dcterms:created>
  <dc:creator>myx2002</dc:creator>
  <cp:lastModifiedBy>M.</cp:lastModifiedBy>
  <dcterms:modified xsi:type="dcterms:W3CDTF">2026-03-07T09:23:38Z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eyJoZGlkIjoiZDcxNzdhYjg1MTE5OGZiOTAzYTRmOGYxY2ZiZDUyZWQiLCJ1c2VySWQiOiIxMjY1MjgyNDgxIn0=</vt:lpwstr>
  </property>
  <property fmtid="{D5CDD505-2E9C-101B-9397-08002B2CF9AE}" pid="4" name="ICV">
    <vt:lpwstr>91C4559300BC49BF8ED90CB38C7C7F88_12</vt:lpwstr>
  </property>
</Properties>
</file>