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778"/>
        <w:tblW w:w="11070" w:type="dxa"/>
        <w:tblLayout w:type="fixed"/>
        <w:tblLook w:val="04A0" w:firstRow="1" w:lastRow="0" w:firstColumn="1" w:lastColumn="0" w:noHBand="0" w:noVBand="1"/>
      </w:tblPr>
      <w:tblGrid>
        <w:gridCol w:w="1491"/>
        <w:gridCol w:w="2374"/>
        <w:gridCol w:w="1031"/>
        <w:gridCol w:w="1116"/>
        <w:gridCol w:w="5058"/>
      </w:tblGrid>
      <w:tr w:rsidR="008653EE" w:rsidRPr="00441D5F" w:rsidTr="006A5174">
        <w:tc>
          <w:tcPr>
            <w:tcW w:w="11070" w:type="dxa"/>
            <w:gridSpan w:val="5"/>
          </w:tcPr>
          <w:p w:rsidR="008653EE" w:rsidRPr="00441D5F" w:rsidRDefault="008653EE" w:rsidP="006A517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41D5F">
              <w:rPr>
                <w:b/>
                <w:sz w:val="24"/>
                <w:szCs w:val="24"/>
              </w:rPr>
              <w:t>Syndromic autism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Gene Symbol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Full Name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Chromo</w:t>
            </w:r>
          </w:p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some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Position (</w:t>
            </w:r>
            <w:proofErr w:type="spellStart"/>
            <w:r w:rsidRPr="00441D5F">
              <w:rPr>
                <w:sz w:val="24"/>
                <w:szCs w:val="24"/>
              </w:rPr>
              <w:t>Mbp</w:t>
            </w:r>
            <w:proofErr w:type="spellEnd"/>
            <w:r w:rsidRPr="00441D5F">
              <w:rPr>
                <w:sz w:val="24"/>
                <w:szCs w:val="24"/>
              </w:rPr>
              <w:t>)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Function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CSNK2A1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casein kinase 2 alpha 1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20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0.4725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 xml:space="preserve">Cell cycle, death, and circadian rhythm 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SUPT16H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 xml:space="preserve">SPT16 homolog, facilitates chromatin </w:t>
            </w:r>
            <w:proofErr w:type="spellStart"/>
            <w:r w:rsidRPr="00441D5F">
              <w:rPr>
                <w:sz w:val="24"/>
                <w:szCs w:val="24"/>
              </w:rPr>
              <w:t>remodeling</w:t>
            </w:r>
            <w:proofErr w:type="spellEnd"/>
            <w:r w:rsidRPr="00441D5F">
              <w:rPr>
                <w:sz w:val="24"/>
                <w:szCs w:val="24"/>
              </w:rPr>
              <w:t xml:space="preserve"> subunit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14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21.3515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FACT complex, (unlock tightly packed DNA for gene transcription).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PHIP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441D5F">
              <w:rPr>
                <w:sz w:val="24"/>
                <w:szCs w:val="24"/>
              </w:rPr>
              <w:t>pleckstrin</w:t>
            </w:r>
            <w:proofErr w:type="spellEnd"/>
            <w:r w:rsidRPr="00441D5F">
              <w:rPr>
                <w:sz w:val="24"/>
                <w:szCs w:val="24"/>
              </w:rPr>
              <w:t xml:space="preserve"> homology domain interacting protein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6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78.9344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Translocation of the glucose transporter in skeletal muscle cells by binding to the insulin receptor substrate 1 protein.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CHD3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chromodomain helicase DNA binding protein 3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17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7.8848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 xml:space="preserve">Chromatin </w:t>
            </w:r>
            <w:proofErr w:type="spellStart"/>
            <w:r w:rsidRPr="00441D5F">
              <w:rPr>
                <w:sz w:val="24"/>
                <w:szCs w:val="24"/>
              </w:rPr>
              <w:t>remodeling</w:t>
            </w:r>
            <w:proofErr w:type="spellEnd"/>
            <w:r w:rsidRPr="00441D5F">
              <w:rPr>
                <w:sz w:val="24"/>
                <w:szCs w:val="24"/>
              </w:rPr>
              <w:t xml:space="preserve"> via histone deacetylation, and facilitating the transcription by altering nucleosome structure.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AGO2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441D5F">
              <w:rPr>
                <w:sz w:val="24"/>
                <w:szCs w:val="24"/>
              </w:rPr>
              <w:t>argonaute</w:t>
            </w:r>
            <w:proofErr w:type="spellEnd"/>
            <w:r w:rsidRPr="00441D5F">
              <w:rPr>
                <w:sz w:val="24"/>
                <w:szCs w:val="24"/>
              </w:rPr>
              <w:t xml:space="preserve"> RISC catalytic component 2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8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140.5202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 xml:space="preserve">RNA interference (RNAi), Gene silencing </w:t>
            </w:r>
          </w:p>
        </w:tc>
      </w:tr>
      <w:tr w:rsidR="008653EE" w:rsidRPr="00441D5F" w:rsidTr="006A5174">
        <w:tc>
          <w:tcPr>
            <w:tcW w:w="11070" w:type="dxa"/>
            <w:gridSpan w:val="5"/>
          </w:tcPr>
          <w:p w:rsidR="008653EE" w:rsidRPr="00441D5F" w:rsidRDefault="008653EE" w:rsidP="006A517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41D5F">
              <w:rPr>
                <w:b/>
                <w:sz w:val="24"/>
                <w:szCs w:val="24"/>
              </w:rPr>
              <w:t>Idiopathic Autism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UBA52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ubiquitin A-52 residue ribosomal protein fusion product 1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19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18.5717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Ubiquitin Delivery, Regulation of protein production and turnover.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color w:val="1F1F1F"/>
                <w:sz w:val="24"/>
                <w:szCs w:val="24"/>
              </w:rPr>
              <w:t>RPS27A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ribosomal protein S27a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2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55.2319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Ribosome assembly, cell cycle arrest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color w:val="1F1F1F"/>
                <w:sz w:val="24"/>
                <w:szCs w:val="24"/>
              </w:rPr>
              <w:t>KAT2B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lysine acetyltransferase 2B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3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20.0404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N-acetyltransferase activity, cyclin-dependent protein serine/threonine kinase inhibitor activity, transcription coactivator activity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color w:val="1F1F1F"/>
                <w:sz w:val="24"/>
                <w:szCs w:val="24"/>
              </w:rPr>
              <w:t>AR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androgen receptor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X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67.5440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Male reproductive system functioning and secondary sexual characteristics development</w:t>
            </w:r>
          </w:p>
        </w:tc>
      </w:tr>
      <w:tr w:rsidR="008653EE" w:rsidRPr="00441D5F" w:rsidTr="006A5174">
        <w:tc>
          <w:tcPr>
            <w:tcW w:w="149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color w:val="1F1F1F"/>
                <w:sz w:val="24"/>
                <w:szCs w:val="24"/>
              </w:rPr>
              <w:t>H3C1</w:t>
            </w:r>
          </w:p>
        </w:tc>
        <w:tc>
          <w:tcPr>
            <w:tcW w:w="2374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H3 clustered histone 1</w:t>
            </w:r>
          </w:p>
        </w:tc>
        <w:tc>
          <w:tcPr>
            <w:tcW w:w="1031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6</w:t>
            </w:r>
          </w:p>
        </w:tc>
        <w:tc>
          <w:tcPr>
            <w:tcW w:w="1116" w:type="dxa"/>
          </w:tcPr>
          <w:p w:rsidR="008653EE" w:rsidRPr="00441D5F" w:rsidRDefault="008653EE" w:rsidP="006A517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26.0205</w:t>
            </w:r>
          </w:p>
        </w:tc>
        <w:tc>
          <w:tcPr>
            <w:tcW w:w="5058" w:type="dxa"/>
          </w:tcPr>
          <w:p w:rsidR="008653EE" w:rsidRPr="00441D5F" w:rsidRDefault="008653EE" w:rsidP="006A5174">
            <w:pPr>
              <w:spacing w:line="360" w:lineRule="auto"/>
              <w:rPr>
                <w:sz w:val="24"/>
                <w:szCs w:val="24"/>
              </w:rPr>
            </w:pPr>
            <w:r w:rsidRPr="00441D5F">
              <w:rPr>
                <w:sz w:val="24"/>
                <w:szCs w:val="24"/>
              </w:rPr>
              <w:t>Transcription regulation, DNA repair, DNA replication and chromosomal stability</w:t>
            </w:r>
          </w:p>
        </w:tc>
      </w:tr>
    </w:tbl>
    <w:p w:rsidR="006A5174" w:rsidRDefault="006A5174" w:rsidP="003F7ED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-655320</wp:posOffset>
                </wp:positionH>
                <wp:positionV relativeFrom="paragraph">
                  <wp:posOffset>-1421130</wp:posOffset>
                </wp:positionV>
                <wp:extent cx="7261860" cy="8610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1860" cy="861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A5174" w:rsidRPr="006A5174" w:rsidRDefault="006A5174" w:rsidP="003F7ED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Title: </w:t>
                            </w:r>
                            <w:r w:rsidRPr="006A51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 Systems-Level Multi-Omics Dissection of Syndromic and Idiopathic Autism Reveals Distinct Regulatory Architectures, Molecular Biomarkers, and Therapeutic Vulnerabilities</w:t>
                            </w:r>
                            <w:r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3F7ED6" w:rsidRPr="006A5174" w:rsidRDefault="003F7ED6" w:rsidP="003F7ED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="006A5174"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</w:t>
                            </w:r>
                            <w:r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1. The detailed description of the top five syndromic, and idiopathic autism</w:t>
                            </w:r>
                          </w:p>
                          <w:p w:rsidR="003F7ED6" w:rsidRPr="006A5174" w:rsidRDefault="003F7ED6" w:rsidP="003F7ED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A517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hub genes</w:t>
                            </w:r>
                          </w:p>
                          <w:p w:rsidR="003F7ED6" w:rsidRPr="003F7ED6" w:rsidRDefault="003F7ED6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1.6pt;margin-top:-111.9pt;width:571.8pt;height:6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" fillcolor="white [3201]" stroked="f" strokeweight=".5pt">
                <v:textbox>
                  <w:txbxContent>
                    <w:p w:rsidR="006A5174" w:rsidRPr="006A5174" w:rsidRDefault="006A5174" w:rsidP="003F7ED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Title: </w:t>
                      </w:r>
                      <w:r w:rsidRPr="006A51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 Systems-Level Multi-Omics Dissection of Syndromic and Idiopathic Autism Reveals Distinct Regulatory Architectures, Molecular Biomarkers, and Therapeutic Vulnerabilities</w:t>
                      </w:r>
                      <w:r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3F7ED6" w:rsidRPr="006A5174" w:rsidRDefault="003F7ED6" w:rsidP="003F7ED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Table </w:t>
                      </w:r>
                      <w:r w:rsidR="006A5174"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</w:t>
                      </w:r>
                      <w:r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1. The detailed description of the top five syndromic, and idiopathic autism</w:t>
                      </w:r>
                    </w:p>
                    <w:p w:rsidR="003F7ED6" w:rsidRPr="006A5174" w:rsidRDefault="003F7ED6" w:rsidP="003F7ED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A517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hub genes</w:t>
                      </w:r>
                    </w:p>
                    <w:p w:rsidR="003F7ED6" w:rsidRPr="003F7ED6" w:rsidRDefault="003F7ED6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10" w:type="dxa"/>
        <w:jc w:val="center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1350"/>
        <w:gridCol w:w="1170"/>
        <w:gridCol w:w="1181"/>
        <w:gridCol w:w="1029"/>
        <w:gridCol w:w="1200"/>
        <w:gridCol w:w="1450"/>
      </w:tblGrid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rFonts w:eastAsia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B2C50A" wp14:editId="2F3DF26A">
                      <wp:simplePos x="0" y="0"/>
                      <wp:positionH relativeFrom="column">
                        <wp:posOffset>-405765</wp:posOffset>
                      </wp:positionH>
                      <wp:positionV relativeFrom="paragraph">
                        <wp:posOffset>-1374140</wp:posOffset>
                      </wp:positionV>
                      <wp:extent cx="6827520" cy="135636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27520" cy="1356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A5174" w:rsidRPr="002D55D4" w:rsidRDefault="006A5174" w:rsidP="006A5174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2D55D4">
                                    <w:rPr>
                                      <w:rStyle w:val="Strong"/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Table S2. Integrative multi-omics characterization of subtype-specific hub genes in autism.</w:t>
                                  </w:r>
                                  <w:r w:rsidRPr="002D55D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Hub genes identified from protein–protein interaction networks were evaluated using centrality metrics, regional brain expression (</w:t>
                                  </w:r>
                                  <w:proofErr w:type="spellStart"/>
                                  <w:r w:rsidRPr="002D55D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GTEx</w:t>
                                  </w:r>
                                  <w:proofErr w:type="spellEnd"/>
                                  <w:r w:rsidRPr="002D55D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, HPA), cell-type enrichment (Allen Brain Atlas), miRNA regulatory architecture, predicted drug interactions with blood–brain barrier assessment, and biomarker suitability. Genes were stratified into primary, secondary, and low-specificity candidates based on combined systems-level evidence.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B2C50A" id="Text Box 2" o:spid="_x0000_s1027" type="#_x0000_t202" style="position:absolute;left:0;text-align:left;margin-left:-31.95pt;margin-top:-108.2pt;width:537.6pt;height:10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" fillcolor="white [3201]" stroked="f" strokeweight=".5pt">
                      <v:textbox>
                        <w:txbxContent>
                          <w:p w:rsidR="006A5174" w:rsidRPr="002D55D4" w:rsidRDefault="006A5174" w:rsidP="006A517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D55D4">
                              <w:rPr>
                                <w:rStyle w:val="Strong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Table S2. Integrative multi-omics characterization of subtype-specific hub genes in autism.</w:t>
                            </w:r>
                            <w:r w:rsidRPr="002D55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Hub genes identified from protein–protein interaction networks were evaluated using centrality metrics, regional brain expression (</w:t>
                            </w:r>
                            <w:proofErr w:type="spellStart"/>
                            <w:r w:rsidRPr="002D55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GTEx</w:t>
                            </w:r>
                            <w:proofErr w:type="spellEnd"/>
                            <w:r w:rsidRPr="002D55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HPA), cell-type enrichment (Allen Brain Atlas), miRNA regulatory architecture, predicted drug interactions with blood–brain barrier assessment, and biomarker suitability. Genes were stratified into primary, secondary, and low-specificity candidates based on combined systems-level evidence.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Autism Subtype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Hub Gene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Network Centrality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Brain Regional Expression (</w:t>
            </w:r>
            <w:proofErr w:type="spellStart"/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GTEx</w:t>
            </w:r>
            <w:proofErr w:type="spellEnd"/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/HPA)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Cell-Type Enrichment (Allen Atlas)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miRNA Regulatory Control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Druggability</w:t>
            </w:r>
            <w:proofErr w:type="spellEnd"/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 xml:space="preserve"> / Translational Relevance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Biomarker Suitability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 xml:space="preserve">Idiopathic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KAT2B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High (top-ranked hub across multiple 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cytoHubba</w:t>
            </w:r>
            <w:proofErr w:type="spellEnd"/>
            <w:r w:rsidRPr="000E2221">
              <w:rPr>
                <w:rFonts w:eastAsia="Times New Roman"/>
                <w:sz w:val="24"/>
                <w:szCs w:val="24"/>
              </w:rPr>
              <w:t xml:space="preserve"> algorithms)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Moderate–high expression across cortex, hippocampus, cerebellum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Strong expression in neurons and oligodendrocyte precursor cells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Regulated by multiple brain-expressed miRNAs (master regulator targets)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Predicted drug interaction (PHA-665752); epigenetic enzyme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Primary biomarker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Idiopathic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AR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 (hub with fewer connections)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Low–moderate expression, enriched in hypothalamus and substantia 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nigra</w:t>
            </w:r>
            <w:proofErr w:type="spellEnd"/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Enriched in excitatory/inhibitory neurons and OPCs; low in microglia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Predicted drug interactions (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Isosilybin</w:t>
            </w:r>
            <w:proofErr w:type="spellEnd"/>
            <w:r w:rsidRPr="000E2221">
              <w:rPr>
                <w:rFonts w:eastAsia="Times New Roman"/>
                <w:sz w:val="24"/>
                <w:szCs w:val="24"/>
              </w:rPr>
              <w:t xml:space="preserve">); hormone 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signaling</w:t>
            </w:r>
            <w:proofErr w:type="spellEnd"/>
            <w:r w:rsidRPr="000E2221">
              <w:rPr>
                <w:rFonts w:eastAsia="Times New Roman"/>
                <w:sz w:val="24"/>
                <w:szCs w:val="24"/>
              </w:rPr>
              <w:t xml:space="preserve"> relevance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Secondary / stratification biomarker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Idiopathic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UBA52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Ubiquitously high across all brain regions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Broad expression across all cell types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Drug interaction predicted (Torin-1)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Low specificity (housekeeping)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Idiopathic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RPS27A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Ubiquitously high across all brain regions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Broad expression across all cell types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Limited CNS-specific targeting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Low specificity (ribosomal)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lastRenderedPageBreak/>
              <w:t xml:space="preserve">Idiopathic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H3C1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Very low or negligible expression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Minimal expression across all cell types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Limited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No clear drug relevance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Poor biomarker candidate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91461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914611">
              <w:rPr>
                <w:rFonts w:eastAsia="Times New Roman"/>
                <w:bCs/>
                <w:sz w:val="24"/>
                <w:szCs w:val="24"/>
              </w:rPr>
              <w:t>Syndromic 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CHD3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Very high (dominant hub)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 expression in cortex, hippocampus, cerebellum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Strong neuronal and glial expression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Targeted by multiple master miRNAs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High-confidence drug interactions (Tacrolimus, 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Fananserin</w:t>
            </w:r>
            <w:proofErr w:type="spellEnd"/>
            <w:r w:rsidRPr="000E2221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b/>
                <w:bCs/>
                <w:sz w:val="24"/>
                <w:szCs w:val="24"/>
              </w:rPr>
              <w:t>Primary biomarker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Syndromic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CSNK2A1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 expression with cerebellar enrichment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Neuronal and glial enrichment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Kinase target; druggable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Secondary biomarker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Syndromic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SUPT16H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Strong cerebellar enrichment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Broad neuronal and glial expression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Predicted BBB-permeable compounds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Secondary biomarker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Syndromic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PHIP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 across brain regions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Ubiquitous across cell types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miRNA-regulated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Metabolic </w:t>
            </w:r>
            <w:proofErr w:type="spellStart"/>
            <w:r w:rsidRPr="000E2221">
              <w:rPr>
                <w:rFonts w:eastAsia="Times New Roman"/>
                <w:sz w:val="24"/>
                <w:szCs w:val="24"/>
              </w:rPr>
              <w:t>signaling</w:t>
            </w:r>
            <w:proofErr w:type="spellEnd"/>
            <w:r w:rsidRPr="000E2221">
              <w:rPr>
                <w:rFonts w:eastAsia="Times New Roman"/>
                <w:sz w:val="24"/>
                <w:szCs w:val="24"/>
              </w:rPr>
              <w:t xml:space="preserve"> relevance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Low specificity</w:t>
            </w:r>
          </w:p>
        </w:tc>
      </w:tr>
      <w:tr w:rsidR="006A5174" w:rsidRPr="000E2221" w:rsidTr="00CB7B33">
        <w:trPr>
          <w:jc w:val="center"/>
        </w:trPr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 xml:space="preserve">Syndromic </w:t>
            </w:r>
            <w:r>
              <w:rPr>
                <w:rFonts w:eastAsia="Times New Roman"/>
                <w:sz w:val="24"/>
                <w:szCs w:val="24"/>
              </w:rPr>
              <w:t>Autism</w:t>
            </w:r>
          </w:p>
        </w:tc>
        <w:tc>
          <w:tcPr>
            <w:tcW w:w="108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AGO2</w:t>
            </w:r>
          </w:p>
        </w:tc>
        <w:tc>
          <w:tcPr>
            <w:tcW w:w="13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</w:t>
            </w:r>
          </w:p>
        </w:tc>
        <w:tc>
          <w:tcPr>
            <w:tcW w:w="117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Moderate across brain regions</w:t>
            </w:r>
          </w:p>
        </w:tc>
        <w:tc>
          <w:tcPr>
            <w:tcW w:w="1181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Neuronal and glial expression</w:t>
            </w:r>
          </w:p>
        </w:tc>
        <w:tc>
          <w:tcPr>
            <w:tcW w:w="1029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Core miRNA machinery</w:t>
            </w:r>
          </w:p>
        </w:tc>
        <w:tc>
          <w:tcPr>
            <w:tcW w:w="120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High pleiotropy</w:t>
            </w:r>
          </w:p>
        </w:tc>
        <w:tc>
          <w:tcPr>
            <w:tcW w:w="1450" w:type="dxa"/>
            <w:hideMark/>
          </w:tcPr>
          <w:p w:rsidR="006A5174" w:rsidRPr="000E2221" w:rsidRDefault="006A5174" w:rsidP="00CB7B33">
            <w:pPr>
              <w:rPr>
                <w:rFonts w:eastAsia="Times New Roman"/>
                <w:sz w:val="24"/>
                <w:szCs w:val="24"/>
              </w:rPr>
            </w:pPr>
            <w:r w:rsidRPr="000E2221">
              <w:rPr>
                <w:rFonts w:eastAsia="Times New Roman"/>
                <w:sz w:val="24"/>
                <w:szCs w:val="24"/>
              </w:rPr>
              <w:t>Low specificity</w:t>
            </w:r>
          </w:p>
        </w:tc>
      </w:tr>
    </w:tbl>
    <w:p w:rsidR="006A5174" w:rsidRDefault="006A5174" w:rsidP="006A5174"/>
    <w:p w:rsidR="00191643" w:rsidRDefault="00191643" w:rsidP="003F7ED6"/>
    <w:p w:rsidR="0087657A" w:rsidRDefault="0087657A" w:rsidP="003F7ED6"/>
    <w:p w:rsidR="0087657A" w:rsidRDefault="0087657A" w:rsidP="003F7ED6">
      <w:bookmarkStart w:id="0" w:name="_GoBack"/>
      <w:bookmarkEnd w:id="0"/>
    </w:p>
    <w:sectPr w:rsidR="0087657A" w:rsidSect="006A5174">
      <w:footerReference w:type="default" r:id="rId6"/>
      <w:pgSz w:w="12240" w:h="15840"/>
      <w:pgMar w:top="27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6FE" w:rsidRDefault="008C26FE" w:rsidP="006A5174">
      <w:pPr>
        <w:spacing w:after="0" w:line="240" w:lineRule="auto"/>
      </w:pPr>
      <w:r>
        <w:separator/>
      </w:r>
    </w:p>
  </w:endnote>
  <w:endnote w:type="continuationSeparator" w:id="0">
    <w:p w:rsidR="008C26FE" w:rsidRDefault="008C26FE" w:rsidP="006A5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5174" w:rsidRDefault="006A5174">
    <w:pPr>
      <w:pStyle w:val="Footer"/>
    </w:pPr>
  </w:p>
  <w:p w:rsidR="006A5174" w:rsidRDefault="006A5174">
    <w:pPr>
      <w:pStyle w:val="Footer"/>
    </w:pPr>
  </w:p>
  <w:p w:rsidR="006A5174" w:rsidRDefault="006A5174">
    <w:pPr>
      <w:pStyle w:val="Footer"/>
    </w:pPr>
    <w: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6FE" w:rsidRDefault="008C26FE" w:rsidP="006A5174">
      <w:pPr>
        <w:spacing w:after="0" w:line="240" w:lineRule="auto"/>
      </w:pPr>
      <w:r>
        <w:separator/>
      </w:r>
    </w:p>
  </w:footnote>
  <w:footnote w:type="continuationSeparator" w:id="0">
    <w:p w:rsidR="008C26FE" w:rsidRDefault="008C26FE" w:rsidP="006A51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EE"/>
    <w:rsid w:val="00191643"/>
    <w:rsid w:val="003F7ED6"/>
    <w:rsid w:val="006A5174"/>
    <w:rsid w:val="007C1FC8"/>
    <w:rsid w:val="008653EE"/>
    <w:rsid w:val="0087657A"/>
    <w:rsid w:val="008C26FE"/>
    <w:rsid w:val="00A9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5EBCC"/>
  <w15:chartTrackingRefBased/>
  <w15:docId w15:val="{7548A143-4F28-40A5-ABE4-96A23220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53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3E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F7ED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A51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174"/>
  </w:style>
  <w:style w:type="paragraph" w:styleId="Footer">
    <w:name w:val="footer"/>
    <w:basedOn w:val="Normal"/>
    <w:link w:val="FooterChar"/>
    <w:uiPriority w:val="99"/>
    <w:unhideWhenUsed/>
    <w:rsid w:val="006A51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174"/>
  </w:style>
  <w:style w:type="character" w:styleId="Strong">
    <w:name w:val="Strong"/>
    <w:basedOn w:val="DefaultParagraphFont"/>
    <w:uiPriority w:val="22"/>
    <w:qFormat/>
    <w:rsid w:val="006A51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AshaKamesh</dc:creator>
  <cp:keywords/>
  <dc:description/>
  <cp:lastModifiedBy>AshaKamesh</cp:lastModifiedBy>
  <cp:revision>4</cp:revision>
  <dcterms:created xsi:type="dcterms:W3CDTF">2025-12-26T18:31:00Z</dcterms:created>
  <dcterms:modified xsi:type="dcterms:W3CDTF">2026-02-17T22:08:00Z</dcterms:modified>
</cp:coreProperties>
</file>