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D0871" w14:textId="77777777" w:rsidR="004774EC" w:rsidRPr="004774EC" w:rsidRDefault="004774EC" w:rsidP="004774EC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en-AU"/>
        </w:rPr>
      </w:pPr>
      <w:r w:rsidRPr="004774EC">
        <w:rPr>
          <w:rFonts w:eastAsia="Times New Roman" w:cstheme="minorHAnsi"/>
          <w:b/>
          <w:bCs/>
          <w:sz w:val="24"/>
          <w:szCs w:val="24"/>
          <w:lang w:eastAsia="en-AU"/>
        </w:rPr>
        <w:t>Disparities in Bowel Preparation Quality for Colonoscopy in Central Australia: A Retrospective Cohort Study at Alice Springs Hospital</w:t>
      </w:r>
    </w:p>
    <w:p w14:paraId="37CA38E6" w14:textId="1239D5F9" w:rsidR="00333974" w:rsidRPr="0060542B" w:rsidRDefault="00333974" w:rsidP="00333974">
      <w:pPr>
        <w:rPr>
          <w:rFonts w:cstheme="majorHAnsi"/>
          <w:color w:val="000000" w:themeColor="text1"/>
          <w:sz w:val="24"/>
          <w:szCs w:val="24"/>
        </w:rPr>
      </w:pPr>
      <w:r w:rsidRPr="0060542B">
        <w:rPr>
          <w:rFonts w:cstheme="majorHAnsi"/>
          <w:color w:val="000000" w:themeColor="text1"/>
          <w:sz w:val="24"/>
          <w:szCs w:val="24"/>
        </w:rPr>
        <w:t>A total of 125 colonoscopies were analyzed (First Nations 35, non</w:t>
      </w:r>
      <w:r w:rsidRPr="0060542B">
        <w:rPr>
          <w:rFonts w:ascii="Cambria Math" w:hAnsi="Cambria Math" w:cs="Cambria Math"/>
          <w:color w:val="000000" w:themeColor="text1"/>
          <w:sz w:val="24"/>
          <w:szCs w:val="24"/>
        </w:rPr>
        <w:t>‑</w:t>
      </w:r>
      <w:r w:rsidRPr="0060542B">
        <w:rPr>
          <w:rFonts w:cstheme="majorHAnsi"/>
          <w:color w:val="000000" w:themeColor="text1"/>
          <w:sz w:val="24"/>
          <w:szCs w:val="24"/>
        </w:rPr>
        <w:t>First Nations 90). Mean BBPS was 6.0</w:t>
      </w:r>
      <w:r w:rsidRPr="0060542B">
        <w:rPr>
          <w:rFonts w:cs="Calibri"/>
          <w:color w:val="000000" w:themeColor="text1"/>
          <w:sz w:val="24"/>
          <w:szCs w:val="24"/>
        </w:rPr>
        <w:t>±</w:t>
      </w:r>
      <w:r w:rsidRPr="0060542B">
        <w:rPr>
          <w:rFonts w:cstheme="majorHAnsi"/>
          <w:color w:val="000000" w:themeColor="text1"/>
          <w:sz w:val="24"/>
          <w:szCs w:val="24"/>
        </w:rPr>
        <w:t>1.8 for First Nations vs 7.8</w:t>
      </w:r>
      <w:r w:rsidRPr="0060542B">
        <w:rPr>
          <w:rFonts w:cs="Calibri"/>
          <w:color w:val="000000" w:themeColor="text1"/>
          <w:sz w:val="24"/>
          <w:szCs w:val="24"/>
        </w:rPr>
        <w:t>±</w:t>
      </w:r>
      <w:r w:rsidRPr="0060542B">
        <w:rPr>
          <w:rFonts w:cstheme="majorHAnsi"/>
          <w:color w:val="000000" w:themeColor="text1"/>
          <w:sz w:val="24"/>
          <w:szCs w:val="24"/>
        </w:rPr>
        <w:t>1.6 for non</w:t>
      </w:r>
      <w:r w:rsidRPr="0060542B">
        <w:rPr>
          <w:rFonts w:ascii="Cambria Math" w:hAnsi="Cambria Math" w:cs="Cambria Math"/>
          <w:color w:val="000000" w:themeColor="text1"/>
          <w:sz w:val="24"/>
          <w:szCs w:val="24"/>
        </w:rPr>
        <w:t>‑</w:t>
      </w:r>
      <w:r w:rsidRPr="0060542B">
        <w:rPr>
          <w:rFonts w:cstheme="majorHAnsi"/>
          <w:color w:val="000000" w:themeColor="text1"/>
          <w:sz w:val="24"/>
          <w:szCs w:val="24"/>
        </w:rPr>
        <w:t>First Nations patients (p&lt;0.001). Inadequate bowel preparation (BBPS &lt;6) occurred in 28.6% vs 7.8% (p=0.002).</w:t>
      </w:r>
    </w:p>
    <w:p w14:paraId="63F5A319" w14:textId="77777777" w:rsidR="00333974" w:rsidRPr="0060542B" w:rsidRDefault="00333974" w:rsidP="00333974">
      <w:pPr>
        <w:rPr>
          <w:rFonts w:cstheme="majorHAnsi"/>
          <w:color w:val="000000" w:themeColor="text1"/>
          <w:sz w:val="24"/>
          <w:szCs w:val="24"/>
        </w:rPr>
      </w:pPr>
    </w:p>
    <w:p w14:paraId="617EE43A" w14:textId="77777777" w:rsidR="00333974" w:rsidRPr="0060542B" w:rsidRDefault="00333974" w:rsidP="00333974">
      <w:pPr>
        <w:rPr>
          <w:rFonts w:cstheme="majorHAnsi"/>
          <w:color w:val="000000" w:themeColor="text1"/>
          <w:sz w:val="24"/>
          <w:szCs w:val="24"/>
        </w:rPr>
      </w:pPr>
      <w:r w:rsidRPr="0060542B">
        <w:rPr>
          <w:noProof/>
          <w:color w:val="000000" w:themeColor="text1"/>
          <w:sz w:val="24"/>
          <w:szCs w:val="24"/>
        </w:rPr>
        <w:drawing>
          <wp:inline distT="0" distB="0" distL="0" distR="0" wp14:anchorId="55332AFD" wp14:editId="3B60A46B">
            <wp:extent cx="5227834" cy="2912322"/>
            <wp:effectExtent l="0" t="0" r="0" b="2540"/>
            <wp:docPr id="10146915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39" cy="293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65F5C" w14:textId="77777777" w:rsidR="00333974" w:rsidRPr="0060542B" w:rsidRDefault="00333974" w:rsidP="00333974">
      <w:pPr>
        <w:pStyle w:val="Heading1"/>
        <w:rPr>
          <w:rFonts w:asciiTheme="minorHAnsi" w:hAnsiTheme="minorHAnsi" w:cstheme="majorHAnsi"/>
          <w:color w:val="000000" w:themeColor="text1"/>
          <w:sz w:val="24"/>
          <w:szCs w:val="24"/>
        </w:rPr>
      </w:pPr>
    </w:p>
    <w:p w14:paraId="7B852189" w14:textId="77777777" w:rsidR="00333974" w:rsidRPr="0060542B" w:rsidRDefault="00333974" w:rsidP="00333974">
      <w:pPr>
        <w:pStyle w:val="Heading1"/>
        <w:rPr>
          <w:rFonts w:asciiTheme="minorHAnsi" w:hAnsiTheme="minorHAnsi" w:cstheme="majorHAnsi"/>
          <w:color w:val="000000" w:themeColor="text1"/>
          <w:sz w:val="24"/>
          <w:szCs w:val="24"/>
        </w:rPr>
      </w:pPr>
      <w:r w:rsidRPr="0060542B">
        <w:rPr>
          <w:rFonts w:asciiTheme="minorHAnsi" w:hAnsiTheme="minorHAnsi"/>
          <w:noProof/>
          <w:color w:val="000000" w:themeColor="text1"/>
          <w:sz w:val="24"/>
          <w:szCs w:val="24"/>
        </w:rPr>
        <w:drawing>
          <wp:inline distT="0" distB="0" distL="0" distR="0" wp14:anchorId="072D6341" wp14:editId="73455C3F">
            <wp:extent cx="4207354" cy="2641600"/>
            <wp:effectExtent l="0" t="0" r="3175" b="6350"/>
            <wp:docPr id="1776518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59" cy="2671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49229" w14:textId="77777777" w:rsidR="00333974" w:rsidRPr="0060542B" w:rsidRDefault="00333974" w:rsidP="00333974">
      <w:pPr>
        <w:rPr>
          <w:color w:val="000000" w:themeColor="text1"/>
          <w:sz w:val="24"/>
          <w:szCs w:val="24"/>
        </w:rPr>
      </w:pPr>
    </w:p>
    <w:p w14:paraId="5647FF71" w14:textId="77777777" w:rsidR="00333974" w:rsidRPr="0060542B" w:rsidRDefault="00333974" w:rsidP="00333974">
      <w:pPr>
        <w:rPr>
          <w:color w:val="000000" w:themeColor="text1"/>
          <w:sz w:val="24"/>
          <w:szCs w:val="24"/>
        </w:rPr>
      </w:pPr>
    </w:p>
    <w:p w14:paraId="231F7602" w14:textId="77777777" w:rsidR="00333974" w:rsidRPr="0060542B" w:rsidRDefault="00333974" w:rsidP="00333974">
      <w:pPr>
        <w:rPr>
          <w:color w:val="000000" w:themeColor="text1"/>
          <w:sz w:val="24"/>
          <w:szCs w:val="24"/>
        </w:rPr>
      </w:pPr>
    </w:p>
    <w:p w14:paraId="08FEEA0B" w14:textId="77777777" w:rsidR="00333974" w:rsidRPr="0060542B" w:rsidRDefault="00333974" w:rsidP="00333974">
      <w:pPr>
        <w:rPr>
          <w:color w:val="000000" w:themeColor="text1"/>
          <w:sz w:val="24"/>
          <w:szCs w:val="24"/>
        </w:rPr>
      </w:pPr>
      <w:r w:rsidRPr="0060542B">
        <w:rPr>
          <w:noProof/>
          <w:color w:val="000000" w:themeColor="text1"/>
          <w:sz w:val="24"/>
          <w:szCs w:val="24"/>
        </w:rPr>
        <w:drawing>
          <wp:inline distT="0" distB="0" distL="0" distR="0" wp14:anchorId="46F0E076" wp14:editId="21DFE736">
            <wp:extent cx="5486400" cy="3657600"/>
            <wp:effectExtent l="0" t="0" r="0" b="0"/>
            <wp:docPr id="1098405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6E21" w14:textId="77777777" w:rsidR="00333974" w:rsidRPr="0060542B" w:rsidRDefault="00333974" w:rsidP="00333974">
      <w:pPr>
        <w:pStyle w:val="Heading1"/>
        <w:rPr>
          <w:rFonts w:asciiTheme="minorHAnsi" w:hAnsiTheme="minorHAnsi" w:cstheme="majorHAnsi"/>
          <w:color w:val="000000" w:themeColor="text1"/>
          <w:sz w:val="24"/>
          <w:szCs w:val="24"/>
        </w:rPr>
      </w:pPr>
      <w:r w:rsidRPr="0060542B">
        <w:rPr>
          <w:rFonts w:asciiTheme="minorHAnsi" w:hAnsiTheme="minorHAnsi" w:cstheme="majorHAnsi"/>
          <w:color w:val="000000" w:themeColor="text1"/>
          <w:sz w:val="24"/>
          <w:szCs w:val="24"/>
        </w:rPr>
        <w:t>Results</w:t>
      </w:r>
    </w:p>
    <w:p w14:paraId="6C3EC26D" w14:textId="77777777" w:rsidR="00333974" w:rsidRPr="0060542B" w:rsidRDefault="00333974" w:rsidP="00333974">
      <w:pPr>
        <w:pStyle w:val="Heading2"/>
        <w:rPr>
          <w:rFonts w:asciiTheme="minorHAnsi" w:hAnsiTheme="minorHAnsi" w:cstheme="majorHAnsi"/>
          <w:color w:val="000000" w:themeColor="text1"/>
          <w:sz w:val="24"/>
          <w:szCs w:val="24"/>
        </w:rPr>
      </w:pPr>
      <w:r w:rsidRPr="0060542B">
        <w:rPr>
          <w:rFonts w:asciiTheme="minorHAnsi" w:hAnsiTheme="minorHAnsi" w:cstheme="majorHAnsi"/>
          <w:color w:val="000000" w:themeColor="text1"/>
          <w:sz w:val="24"/>
          <w:szCs w:val="24"/>
        </w:rPr>
        <w:t>Table 1. Baseline Characteristics</w:t>
      </w:r>
    </w:p>
    <w:p w14:paraId="3EB5B2A7" w14:textId="77777777" w:rsidR="00333974" w:rsidRPr="0060542B" w:rsidRDefault="00333974" w:rsidP="00333974">
      <w:pPr>
        <w:rPr>
          <w:color w:val="000000" w:themeColor="text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7"/>
        <w:gridCol w:w="2945"/>
        <w:gridCol w:w="2498"/>
      </w:tblGrid>
      <w:tr w:rsidR="00333974" w:rsidRPr="0060542B" w14:paraId="05AFCDEE" w14:textId="77777777" w:rsidTr="00C318C4">
        <w:tc>
          <w:tcPr>
            <w:tcW w:w="3197" w:type="dxa"/>
          </w:tcPr>
          <w:p w14:paraId="5B938F9A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Characteristic</w:t>
            </w:r>
          </w:p>
        </w:tc>
        <w:tc>
          <w:tcPr>
            <w:tcW w:w="2945" w:type="dxa"/>
          </w:tcPr>
          <w:p w14:paraId="46F8E61B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First Nations (n=35)</w:t>
            </w:r>
          </w:p>
        </w:tc>
        <w:tc>
          <w:tcPr>
            <w:tcW w:w="2498" w:type="dxa"/>
          </w:tcPr>
          <w:p w14:paraId="55A06782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Non</w:t>
            </w:r>
            <w:r w:rsidRPr="0060542B">
              <w:rPr>
                <w:rFonts w:ascii="Cambria Math" w:hAnsi="Cambria Math" w:cs="Cambria Math"/>
                <w:color w:val="000000" w:themeColor="text1"/>
                <w:sz w:val="24"/>
                <w:szCs w:val="24"/>
              </w:rPr>
              <w:t>‑</w:t>
            </w: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First Nations (n=90)</w:t>
            </w:r>
          </w:p>
        </w:tc>
      </w:tr>
      <w:tr w:rsidR="00333974" w:rsidRPr="0060542B" w14:paraId="67F296D7" w14:textId="77777777" w:rsidTr="00C318C4">
        <w:tc>
          <w:tcPr>
            <w:tcW w:w="3197" w:type="dxa"/>
          </w:tcPr>
          <w:p w14:paraId="447BE5EC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Mean age (years)</w:t>
            </w:r>
          </w:p>
        </w:tc>
        <w:tc>
          <w:tcPr>
            <w:tcW w:w="2945" w:type="dxa"/>
          </w:tcPr>
          <w:p w14:paraId="60306CFE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59.2</w:t>
            </w:r>
          </w:p>
        </w:tc>
        <w:tc>
          <w:tcPr>
            <w:tcW w:w="2498" w:type="dxa"/>
          </w:tcPr>
          <w:p w14:paraId="3CD23972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57.8</w:t>
            </w:r>
          </w:p>
        </w:tc>
      </w:tr>
      <w:tr w:rsidR="00333974" w:rsidRPr="0060542B" w14:paraId="3BABF7B7" w14:textId="77777777" w:rsidTr="00C318C4">
        <w:tc>
          <w:tcPr>
            <w:tcW w:w="3197" w:type="dxa"/>
          </w:tcPr>
          <w:p w14:paraId="60919A6F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Female sex, n (%)</w:t>
            </w:r>
          </w:p>
        </w:tc>
        <w:tc>
          <w:tcPr>
            <w:tcW w:w="2945" w:type="dxa"/>
          </w:tcPr>
          <w:p w14:paraId="4CDE767B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20 (57%)</w:t>
            </w:r>
          </w:p>
        </w:tc>
        <w:tc>
          <w:tcPr>
            <w:tcW w:w="2498" w:type="dxa"/>
          </w:tcPr>
          <w:p w14:paraId="0D742494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51 (57%)</w:t>
            </w:r>
          </w:p>
        </w:tc>
      </w:tr>
      <w:tr w:rsidR="00333974" w:rsidRPr="0060542B" w14:paraId="78DF3B7D" w14:textId="77777777" w:rsidTr="00C318C4">
        <w:tc>
          <w:tcPr>
            <w:tcW w:w="3197" w:type="dxa"/>
          </w:tcPr>
          <w:p w14:paraId="4F4AF8ED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Inpatient status, n (%)</w:t>
            </w:r>
          </w:p>
        </w:tc>
        <w:tc>
          <w:tcPr>
            <w:tcW w:w="2945" w:type="dxa"/>
          </w:tcPr>
          <w:p w14:paraId="0A3C86F3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10 (29%)</w:t>
            </w:r>
          </w:p>
        </w:tc>
        <w:tc>
          <w:tcPr>
            <w:tcW w:w="2498" w:type="dxa"/>
          </w:tcPr>
          <w:p w14:paraId="4F11CC80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9 (10%)</w:t>
            </w:r>
          </w:p>
        </w:tc>
      </w:tr>
      <w:tr w:rsidR="00333974" w:rsidRPr="0060542B" w14:paraId="62EA59A2" w14:textId="77777777" w:rsidTr="00C318C4">
        <w:tc>
          <w:tcPr>
            <w:tcW w:w="3197" w:type="dxa"/>
          </w:tcPr>
          <w:p w14:paraId="26FA2751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Diabetes, n (%)</w:t>
            </w:r>
          </w:p>
        </w:tc>
        <w:tc>
          <w:tcPr>
            <w:tcW w:w="2945" w:type="dxa"/>
          </w:tcPr>
          <w:p w14:paraId="65C32078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24 (68%)</w:t>
            </w:r>
          </w:p>
        </w:tc>
        <w:tc>
          <w:tcPr>
            <w:tcW w:w="2498" w:type="dxa"/>
          </w:tcPr>
          <w:p w14:paraId="09C197D4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29 (32%)</w:t>
            </w:r>
          </w:p>
        </w:tc>
      </w:tr>
      <w:tr w:rsidR="00333974" w:rsidRPr="0060542B" w14:paraId="477F26D3" w14:textId="77777777" w:rsidTr="00C318C4">
        <w:tc>
          <w:tcPr>
            <w:tcW w:w="3197" w:type="dxa"/>
          </w:tcPr>
          <w:p w14:paraId="537D8FD7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CKD, n (%)</w:t>
            </w:r>
          </w:p>
        </w:tc>
        <w:tc>
          <w:tcPr>
            <w:tcW w:w="2945" w:type="dxa"/>
          </w:tcPr>
          <w:p w14:paraId="13040BD7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10 (29%)</w:t>
            </w:r>
          </w:p>
        </w:tc>
        <w:tc>
          <w:tcPr>
            <w:tcW w:w="2498" w:type="dxa"/>
          </w:tcPr>
          <w:p w14:paraId="1D46FDB1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8 (9%)</w:t>
            </w:r>
          </w:p>
        </w:tc>
      </w:tr>
      <w:tr w:rsidR="00333974" w:rsidRPr="0060542B" w14:paraId="706E1208" w14:textId="77777777" w:rsidTr="00C318C4">
        <w:tc>
          <w:tcPr>
            <w:tcW w:w="3197" w:type="dxa"/>
          </w:tcPr>
          <w:p w14:paraId="740136FA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Mean BBPS (SD)</w:t>
            </w:r>
          </w:p>
        </w:tc>
        <w:tc>
          <w:tcPr>
            <w:tcW w:w="2945" w:type="dxa"/>
          </w:tcPr>
          <w:p w14:paraId="6DA71C37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6.0 (1.8)</w:t>
            </w:r>
          </w:p>
        </w:tc>
        <w:tc>
          <w:tcPr>
            <w:tcW w:w="2498" w:type="dxa"/>
          </w:tcPr>
          <w:p w14:paraId="3EF24C83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7.8 (1.6)</w:t>
            </w:r>
          </w:p>
        </w:tc>
      </w:tr>
      <w:tr w:rsidR="00333974" w:rsidRPr="0060542B" w14:paraId="29B2F2B8" w14:textId="77777777" w:rsidTr="00C318C4">
        <w:tc>
          <w:tcPr>
            <w:tcW w:w="3197" w:type="dxa"/>
          </w:tcPr>
          <w:p w14:paraId="49B6B1F2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Inadequate BBPS (&lt;6), n (%)</w:t>
            </w:r>
          </w:p>
        </w:tc>
        <w:tc>
          <w:tcPr>
            <w:tcW w:w="2945" w:type="dxa"/>
          </w:tcPr>
          <w:p w14:paraId="00D56044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10 (28.6%)</w:t>
            </w:r>
          </w:p>
        </w:tc>
        <w:tc>
          <w:tcPr>
            <w:tcW w:w="2498" w:type="dxa"/>
          </w:tcPr>
          <w:p w14:paraId="14DAD1E5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 xml:space="preserve"> 7 (7.8%)</w:t>
            </w:r>
          </w:p>
        </w:tc>
      </w:tr>
    </w:tbl>
    <w:p w14:paraId="5116487C" w14:textId="77777777" w:rsidR="00333974" w:rsidRPr="0060542B" w:rsidRDefault="00333974" w:rsidP="00333974">
      <w:pPr>
        <w:rPr>
          <w:rFonts w:cstheme="majorHAnsi"/>
          <w:color w:val="000000" w:themeColor="text1"/>
          <w:sz w:val="24"/>
          <w:szCs w:val="24"/>
        </w:rPr>
      </w:pPr>
    </w:p>
    <w:p w14:paraId="5EE791C0" w14:textId="77777777" w:rsidR="00333974" w:rsidRPr="0060542B" w:rsidRDefault="00333974" w:rsidP="00333974">
      <w:pPr>
        <w:pStyle w:val="Heading2"/>
        <w:rPr>
          <w:rFonts w:asciiTheme="minorHAnsi" w:hAnsiTheme="minorHAnsi" w:cstheme="majorHAnsi"/>
          <w:color w:val="000000" w:themeColor="text1"/>
          <w:sz w:val="24"/>
          <w:szCs w:val="24"/>
        </w:rPr>
      </w:pPr>
    </w:p>
    <w:p w14:paraId="74CF6D08" w14:textId="77777777" w:rsidR="00333974" w:rsidRPr="0060542B" w:rsidRDefault="00333974" w:rsidP="00333974">
      <w:pPr>
        <w:pStyle w:val="Heading2"/>
        <w:rPr>
          <w:rFonts w:asciiTheme="minorHAnsi" w:hAnsiTheme="minorHAnsi" w:cstheme="majorHAnsi"/>
          <w:color w:val="000000" w:themeColor="text1"/>
          <w:sz w:val="24"/>
          <w:szCs w:val="24"/>
        </w:rPr>
      </w:pPr>
      <w:r w:rsidRPr="0060542B">
        <w:rPr>
          <w:rFonts w:asciiTheme="minorHAnsi" w:hAnsiTheme="minorHAnsi" w:cstheme="majorHAnsi"/>
          <w:color w:val="000000" w:themeColor="text1"/>
          <w:sz w:val="24"/>
          <w:szCs w:val="24"/>
        </w:rPr>
        <w:t>Table 2. Logistic Regression Predictors of Inadequate Bowel Preparation</w:t>
      </w:r>
    </w:p>
    <w:p w14:paraId="5496B687" w14:textId="77777777" w:rsidR="00333974" w:rsidRPr="0060542B" w:rsidRDefault="00333974" w:rsidP="00333974">
      <w:pPr>
        <w:rPr>
          <w:color w:val="000000" w:themeColor="text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333974" w:rsidRPr="0060542B" w14:paraId="1B6A3B7E" w14:textId="77777777" w:rsidTr="00C318C4">
        <w:tc>
          <w:tcPr>
            <w:tcW w:w="2880" w:type="dxa"/>
          </w:tcPr>
          <w:p w14:paraId="34E5452A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Predictor</w:t>
            </w:r>
          </w:p>
        </w:tc>
        <w:tc>
          <w:tcPr>
            <w:tcW w:w="2880" w:type="dxa"/>
          </w:tcPr>
          <w:p w14:paraId="5A9B3A37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Adjusted OR (95% CI)</w:t>
            </w:r>
          </w:p>
        </w:tc>
        <w:tc>
          <w:tcPr>
            <w:tcW w:w="2880" w:type="dxa"/>
          </w:tcPr>
          <w:p w14:paraId="101547A5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p Value</w:t>
            </w:r>
          </w:p>
        </w:tc>
      </w:tr>
      <w:tr w:rsidR="00333974" w:rsidRPr="0060542B" w14:paraId="1961E92F" w14:textId="77777777" w:rsidTr="00C318C4">
        <w:tc>
          <w:tcPr>
            <w:tcW w:w="2880" w:type="dxa"/>
          </w:tcPr>
          <w:p w14:paraId="55790D3D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First Nations status</w:t>
            </w:r>
          </w:p>
        </w:tc>
        <w:tc>
          <w:tcPr>
            <w:tcW w:w="2880" w:type="dxa"/>
          </w:tcPr>
          <w:p w14:paraId="1FFDCD68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4.8 (1.8–12.7)</w:t>
            </w:r>
          </w:p>
        </w:tc>
        <w:tc>
          <w:tcPr>
            <w:tcW w:w="2880" w:type="dxa"/>
          </w:tcPr>
          <w:p w14:paraId="66BDC600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0.001</w:t>
            </w:r>
          </w:p>
        </w:tc>
      </w:tr>
      <w:tr w:rsidR="00333974" w:rsidRPr="0060542B" w14:paraId="44865581" w14:textId="77777777" w:rsidTr="00C318C4">
        <w:tc>
          <w:tcPr>
            <w:tcW w:w="2880" w:type="dxa"/>
          </w:tcPr>
          <w:p w14:paraId="5C3B7B3A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Inpatient status</w:t>
            </w:r>
          </w:p>
        </w:tc>
        <w:tc>
          <w:tcPr>
            <w:tcW w:w="2880" w:type="dxa"/>
          </w:tcPr>
          <w:p w14:paraId="70F34106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3.9 (1.4–10.6)</w:t>
            </w:r>
          </w:p>
        </w:tc>
        <w:tc>
          <w:tcPr>
            <w:tcW w:w="2880" w:type="dxa"/>
          </w:tcPr>
          <w:p w14:paraId="3F128508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0.007</w:t>
            </w:r>
          </w:p>
        </w:tc>
      </w:tr>
      <w:tr w:rsidR="00333974" w:rsidRPr="0060542B" w14:paraId="480505EA" w14:textId="77777777" w:rsidTr="00C318C4">
        <w:tc>
          <w:tcPr>
            <w:tcW w:w="2880" w:type="dxa"/>
          </w:tcPr>
          <w:p w14:paraId="708B0848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CKD (≥ Stage 3)</w:t>
            </w:r>
          </w:p>
        </w:tc>
        <w:tc>
          <w:tcPr>
            <w:tcW w:w="2880" w:type="dxa"/>
          </w:tcPr>
          <w:p w14:paraId="20C9AADE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3.2 (1.1–9.3)</w:t>
            </w:r>
          </w:p>
        </w:tc>
        <w:tc>
          <w:tcPr>
            <w:tcW w:w="2880" w:type="dxa"/>
          </w:tcPr>
          <w:p w14:paraId="73ACD219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0.035</w:t>
            </w:r>
          </w:p>
        </w:tc>
      </w:tr>
      <w:tr w:rsidR="00333974" w:rsidRPr="0060542B" w14:paraId="75200718" w14:textId="77777777" w:rsidTr="00C318C4">
        <w:tc>
          <w:tcPr>
            <w:tcW w:w="2880" w:type="dxa"/>
          </w:tcPr>
          <w:p w14:paraId="03C0AD2A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Distance &gt;200 km</w:t>
            </w:r>
          </w:p>
        </w:tc>
        <w:tc>
          <w:tcPr>
            <w:tcW w:w="2880" w:type="dxa"/>
          </w:tcPr>
          <w:p w14:paraId="11BFDEDB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2.7 (1.0–7.4)</w:t>
            </w:r>
          </w:p>
        </w:tc>
        <w:tc>
          <w:tcPr>
            <w:tcW w:w="2880" w:type="dxa"/>
          </w:tcPr>
          <w:p w14:paraId="08D52CB0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0.049</w:t>
            </w:r>
          </w:p>
        </w:tc>
      </w:tr>
      <w:tr w:rsidR="00333974" w:rsidRPr="0060542B" w14:paraId="467D922B" w14:textId="77777777" w:rsidTr="00C318C4">
        <w:trPr>
          <w:trHeight w:val="692"/>
        </w:trPr>
        <w:tc>
          <w:tcPr>
            <w:tcW w:w="2880" w:type="dxa"/>
          </w:tcPr>
          <w:p w14:paraId="68BD1588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Hospital-based preparation</w:t>
            </w:r>
          </w:p>
        </w:tc>
        <w:tc>
          <w:tcPr>
            <w:tcW w:w="2880" w:type="dxa"/>
          </w:tcPr>
          <w:p w14:paraId="38EFFF50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2.9 (1.0–8.3)</w:t>
            </w:r>
          </w:p>
        </w:tc>
        <w:tc>
          <w:tcPr>
            <w:tcW w:w="2880" w:type="dxa"/>
          </w:tcPr>
          <w:p w14:paraId="6A227208" w14:textId="77777777" w:rsidR="00333974" w:rsidRPr="0060542B" w:rsidRDefault="00333974" w:rsidP="00C318C4">
            <w:pPr>
              <w:rPr>
                <w:rFonts w:cstheme="majorHAnsi"/>
                <w:color w:val="000000" w:themeColor="text1"/>
                <w:sz w:val="24"/>
                <w:szCs w:val="24"/>
              </w:rPr>
            </w:pPr>
            <w:r w:rsidRPr="0060542B">
              <w:rPr>
                <w:rFonts w:cstheme="majorHAnsi"/>
                <w:color w:val="000000" w:themeColor="text1"/>
                <w:sz w:val="24"/>
                <w:szCs w:val="24"/>
              </w:rPr>
              <w:t>0.046</w:t>
            </w:r>
          </w:p>
        </w:tc>
      </w:tr>
    </w:tbl>
    <w:p w14:paraId="5A5D5FB9" w14:textId="77777777" w:rsidR="00333974" w:rsidRPr="0060542B" w:rsidRDefault="00333974" w:rsidP="00333974">
      <w:pPr>
        <w:rPr>
          <w:b/>
          <w:bCs/>
          <w:color w:val="000000" w:themeColor="text1"/>
          <w:sz w:val="24"/>
          <w:szCs w:val="24"/>
        </w:rPr>
      </w:pPr>
    </w:p>
    <w:p w14:paraId="4B2E2FD2" w14:textId="77777777" w:rsidR="00333974" w:rsidRPr="0060542B" w:rsidRDefault="00333974" w:rsidP="00333974">
      <w:pPr>
        <w:rPr>
          <w:b/>
          <w:bCs/>
          <w:color w:val="000000" w:themeColor="text1"/>
          <w:sz w:val="24"/>
          <w:szCs w:val="24"/>
        </w:rPr>
      </w:pPr>
    </w:p>
    <w:p w14:paraId="45ED6F8B" w14:textId="77777777" w:rsidR="00333974" w:rsidRPr="0060542B" w:rsidRDefault="00333974" w:rsidP="00333974">
      <w:pPr>
        <w:rPr>
          <w:rFonts w:cstheme="majorHAnsi"/>
          <w:b/>
          <w:bCs/>
          <w:color w:val="000000" w:themeColor="text1"/>
          <w:sz w:val="24"/>
          <w:szCs w:val="24"/>
        </w:rPr>
      </w:pPr>
    </w:p>
    <w:p w14:paraId="40DD02AF" w14:textId="77777777" w:rsidR="00333974" w:rsidRPr="0060542B" w:rsidRDefault="00333974" w:rsidP="00333974">
      <w:pPr>
        <w:rPr>
          <w:rFonts w:cstheme="majorHAnsi"/>
          <w:b/>
          <w:bCs/>
          <w:color w:val="000000" w:themeColor="text1"/>
          <w:sz w:val="24"/>
          <w:szCs w:val="24"/>
        </w:rPr>
      </w:pPr>
    </w:p>
    <w:p w14:paraId="79BCCF95" w14:textId="77777777" w:rsidR="00333974" w:rsidRPr="0060542B" w:rsidRDefault="00333974" w:rsidP="00333974">
      <w:pPr>
        <w:rPr>
          <w:rFonts w:cstheme="majorHAnsi"/>
          <w:b/>
          <w:bCs/>
          <w:color w:val="000000" w:themeColor="text1"/>
          <w:sz w:val="24"/>
          <w:szCs w:val="24"/>
        </w:rPr>
      </w:pPr>
      <w:r w:rsidRPr="0060542B">
        <w:rPr>
          <w:noProof/>
          <w:color w:val="000000" w:themeColor="text1"/>
          <w:sz w:val="24"/>
          <w:szCs w:val="24"/>
        </w:rPr>
        <w:drawing>
          <wp:inline distT="0" distB="0" distL="0" distR="0" wp14:anchorId="25B5BC04" wp14:editId="47FA9E2C">
            <wp:extent cx="4521200" cy="3056255"/>
            <wp:effectExtent l="0" t="0" r="0" b="0"/>
            <wp:docPr id="15702049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249" cy="3062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4896E" w14:textId="77777777" w:rsidR="00333974" w:rsidRPr="0060542B" w:rsidRDefault="00333974" w:rsidP="00333974">
      <w:pPr>
        <w:rPr>
          <w:rFonts w:cstheme="majorHAnsi"/>
          <w:b/>
          <w:bCs/>
          <w:color w:val="000000" w:themeColor="text1"/>
          <w:sz w:val="24"/>
          <w:szCs w:val="24"/>
        </w:rPr>
      </w:pPr>
      <w:r w:rsidRPr="0060542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492EB14" wp14:editId="71393985">
            <wp:extent cx="4978400" cy="3606568"/>
            <wp:effectExtent l="0" t="0" r="0" b="0"/>
            <wp:docPr id="12300939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592" cy="3626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91602" w14:textId="77777777" w:rsidR="00333974" w:rsidRPr="0060542B" w:rsidRDefault="00333974" w:rsidP="00333974">
      <w:pPr>
        <w:rPr>
          <w:rFonts w:cstheme="majorHAnsi"/>
          <w:b/>
          <w:bCs/>
          <w:color w:val="000000" w:themeColor="text1"/>
          <w:sz w:val="24"/>
          <w:szCs w:val="24"/>
        </w:rPr>
      </w:pPr>
    </w:p>
    <w:p w14:paraId="5D5E046B" w14:textId="77777777" w:rsidR="00333974" w:rsidRPr="0060542B" w:rsidRDefault="00333974" w:rsidP="00333974">
      <w:pPr>
        <w:rPr>
          <w:rFonts w:cstheme="majorHAnsi"/>
          <w:b/>
          <w:bCs/>
          <w:color w:val="000000" w:themeColor="text1"/>
          <w:sz w:val="24"/>
          <w:szCs w:val="24"/>
        </w:rPr>
      </w:pPr>
    </w:p>
    <w:p w14:paraId="7ADC77D3" w14:textId="77777777" w:rsidR="00333974" w:rsidRPr="0060542B" w:rsidRDefault="00333974" w:rsidP="00333974">
      <w:pPr>
        <w:rPr>
          <w:rFonts w:cstheme="majorHAnsi"/>
          <w:b/>
          <w:bCs/>
          <w:color w:val="000000" w:themeColor="text1"/>
          <w:sz w:val="24"/>
          <w:szCs w:val="24"/>
        </w:rPr>
      </w:pPr>
    </w:p>
    <w:p w14:paraId="76EDDCA0" w14:textId="77777777" w:rsidR="00333974" w:rsidRPr="0060542B" w:rsidRDefault="00333974" w:rsidP="00333974">
      <w:pPr>
        <w:rPr>
          <w:rFonts w:cstheme="majorHAnsi"/>
          <w:b/>
          <w:bCs/>
          <w:color w:val="000000" w:themeColor="text1"/>
          <w:sz w:val="24"/>
          <w:szCs w:val="24"/>
        </w:rPr>
      </w:pPr>
    </w:p>
    <w:p w14:paraId="1E35D373" w14:textId="77777777" w:rsidR="00333974" w:rsidRPr="0060542B" w:rsidRDefault="00333974" w:rsidP="00333974">
      <w:pPr>
        <w:rPr>
          <w:rFonts w:cstheme="majorHAnsi"/>
          <w:b/>
          <w:bCs/>
          <w:color w:val="000000" w:themeColor="text1"/>
          <w:sz w:val="24"/>
          <w:szCs w:val="24"/>
        </w:rPr>
      </w:pPr>
      <w:r w:rsidRPr="0060542B">
        <w:rPr>
          <w:rFonts w:cstheme="majorHAnsi"/>
          <w:b/>
          <w:bCs/>
          <w:color w:val="000000" w:themeColor="text1"/>
          <w:sz w:val="24"/>
          <w:szCs w:val="24"/>
        </w:rPr>
        <w:t>Table3: Association between comorbidities and Inadequate bowel preparation</w:t>
      </w:r>
    </w:p>
    <w:p w14:paraId="11FD96DB" w14:textId="77777777" w:rsidR="00333974" w:rsidRPr="0060542B" w:rsidRDefault="00333974" w:rsidP="00333974">
      <w:pPr>
        <w:rPr>
          <w:b/>
          <w:bCs/>
          <w:color w:val="000000" w:themeColor="text1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8"/>
        <w:gridCol w:w="1987"/>
        <w:gridCol w:w="1228"/>
        <w:gridCol w:w="695"/>
        <w:gridCol w:w="2548"/>
      </w:tblGrid>
      <w:tr w:rsidR="00333974" w:rsidRPr="0060542B" w14:paraId="2C1685D5" w14:textId="77777777" w:rsidTr="00C318C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8910C40" w14:textId="77777777" w:rsidR="00333974" w:rsidRPr="0060542B" w:rsidRDefault="00333974" w:rsidP="00C318C4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0542B">
              <w:rPr>
                <w:b/>
                <w:bCs/>
                <w:color w:val="000000" w:themeColor="text1"/>
                <w:sz w:val="24"/>
                <w:szCs w:val="24"/>
              </w:rPr>
              <w:t>Comorbidity</w:t>
            </w:r>
          </w:p>
        </w:tc>
        <w:tc>
          <w:tcPr>
            <w:tcW w:w="0" w:type="auto"/>
            <w:vAlign w:val="center"/>
            <w:hideMark/>
          </w:tcPr>
          <w:p w14:paraId="7F8FD208" w14:textId="77777777" w:rsidR="00333974" w:rsidRPr="0060542B" w:rsidRDefault="00333974" w:rsidP="00C318C4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0542B">
              <w:rPr>
                <w:b/>
                <w:bCs/>
                <w:color w:val="000000" w:themeColor="text1"/>
                <w:sz w:val="24"/>
                <w:szCs w:val="24"/>
              </w:rPr>
              <w:t>% Inadequate Prep (BBPS &lt;6)</w:t>
            </w:r>
          </w:p>
        </w:tc>
        <w:tc>
          <w:tcPr>
            <w:tcW w:w="0" w:type="auto"/>
            <w:vAlign w:val="center"/>
            <w:hideMark/>
          </w:tcPr>
          <w:p w14:paraId="4B79747E" w14:textId="77777777" w:rsidR="00333974" w:rsidRPr="0060542B" w:rsidRDefault="00333974" w:rsidP="00C318C4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0542B">
              <w:rPr>
                <w:b/>
                <w:bCs/>
                <w:color w:val="000000" w:themeColor="text1"/>
                <w:sz w:val="24"/>
                <w:szCs w:val="24"/>
              </w:rPr>
              <w:t>Odds Ratio (95% CI)</w:t>
            </w:r>
          </w:p>
        </w:tc>
        <w:tc>
          <w:tcPr>
            <w:tcW w:w="0" w:type="auto"/>
            <w:vAlign w:val="center"/>
            <w:hideMark/>
          </w:tcPr>
          <w:p w14:paraId="0D76DBB8" w14:textId="77777777" w:rsidR="00333974" w:rsidRPr="0060542B" w:rsidRDefault="00333974" w:rsidP="00C318C4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0542B">
              <w:rPr>
                <w:b/>
                <w:bCs/>
                <w:color w:val="000000" w:themeColor="text1"/>
                <w:sz w:val="24"/>
                <w:szCs w:val="24"/>
              </w:rPr>
              <w:t>p-value</w:t>
            </w:r>
          </w:p>
        </w:tc>
        <w:tc>
          <w:tcPr>
            <w:tcW w:w="0" w:type="auto"/>
            <w:vAlign w:val="center"/>
            <w:hideMark/>
          </w:tcPr>
          <w:p w14:paraId="23D7E26F" w14:textId="77777777" w:rsidR="00333974" w:rsidRPr="0060542B" w:rsidRDefault="00333974" w:rsidP="00C318C4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60542B">
              <w:rPr>
                <w:b/>
                <w:bCs/>
                <w:color w:val="000000" w:themeColor="text1"/>
                <w:sz w:val="24"/>
                <w:szCs w:val="24"/>
              </w:rPr>
              <w:t>Interpretation</w:t>
            </w:r>
          </w:p>
        </w:tc>
      </w:tr>
      <w:tr w:rsidR="00333974" w:rsidRPr="0060542B" w14:paraId="037C80E2" w14:textId="77777777" w:rsidTr="00C318C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18F71F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Diabetes Mellitus</w:t>
            </w:r>
          </w:p>
        </w:tc>
        <w:tc>
          <w:tcPr>
            <w:tcW w:w="0" w:type="auto"/>
            <w:vAlign w:val="center"/>
            <w:hideMark/>
          </w:tcPr>
          <w:p w14:paraId="13CD49B0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22.0% vs 10.5% (No DM)</w:t>
            </w:r>
          </w:p>
        </w:tc>
        <w:tc>
          <w:tcPr>
            <w:tcW w:w="0" w:type="auto"/>
            <w:vAlign w:val="center"/>
            <w:hideMark/>
          </w:tcPr>
          <w:p w14:paraId="4590AE4B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2.3 (0.9–5.9)</w:t>
            </w:r>
          </w:p>
        </w:tc>
        <w:tc>
          <w:tcPr>
            <w:tcW w:w="0" w:type="auto"/>
            <w:vAlign w:val="center"/>
            <w:hideMark/>
          </w:tcPr>
          <w:p w14:paraId="5A7B466A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0.08</w:t>
            </w:r>
          </w:p>
        </w:tc>
        <w:tc>
          <w:tcPr>
            <w:tcW w:w="0" w:type="auto"/>
            <w:vAlign w:val="center"/>
            <w:hideMark/>
          </w:tcPr>
          <w:p w14:paraId="4649422D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Trend towards higher inadequate prep</w:t>
            </w:r>
          </w:p>
        </w:tc>
      </w:tr>
      <w:tr w:rsidR="00333974" w:rsidRPr="0060542B" w14:paraId="5CFAEB54" w14:textId="77777777" w:rsidTr="00C318C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690AFB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Chronic Kidney Disease (CKD ≥ Stage 3)</w:t>
            </w:r>
          </w:p>
        </w:tc>
        <w:tc>
          <w:tcPr>
            <w:tcW w:w="0" w:type="auto"/>
            <w:vAlign w:val="center"/>
            <w:hideMark/>
          </w:tcPr>
          <w:p w14:paraId="0AD737D2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28.6% vs 9.5%</w:t>
            </w:r>
          </w:p>
        </w:tc>
        <w:tc>
          <w:tcPr>
            <w:tcW w:w="0" w:type="auto"/>
            <w:vAlign w:val="center"/>
            <w:hideMark/>
          </w:tcPr>
          <w:p w14:paraId="7D8537B2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3.2 (1.1–9.3)</w:t>
            </w:r>
          </w:p>
        </w:tc>
        <w:tc>
          <w:tcPr>
            <w:tcW w:w="0" w:type="auto"/>
            <w:vAlign w:val="center"/>
            <w:hideMark/>
          </w:tcPr>
          <w:p w14:paraId="7AB6A1A5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0.035</w:t>
            </w:r>
          </w:p>
        </w:tc>
        <w:tc>
          <w:tcPr>
            <w:tcW w:w="0" w:type="auto"/>
            <w:vAlign w:val="center"/>
            <w:hideMark/>
          </w:tcPr>
          <w:p w14:paraId="4B642C0E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Significant association</w:t>
            </w:r>
          </w:p>
        </w:tc>
      </w:tr>
      <w:tr w:rsidR="00333974" w:rsidRPr="0060542B" w14:paraId="0BB1E5FB" w14:textId="77777777" w:rsidTr="00C318C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22D1FB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Hypertension</w:t>
            </w:r>
          </w:p>
        </w:tc>
        <w:tc>
          <w:tcPr>
            <w:tcW w:w="0" w:type="auto"/>
            <w:vAlign w:val="center"/>
            <w:hideMark/>
          </w:tcPr>
          <w:p w14:paraId="4FDE4334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18.0% vs 12.5%</w:t>
            </w:r>
          </w:p>
        </w:tc>
        <w:tc>
          <w:tcPr>
            <w:tcW w:w="0" w:type="auto"/>
            <w:vAlign w:val="center"/>
            <w:hideMark/>
          </w:tcPr>
          <w:p w14:paraId="1CC50480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1.5 (0.6–3.8)</w:t>
            </w:r>
          </w:p>
        </w:tc>
        <w:tc>
          <w:tcPr>
            <w:tcW w:w="0" w:type="auto"/>
            <w:vAlign w:val="center"/>
            <w:hideMark/>
          </w:tcPr>
          <w:p w14:paraId="4D4A5779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0.32</w:t>
            </w:r>
          </w:p>
        </w:tc>
        <w:tc>
          <w:tcPr>
            <w:tcW w:w="0" w:type="auto"/>
            <w:vAlign w:val="center"/>
            <w:hideMark/>
          </w:tcPr>
          <w:p w14:paraId="380AA6E8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Not significant</w:t>
            </w:r>
          </w:p>
        </w:tc>
      </w:tr>
      <w:tr w:rsidR="00333974" w:rsidRPr="0060542B" w14:paraId="5381BA9B" w14:textId="77777777" w:rsidTr="00C318C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D07D8A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Cardiovascular Disease (IHD)</w:t>
            </w:r>
          </w:p>
        </w:tc>
        <w:tc>
          <w:tcPr>
            <w:tcW w:w="0" w:type="auto"/>
            <w:vAlign w:val="center"/>
            <w:hideMark/>
          </w:tcPr>
          <w:p w14:paraId="536CE92E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20.0% vs 12.3%</w:t>
            </w:r>
          </w:p>
        </w:tc>
        <w:tc>
          <w:tcPr>
            <w:tcW w:w="0" w:type="auto"/>
            <w:vAlign w:val="center"/>
            <w:hideMark/>
          </w:tcPr>
          <w:p w14:paraId="143A5F95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1.8 (0.7–4.9)</w:t>
            </w:r>
          </w:p>
        </w:tc>
        <w:tc>
          <w:tcPr>
            <w:tcW w:w="0" w:type="auto"/>
            <w:vAlign w:val="center"/>
            <w:hideMark/>
          </w:tcPr>
          <w:p w14:paraId="1E7190C0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0.21</w:t>
            </w:r>
          </w:p>
        </w:tc>
        <w:tc>
          <w:tcPr>
            <w:tcW w:w="0" w:type="auto"/>
            <w:vAlign w:val="center"/>
            <w:hideMark/>
          </w:tcPr>
          <w:p w14:paraId="05CAE361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Not significant</w:t>
            </w:r>
          </w:p>
        </w:tc>
      </w:tr>
      <w:tr w:rsidR="00333974" w:rsidRPr="0060542B" w14:paraId="230A5354" w14:textId="77777777" w:rsidTr="00C318C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E0B941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lastRenderedPageBreak/>
              <w:t>≥2 Comorbidities</w:t>
            </w:r>
          </w:p>
        </w:tc>
        <w:tc>
          <w:tcPr>
            <w:tcW w:w="0" w:type="auto"/>
            <w:vAlign w:val="center"/>
            <w:hideMark/>
          </w:tcPr>
          <w:p w14:paraId="722FD07F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26.3% vs 9.8%</w:t>
            </w:r>
          </w:p>
        </w:tc>
        <w:tc>
          <w:tcPr>
            <w:tcW w:w="0" w:type="auto"/>
            <w:vAlign w:val="center"/>
            <w:hideMark/>
          </w:tcPr>
          <w:p w14:paraId="2F5E88D5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2.9 (1.0–8.1)</w:t>
            </w:r>
          </w:p>
        </w:tc>
        <w:tc>
          <w:tcPr>
            <w:tcW w:w="0" w:type="auto"/>
            <w:vAlign w:val="center"/>
            <w:hideMark/>
          </w:tcPr>
          <w:p w14:paraId="58B40E0C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0.048</w:t>
            </w:r>
          </w:p>
        </w:tc>
        <w:tc>
          <w:tcPr>
            <w:tcW w:w="0" w:type="auto"/>
            <w:vAlign w:val="center"/>
            <w:hideMark/>
          </w:tcPr>
          <w:p w14:paraId="0E8BC4D2" w14:textId="77777777" w:rsidR="00333974" w:rsidRPr="0060542B" w:rsidRDefault="00333974" w:rsidP="00C318C4">
            <w:pPr>
              <w:rPr>
                <w:color w:val="000000" w:themeColor="text1"/>
                <w:sz w:val="24"/>
                <w:szCs w:val="24"/>
              </w:rPr>
            </w:pPr>
            <w:r w:rsidRPr="0060542B">
              <w:rPr>
                <w:color w:val="000000" w:themeColor="text1"/>
                <w:sz w:val="24"/>
                <w:szCs w:val="24"/>
              </w:rPr>
              <w:t>Significant predictor</w:t>
            </w:r>
          </w:p>
        </w:tc>
      </w:tr>
    </w:tbl>
    <w:p w14:paraId="5E2B8957" w14:textId="77777777" w:rsidR="00333974" w:rsidRPr="0060542B" w:rsidRDefault="00333974" w:rsidP="00333974">
      <w:pPr>
        <w:rPr>
          <w:color w:val="000000" w:themeColor="text1"/>
          <w:sz w:val="24"/>
          <w:szCs w:val="24"/>
        </w:rPr>
      </w:pPr>
    </w:p>
    <w:sectPr w:rsidR="00333974" w:rsidRPr="006054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93F"/>
    <w:rsid w:val="00040DB3"/>
    <w:rsid w:val="0016262C"/>
    <w:rsid w:val="00333974"/>
    <w:rsid w:val="004774EC"/>
    <w:rsid w:val="004D593F"/>
    <w:rsid w:val="00931DE3"/>
    <w:rsid w:val="009D2A22"/>
    <w:rsid w:val="009F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80C70"/>
  <w15:chartTrackingRefBased/>
  <w15:docId w15:val="{7D22AC6A-4AA8-45D7-A93C-09B58CA85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974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93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AU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93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AU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593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AU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593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:lang w:val="en-AU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593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:lang w:val="en-AU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593F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AU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593F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AU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593F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AU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593F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AU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9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D59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59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593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593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59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59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59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59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59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D5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593F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AU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D59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593F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val="en-AU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D59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593F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:lang w:val="en-AU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D593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59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 w:val="24"/>
      <w:szCs w:val="24"/>
      <w:lang w:val="en-AU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593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593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Vardhaman Gowda</dc:creator>
  <cp:keywords/>
  <dc:description/>
  <cp:lastModifiedBy>Vardhaman Gowda</cp:lastModifiedBy>
  <cp:revision>2</cp:revision>
  <dcterms:created xsi:type="dcterms:W3CDTF">2026-03-28T13:01:00Z</dcterms:created>
  <dcterms:modified xsi:type="dcterms:W3CDTF">2026-03-28T13:01:00Z</dcterms:modified>
</cp:coreProperties>
</file>