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FBB1" w14:textId="268E267C" w:rsidR="00260758" w:rsidRPr="00EF1754" w:rsidRDefault="00260758" w:rsidP="00260758">
      <w:pPr>
        <w:jc w:val="both"/>
        <w:rPr>
          <w:b/>
          <w:bCs/>
        </w:rPr>
      </w:pPr>
      <w:r w:rsidRPr="00EF1754">
        <w:rPr>
          <w:b/>
          <w:bCs/>
        </w:rPr>
        <w:t>Supplementary</w:t>
      </w:r>
      <w:r w:rsidR="00462E2F" w:rsidRPr="00EF1754">
        <w:rPr>
          <w:b/>
          <w:bCs/>
        </w:rPr>
        <w:t xml:space="preserve"> Methods</w:t>
      </w:r>
    </w:p>
    <w:p w14:paraId="41D76532" w14:textId="4E64C885" w:rsidR="00C07220" w:rsidRDefault="00C07220" w:rsidP="00260758">
      <w:pPr>
        <w:jc w:val="both"/>
        <w:rPr>
          <w:i/>
          <w:iCs/>
        </w:rPr>
      </w:pPr>
      <w:r>
        <w:rPr>
          <w:i/>
          <w:iCs/>
        </w:rPr>
        <w:t>Supplementary Methods i: Maternal Care Behaviors</w:t>
      </w:r>
    </w:p>
    <w:p w14:paraId="79302DBC" w14:textId="11604E38" w:rsidR="00C07220" w:rsidRDefault="00C07220" w:rsidP="00C07220">
      <w:pPr>
        <w:ind w:firstLine="720"/>
        <w:jc w:val="both"/>
        <w:rPr>
          <w:rFonts w:cs="Times New Roman"/>
        </w:rPr>
      </w:pPr>
      <w:r>
        <w:t xml:space="preserve">Behavioural definitions </w:t>
      </w:r>
      <w:r w:rsidR="00A96625">
        <w:t xml:space="preserve">of maternal care </w:t>
      </w:r>
      <w:r>
        <w:t xml:space="preserve">are based on Myers et al. </w:t>
      </w:r>
      <w:r>
        <w:fldChar w:fldCharType="begin"/>
      </w:r>
      <w:r w:rsidR="001F4F4C">
        <w:instrText xml:space="preserve"> ADDIN ZOTERO_ITEM CSL_CITATION {"citationID":"EturBAZA","properties":{"formattedCitation":"(1)","plainCitation":"(1)","noteIndex":0},"citationItems":[{"id":1954,"uris":["http://zotero.org/groups/5873176/items/HPLE69MA"],"itemData":{"id":1954,"type":"article-journal","abstract":"In Part I of this study maternal behavior of 15 spontaneously hypertensive (SHR) and 11 Wistar-Kyoto (WKY) rat mothers was recorded throughout the preweaning period. SHR mothers were observed: 1) in arched- and blanket-nursing postures more often, and in passive-nursing posture less often, 2) licking their pups more often, and 3) resting less often. Further, SHR mothers retrieved their pups more quickly than did WKY. In the second part of this study we found that a composite maternal behavior score, derived from summing occurrences of motheripup contact, arched-nursing, and puplicking, was positively correlated with the offspring blood pressures. This relationship, which accounted for 43.5% of the variance in adult blood pressure, suggests that certain types of interactions between mothers and their pups may contribute to individual differences in cardiovascular system development.","container-title":"Developmental Psychobiology","DOI":"10.1002/dev.420220104","ISSN":"1098-2302","issue":"1","language":"en","note":"_eprint: https://onlinelibrary.wiley.com/doi/pdf/10.1002/dev.420220104","page":"29-53","source":"Wiley Online Library","title":"Maternal behavior of SHR rats and its relationship to offspring blood pressures","volume":"22","author":[{"family":"Myers","given":"Michael M."},{"family":"Brunelli","given":"Susan A."},{"family":"Squire","given":"Jonathan M."},{"family":"Shindeldecker","given":"Richard D."},{"family":"Hofer","given":"Myron A."}],"issued":{"date-parts":[["1989"]]}}}],"schema":"https://github.com/citation-style-language/schema/raw/master/csl-citation.json"} </w:instrText>
      </w:r>
      <w:r>
        <w:fldChar w:fldCharType="separate"/>
      </w:r>
      <w:r w:rsidRPr="00C07220">
        <w:rPr>
          <w:rFonts w:cs="Times New Roman"/>
        </w:rPr>
        <w:t>(1)</w:t>
      </w:r>
      <w:r>
        <w:fldChar w:fldCharType="end"/>
      </w:r>
      <w:r w:rsidR="000C702F">
        <w:t xml:space="preserve">: </w:t>
      </w:r>
      <w:r>
        <w:t>A</w:t>
      </w:r>
      <w:r w:rsidRPr="0016027D">
        <w:rPr>
          <w:rFonts w:cs="Times New Roman"/>
        </w:rPr>
        <w:t>rched back nursing</w:t>
      </w:r>
      <w:r w:rsidR="000C702F">
        <w:rPr>
          <w:rFonts w:cs="Times New Roman"/>
        </w:rPr>
        <w:t xml:space="preserve">: </w:t>
      </w:r>
      <w:r>
        <w:rPr>
          <w:rFonts w:cs="Times New Roman"/>
        </w:rPr>
        <w:t xml:space="preserve">when the </w:t>
      </w:r>
      <w:r w:rsidR="007C703B">
        <w:rPr>
          <w:rFonts w:cs="Times New Roman"/>
        </w:rPr>
        <w:t>dam</w:t>
      </w:r>
      <w:r>
        <w:rPr>
          <w:rFonts w:cs="Times New Roman"/>
        </w:rPr>
        <w:t xml:space="preserve"> was arched over her feeding pups with legs splayed</w:t>
      </w:r>
      <w:r w:rsidR="000C702F">
        <w:rPr>
          <w:rFonts w:cs="Times New Roman"/>
        </w:rPr>
        <w:t>; l</w:t>
      </w:r>
      <w:r>
        <w:rPr>
          <w:rFonts w:cs="Times New Roman"/>
        </w:rPr>
        <w:t>icking and grooming</w:t>
      </w:r>
      <w:r w:rsidR="000C702F">
        <w:rPr>
          <w:rFonts w:cs="Times New Roman"/>
        </w:rPr>
        <w:t xml:space="preserve">: </w:t>
      </w:r>
      <w:r w:rsidR="007C703B">
        <w:rPr>
          <w:rFonts w:cs="Times New Roman"/>
        </w:rPr>
        <w:t>dam licking or grooming any of her pups</w:t>
      </w:r>
      <w:r w:rsidR="000C702F">
        <w:rPr>
          <w:rFonts w:cs="Times New Roman"/>
        </w:rPr>
        <w:t xml:space="preserve">; </w:t>
      </w:r>
      <w:r w:rsidR="007C703B">
        <w:rPr>
          <w:rFonts w:cs="Times New Roman"/>
        </w:rPr>
        <w:t>blanket nursing</w:t>
      </w:r>
      <w:r w:rsidR="000C702F">
        <w:rPr>
          <w:rFonts w:cs="Times New Roman"/>
        </w:rPr>
        <w:t xml:space="preserve">: </w:t>
      </w:r>
      <w:r w:rsidR="007C703B">
        <w:rPr>
          <w:rFonts w:cs="Times New Roman"/>
        </w:rPr>
        <w:t>dam</w:t>
      </w:r>
      <w:r w:rsidR="000C702F">
        <w:rPr>
          <w:rFonts w:cs="Times New Roman"/>
        </w:rPr>
        <w:t xml:space="preserve"> </w:t>
      </w:r>
      <w:r w:rsidR="007C703B">
        <w:rPr>
          <w:rFonts w:cs="Times New Roman"/>
        </w:rPr>
        <w:t>over the pups with no obvious arch in her back or extension of her legs</w:t>
      </w:r>
      <w:r w:rsidR="00330CEF">
        <w:rPr>
          <w:rFonts w:cs="Times New Roman"/>
        </w:rPr>
        <w:t>;</w:t>
      </w:r>
      <w:r w:rsidR="007C703B">
        <w:rPr>
          <w:rFonts w:cs="Times New Roman"/>
        </w:rPr>
        <w:t xml:space="preserve"> and passive nursing</w:t>
      </w:r>
      <w:r w:rsidR="00330CEF">
        <w:rPr>
          <w:rFonts w:cs="Times New Roman"/>
        </w:rPr>
        <w:t>:</w:t>
      </w:r>
      <w:r w:rsidR="007C703B">
        <w:rPr>
          <w:rFonts w:cs="Times New Roman"/>
        </w:rPr>
        <w:t xml:space="preserve"> the dam lying on her side with at least one pup nursing. Selfcare behavior was recorded when the dam was engaged in self-grooming, eating, drinking or exploration of her cage. </w:t>
      </w:r>
    </w:p>
    <w:p w14:paraId="7C265C13" w14:textId="66598B9F" w:rsidR="00C81082" w:rsidRPr="00D013E3" w:rsidRDefault="00C81082" w:rsidP="00C81082">
      <w:pPr>
        <w:spacing w:before="0" w:after="0"/>
        <w:jc w:val="both"/>
        <w:rPr>
          <w:b/>
          <w:bCs/>
          <w:i/>
          <w:iCs/>
        </w:rPr>
      </w:pPr>
      <w:r>
        <w:rPr>
          <w:bCs/>
          <w:i/>
          <w:iCs/>
        </w:rPr>
        <w:t>Supplementary</w:t>
      </w:r>
      <w:r w:rsidR="00FB0701">
        <w:rPr>
          <w:bCs/>
          <w:i/>
          <w:iCs/>
        </w:rPr>
        <w:t xml:space="preserve"> Methods</w:t>
      </w:r>
      <w:r>
        <w:rPr>
          <w:bCs/>
          <w:i/>
          <w:iCs/>
        </w:rPr>
        <w:t xml:space="preserve"> </w:t>
      </w:r>
      <w:r w:rsidR="007C703B">
        <w:rPr>
          <w:bCs/>
          <w:i/>
          <w:iCs/>
        </w:rPr>
        <w:t>i</w:t>
      </w:r>
      <w:r w:rsidR="007340B6">
        <w:rPr>
          <w:bCs/>
          <w:i/>
          <w:iCs/>
        </w:rPr>
        <w:t>i</w:t>
      </w:r>
      <w:r>
        <w:rPr>
          <w:bCs/>
          <w:i/>
          <w:iCs/>
        </w:rPr>
        <w:t xml:space="preserve">: Trial </w:t>
      </w:r>
      <w:r w:rsidR="00DD59C5">
        <w:rPr>
          <w:bCs/>
          <w:i/>
          <w:iCs/>
        </w:rPr>
        <w:t>U</w:t>
      </w:r>
      <w:r>
        <w:rPr>
          <w:bCs/>
          <w:i/>
          <w:iCs/>
        </w:rPr>
        <w:t xml:space="preserve">nique </w:t>
      </w:r>
      <w:r w:rsidR="00DD59C5">
        <w:rPr>
          <w:bCs/>
          <w:i/>
          <w:iCs/>
        </w:rPr>
        <w:t>N</w:t>
      </w:r>
      <w:r>
        <w:rPr>
          <w:bCs/>
          <w:i/>
          <w:iCs/>
        </w:rPr>
        <w:t>on-</w:t>
      </w:r>
      <w:r w:rsidR="00DD59C5">
        <w:rPr>
          <w:bCs/>
          <w:i/>
          <w:iCs/>
        </w:rPr>
        <w:t>M</w:t>
      </w:r>
      <w:r>
        <w:rPr>
          <w:bCs/>
          <w:i/>
          <w:iCs/>
        </w:rPr>
        <w:t xml:space="preserve">atching to </w:t>
      </w:r>
      <w:r w:rsidR="00DD59C5">
        <w:rPr>
          <w:bCs/>
          <w:i/>
          <w:iCs/>
        </w:rPr>
        <w:t>L</w:t>
      </w:r>
      <w:r>
        <w:rPr>
          <w:bCs/>
          <w:i/>
          <w:iCs/>
        </w:rPr>
        <w:t xml:space="preserve">ocation </w:t>
      </w:r>
      <w:r w:rsidR="00DD59C5">
        <w:rPr>
          <w:bCs/>
          <w:i/>
          <w:iCs/>
        </w:rPr>
        <w:t>T</w:t>
      </w:r>
      <w:r>
        <w:rPr>
          <w:bCs/>
          <w:i/>
          <w:iCs/>
        </w:rPr>
        <w:t xml:space="preserve">ask </w:t>
      </w:r>
      <w:r w:rsidR="008E2C23">
        <w:rPr>
          <w:bCs/>
          <w:i/>
          <w:iCs/>
        </w:rPr>
        <w:t>P</w:t>
      </w:r>
      <w:r>
        <w:rPr>
          <w:bCs/>
          <w:i/>
          <w:iCs/>
        </w:rPr>
        <w:t>rotocol</w:t>
      </w:r>
    </w:p>
    <w:p w14:paraId="66A75164" w14:textId="039FE987" w:rsidR="00C81082" w:rsidRPr="009E394B" w:rsidRDefault="00C81082" w:rsidP="00C81082">
      <w:pPr>
        <w:spacing w:before="0" w:after="0"/>
        <w:ind w:firstLine="720"/>
        <w:jc w:val="both"/>
        <w:rPr>
          <w:b/>
          <w:bCs/>
        </w:rPr>
      </w:pPr>
      <w:r w:rsidRPr="007B61ED">
        <w:rPr>
          <w:bCs/>
        </w:rPr>
        <w:t xml:space="preserve">The </w:t>
      </w:r>
      <w:r w:rsidR="00143BC7">
        <w:rPr>
          <w:bCs/>
        </w:rPr>
        <w:t>Trial Unique Non-Matching to Location (</w:t>
      </w:r>
      <w:r w:rsidRPr="007B61ED">
        <w:rPr>
          <w:bCs/>
        </w:rPr>
        <w:t>TUNL</w:t>
      </w:r>
      <w:r w:rsidR="00143BC7">
        <w:rPr>
          <w:bCs/>
        </w:rPr>
        <w:t>)</w:t>
      </w:r>
      <w:r w:rsidRPr="007B61ED">
        <w:rPr>
          <w:bCs/>
        </w:rPr>
        <w:t xml:space="preserve"> task was performed in CANTAB boxes (</w:t>
      </w:r>
      <w:r>
        <w:rPr>
          <w:bCs/>
        </w:rPr>
        <w:t>Campden Instruments, Leicestershire, UK</w:t>
      </w:r>
      <w:r w:rsidRPr="007B61ED">
        <w:rPr>
          <w:bCs/>
        </w:rPr>
        <w:t>)</w:t>
      </w:r>
      <w:r w:rsidR="00581227">
        <w:rPr>
          <w:bCs/>
        </w:rPr>
        <w:t xml:space="preserve"> </w:t>
      </w:r>
      <w:r w:rsidRPr="009E394B">
        <w:rPr>
          <w:bCs/>
        </w:rPr>
        <w:t>composed of trapezoid-shaped chambers housed within sound attenuating boxes</w:t>
      </w:r>
      <w:r w:rsidR="00581227">
        <w:rPr>
          <w:bCs/>
        </w:rPr>
        <w:t xml:space="preserve"> </w:t>
      </w:r>
      <w:r w:rsidR="00F92514">
        <w:rPr>
          <w:bCs/>
        </w:rPr>
        <w:t xml:space="preserve">controlled by </w:t>
      </w:r>
      <w:r w:rsidRPr="009E394B">
        <w:rPr>
          <w:bCs/>
        </w:rPr>
        <w:t xml:space="preserve">Whiskers Sever and ABET II software </w:t>
      </w:r>
      <w:r w:rsidRPr="009E394B">
        <w:rPr>
          <w:bCs/>
        </w:rPr>
        <w:fldChar w:fldCharType="begin"/>
      </w:r>
      <w:r w:rsidR="001F4F4C">
        <w:rPr>
          <w:bCs/>
        </w:rPr>
        <w:instrText xml:space="preserve"> ADDIN ZOTERO_ITEM CSL_CITATION {"citationID":"gLuYRqHr","properties":{"formattedCitation":"(2)","plainCitation":"(2)","noteIndex":0},"citationItems":[{"id":484,"uris":["http://zotero.org/users/9218094/items/ZKH8B8D9"],"itemData":{"id":484,"type":"article-journal","abstract":"An increasingly popular method of assessing cognitive functions in rodents is the automated touchscreen platform, on which a number of different cognitive tests can be run in a manner very similar to touchscreen methods currently used to test human subjects. This methodology is low stress (using appetitive rather than aversive reinforcement), has high translational potential and lends itself to a high degree of standardization and throughput. Applications include the study of cognition in rodent models of psychiatric and neurodegenerative diseases (e.g., Alzheimer's disease, schizophrenia, Huntington's disease, frontotemporal dementia), as well as the characterization of the role of select brain regions, neurotransmitter systems and genes in rodents. This protocol describes how to perform four touchscreen assays of learning and memory: visual discrimination, object-location paired-associates learning, visuomotor conditional learning and autoshaping. It is accompanied by two further protocols (also published in this issue) that use the touchscreen platform to assess executive function, working memory and pattern separation.","container-title":"Nature Protocols","DOI":"10.1038/nprot.2013.122","ISSN":"1750-2799","issue":"10","journalAbbreviation":"Nat Protoc","page":"1961-1984","title":"The touchscreen operant platform for testing learning and memory in rats and mice","volume":"8","author":[{"family":"Horner","given":"Alexa E"},{"family":"Heath","given":"Christopher J"},{"family":"Hvoslef-Eide","given":"Martha"},{"family":"Kent","given":"Brianne A"},{"family":"Kim","given":"Chi Hun"},{"family":"Nilsson","given":"Simon R O"},{"family":"Alsiö","given":"Johan"},{"family":"Oomen","given":"Charlotte A"},{"family":"Holmes","given":"Andrew"},{"family":"Saksida","given":"Lisa M"},{"family":"Bussey","given":"Timothy J"}],"issued":{"date-parts":[["2013",10,1]]}}}],"schema":"https://github.com/citation-style-language/schema/raw/master/csl-citation.json"} </w:instrText>
      </w:r>
      <w:r w:rsidRPr="009E394B">
        <w:rPr>
          <w:bCs/>
        </w:rPr>
        <w:fldChar w:fldCharType="separate"/>
      </w:r>
      <w:r w:rsidR="00C07220" w:rsidRPr="00C07220">
        <w:rPr>
          <w:rFonts w:cs="Times New Roman"/>
        </w:rPr>
        <w:t>(2)</w:t>
      </w:r>
      <w:r w:rsidRPr="009E394B">
        <w:rPr>
          <w:bCs/>
        </w:rPr>
        <w:fldChar w:fldCharType="end"/>
      </w:r>
      <w:r w:rsidRPr="009E394B">
        <w:rPr>
          <w:bCs/>
        </w:rPr>
        <w:t xml:space="preserve">. </w:t>
      </w:r>
      <w:r w:rsidR="00F92514">
        <w:rPr>
          <w:bCs/>
        </w:rPr>
        <w:t>Each box was e</w:t>
      </w:r>
      <w:r w:rsidRPr="009E394B">
        <w:rPr>
          <w:bCs/>
        </w:rPr>
        <w:t>quipped with a house light, a touch sensitive LCD screen covered with a mask to display 15 locations (5x3)</w:t>
      </w:r>
      <w:r>
        <w:rPr>
          <w:bCs/>
        </w:rPr>
        <w:t xml:space="preserve"> and a</w:t>
      </w:r>
      <w:r w:rsidRPr="009E394B">
        <w:rPr>
          <w:bCs/>
        </w:rPr>
        <w:t xml:space="preserve"> magazine </w:t>
      </w:r>
      <w:r w:rsidR="00F92514">
        <w:rPr>
          <w:bCs/>
        </w:rPr>
        <w:t>with pellet dispenser</w:t>
      </w:r>
      <w:r>
        <w:rPr>
          <w:bCs/>
        </w:rPr>
        <w:t xml:space="preserve"> </w:t>
      </w:r>
      <w:r w:rsidRPr="009E394B">
        <w:rPr>
          <w:bCs/>
        </w:rPr>
        <w:t>(45MG Dustless Precision Pellets, Able Scientific, AUS)</w:t>
      </w:r>
      <w:r>
        <w:rPr>
          <w:bCs/>
        </w:rPr>
        <w:t xml:space="preserve"> on the opposite wall. </w:t>
      </w:r>
    </w:p>
    <w:p w14:paraId="3BEA5959" w14:textId="3F84D0FB" w:rsidR="00C81082" w:rsidRPr="009E394B" w:rsidRDefault="00C81082" w:rsidP="00C81082">
      <w:pPr>
        <w:ind w:firstLine="720"/>
        <w:jc w:val="both"/>
        <w:rPr>
          <w:b/>
          <w:bCs/>
        </w:rPr>
      </w:pPr>
      <w:r w:rsidRPr="009E394B">
        <w:rPr>
          <w:bCs/>
        </w:rPr>
        <w:t>Pretraining, TUNL training</w:t>
      </w:r>
      <w:r w:rsidR="003C29D5">
        <w:rPr>
          <w:bCs/>
        </w:rPr>
        <w:t>,</w:t>
      </w:r>
      <w:r w:rsidRPr="009E394B">
        <w:rPr>
          <w:bCs/>
        </w:rPr>
        <w:t xml:space="preserve"> and testing w</w:t>
      </w:r>
      <w:r w:rsidR="003C29D5">
        <w:rPr>
          <w:bCs/>
        </w:rPr>
        <w:t>ere</w:t>
      </w:r>
      <w:r w:rsidRPr="009E394B">
        <w:rPr>
          <w:bCs/>
        </w:rPr>
        <w:t xml:space="preserve"> performed as previously described </w:t>
      </w:r>
      <w:r w:rsidRPr="009E394B">
        <w:rPr>
          <w:b/>
          <w:bCs/>
        </w:rPr>
        <w:fldChar w:fldCharType="begin"/>
      </w:r>
      <w:r w:rsidR="001F4F4C">
        <w:rPr>
          <w:b/>
          <w:bCs/>
        </w:rPr>
        <w:instrText xml:space="preserve"> ADDIN ZOTERO_ITEM CSL_CITATION {"citationID":"kLIAgFOZ","properties":{"formattedCitation":"(3)","plainCitation":"(3)","noteIndex":0},"citationItems":[{"id":564,"uris":["http://zotero.org/users/9218094/items/DS3PNIFD"],"itemData":{"id":564,"type":"article-journal","abstract":"The automated touchscreen operant chamber for rats and mice allows for the assessment of multiple cognitive domains within the same testing environment. This protocol presents the location discrimination (LD) task and the trial-unique delayed nonmatching-to-location (TUNL) task, which both assess memory for location. During these tasks, animals are trained to a predefined criterion during </w:instrText>
      </w:r>
      <w:r w:rsidR="001F4F4C">
        <w:rPr>
          <w:rFonts w:ascii="Cambria Math" w:hAnsi="Cambria Math" w:cs="Cambria Math"/>
          <w:b/>
          <w:bCs/>
        </w:rPr>
        <w:instrText>∼</w:instrText>
      </w:r>
      <w:r w:rsidR="001F4F4C">
        <w:rPr>
          <w:b/>
          <w:bCs/>
        </w:rPr>
        <w:instrText xml:space="preserve">20–40 daily sessions. In LD sessions, touching the same location on the screen is rewarded on consecutive trials, followed by a reversal of location-reward contingencies. TUNL, a working memory task, requires animals to 'nonmatch' to a sample location after a delay. In both the LD and TUNL tasks, spatial similarity can be varied, allowing assessment of pattern separation ability, a function that is thought to be performed by the dentate gyrus (DG). These tasks are therefore particularly useful in animal models of hippocampal, and specifically DG, function, but they additionally permit discernment of changes in pattern separation from those in working memory.","container-title":"Nature Protocols","DOI":"10.1038/nprot.2013.124","ISSN":"1750-2799","issue":"10","journalAbbreviation":"Nat Protoc","page":"2006-2021","title":"The touchscreen operant platform for testing working memory and pattern separation in rats and mice","volume":"8","author":[{"family":"Oomen","given":"Charlotte A"},{"family":"Hvoslef-Eide","given":"Martha"},{"family":"Heath","given":"Christopher J"},{"family":"Mar","given":"Adam C"},{"family":"Horner","given":"Alexa E"},{"family":"Bussey","given":"Timothy J"},{"family":"Saksida","given":"Lisa M"}],"issued":{"date-parts":[["2013",10,1]]}}}],"schema":"https://github.com/citation-style-language/schema/raw/master/csl-citation.json"} </w:instrText>
      </w:r>
      <w:r w:rsidRPr="009E394B">
        <w:rPr>
          <w:b/>
          <w:bCs/>
        </w:rPr>
        <w:fldChar w:fldCharType="separate"/>
      </w:r>
      <w:r w:rsidR="00C07220" w:rsidRPr="00C07220">
        <w:rPr>
          <w:rFonts w:cs="Times New Roman"/>
        </w:rPr>
        <w:t>(3)</w:t>
      </w:r>
      <w:r w:rsidRPr="009E394B">
        <w:rPr>
          <w:b/>
          <w:bCs/>
        </w:rPr>
        <w:fldChar w:fldCharType="end"/>
      </w:r>
      <w:r w:rsidRPr="009E394B">
        <w:rPr>
          <w:bCs/>
        </w:rPr>
        <w:t xml:space="preserve"> with some modifications. Across pr</w:t>
      </w:r>
      <w:r w:rsidR="00DC458C">
        <w:rPr>
          <w:bCs/>
        </w:rPr>
        <w:t>e</w:t>
      </w:r>
      <w:r w:rsidRPr="009E394B">
        <w:rPr>
          <w:bCs/>
        </w:rPr>
        <w:t>t</w:t>
      </w:r>
      <w:r w:rsidR="00DC458C">
        <w:rPr>
          <w:bCs/>
        </w:rPr>
        <w:t>r</w:t>
      </w:r>
      <w:r w:rsidRPr="009E394B">
        <w:rPr>
          <w:bCs/>
        </w:rPr>
        <w:t xml:space="preserve">aining stages, described in </w:t>
      </w:r>
      <w:r w:rsidRPr="00432743">
        <w:rPr>
          <w:bCs/>
        </w:rPr>
        <w:t xml:space="preserve">table </w:t>
      </w:r>
      <w:r w:rsidR="00432743" w:rsidRPr="00432743">
        <w:rPr>
          <w:bCs/>
        </w:rPr>
        <w:t>i</w:t>
      </w:r>
      <w:r w:rsidRPr="00432743">
        <w:rPr>
          <w:bCs/>
        </w:rPr>
        <w:t>,</w:t>
      </w:r>
      <w:r w:rsidRPr="009E394B">
        <w:rPr>
          <w:bCs/>
        </w:rPr>
        <w:t xml:space="preserve"> rats were trained to touch one of the 15 locations illuminated on the screen</w:t>
      </w:r>
      <w:r w:rsidR="00DC458C">
        <w:rPr>
          <w:bCs/>
        </w:rPr>
        <w:t xml:space="preserve"> </w:t>
      </w:r>
      <w:r w:rsidR="00432743">
        <w:rPr>
          <w:bCs/>
        </w:rPr>
        <w:t>to</w:t>
      </w:r>
      <w:r w:rsidR="0042040D">
        <w:rPr>
          <w:bCs/>
        </w:rPr>
        <w:t xml:space="preserve"> obtain</w:t>
      </w:r>
      <w:r w:rsidRPr="009E394B">
        <w:rPr>
          <w:bCs/>
        </w:rPr>
        <w:t xml:space="preserve"> a </w:t>
      </w:r>
      <w:r>
        <w:rPr>
          <w:bCs/>
        </w:rPr>
        <w:t>sucrose</w:t>
      </w:r>
      <w:r w:rsidR="0042040D">
        <w:rPr>
          <w:bCs/>
        </w:rPr>
        <w:t xml:space="preserve"> </w:t>
      </w:r>
      <w:r w:rsidR="00432743">
        <w:rPr>
          <w:bCs/>
        </w:rPr>
        <w:t xml:space="preserve">pellet </w:t>
      </w:r>
      <w:r w:rsidR="00432743" w:rsidRPr="009E394B">
        <w:rPr>
          <w:bCs/>
        </w:rPr>
        <w:t>paired</w:t>
      </w:r>
      <w:r w:rsidRPr="009E394B">
        <w:rPr>
          <w:bCs/>
        </w:rPr>
        <w:t xml:space="preserve"> with a tone. Incorrect responses – a touch to a non-illuminated location – resulted in a 5 second time-out where the house light was illuminated. </w:t>
      </w:r>
    </w:p>
    <w:p w14:paraId="28727404" w14:textId="38AAFA1A" w:rsidR="00C81082" w:rsidRPr="009E394B" w:rsidRDefault="00C81082" w:rsidP="00C81082">
      <w:pPr>
        <w:ind w:firstLine="720"/>
        <w:jc w:val="both"/>
        <w:rPr>
          <w:b/>
          <w:bCs/>
        </w:rPr>
      </w:pPr>
      <w:r w:rsidRPr="009E394B">
        <w:rPr>
          <w:bCs/>
        </w:rPr>
        <w:t xml:space="preserve">Following pretraining rats progressed to task training, where all sessions were 60 minutes or 100 trials, which ever elapsed first. Briefly, during task training the session was initiated by collection of a free pellet delivered to the magazine. One of the 15 available </w:t>
      </w:r>
      <w:r w:rsidRPr="009E394B">
        <w:rPr>
          <w:bCs/>
        </w:rPr>
        <w:lastRenderedPageBreak/>
        <w:t>locations on the touch screen was illuminated</w:t>
      </w:r>
      <w:r w:rsidR="00502F2E">
        <w:rPr>
          <w:bCs/>
        </w:rPr>
        <w:t>, o</w:t>
      </w:r>
      <w:r w:rsidRPr="009E394B">
        <w:rPr>
          <w:bCs/>
        </w:rPr>
        <w:t>nce the rat touched this location (S1) illumination ceased and the magazine was illuminated. The rat would then nose-poke the magazine, and two locations on the screen were illuminated, the initial location (S1) and a new location (S2). A correct response was recorded when the rat touched the new location (S2)</w:t>
      </w:r>
      <w:r w:rsidR="00051A8A">
        <w:rPr>
          <w:bCs/>
        </w:rPr>
        <w:t xml:space="preserve">, </w:t>
      </w:r>
      <w:r w:rsidRPr="009E394B">
        <w:rPr>
          <w:bCs/>
        </w:rPr>
        <w:t>a pellet was delivered to the illuminated magazine</w:t>
      </w:r>
      <w:r>
        <w:rPr>
          <w:bCs/>
        </w:rPr>
        <w:t xml:space="preserve"> and a tone was played</w:t>
      </w:r>
      <w:r w:rsidRPr="009E394B">
        <w:rPr>
          <w:bCs/>
        </w:rPr>
        <w:t xml:space="preserve">. After </w:t>
      </w:r>
      <w:r>
        <w:rPr>
          <w:bCs/>
        </w:rPr>
        <w:t xml:space="preserve">a </w:t>
      </w:r>
      <w:r w:rsidRPr="009E394B">
        <w:rPr>
          <w:bCs/>
        </w:rPr>
        <w:t>20 second ITI the next trial began with illumination of the magazine. An incorrect response was recorded if the rat nose-poked the initial location (S1)</w:t>
      </w:r>
      <w:r w:rsidR="00E26758">
        <w:rPr>
          <w:bCs/>
        </w:rPr>
        <w:t xml:space="preserve"> for a second time</w:t>
      </w:r>
      <w:r w:rsidRPr="009E394B">
        <w:rPr>
          <w:bCs/>
        </w:rPr>
        <w:t xml:space="preserve">, </w:t>
      </w:r>
      <w:r w:rsidR="008E2C23">
        <w:rPr>
          <w:bCs/>
        </w:rPr>
        <w:t xml:space="preserve">and </w:t>
      </w:r>
      <w:r w:rsidR="00BD1888">
        <w:rPr>
          <w:bCs/>
        </w:rPr>
        <w:t>the response</w:t>
      </w:r>
      <w:r w:rsidRPr="009E394B">
        <w:rPr>
          <w:bCs/>
        </w:rPr>
        <w:t xml:space="preserve"> was followed by a 5 second time-out with the house light on, followed by the 20 second ITI. Over each session the illuminated locations varied in a pseudorandom random fashion. Locations with greater distance between them (i.e. </w:t>
      </w:r>
      <w:r>
        <w:rPr>
          <w:bCs/>
        </w:rPr>
        <w:t xml:space="preserve">“easy” </w:t>
      </w:r>
      <w:r w:rsidRPr="009E394B">
        <w:rPr>
          <w:bCs/>
        </w:rPr>
        <w:t xml:space="preserve">separation 2, figure </w:t>
      </w:r>
      <w:proofErr w:type="spellStart"/>
      <w:r w:rsidR="008E2C23">
        <w:rPr>
          <w:bCs/>
        </w:rPr>
        <w:t>i</w:t>
      </w:r>
      <w:r w:rsidRPr="009E394B">
        <w:rPr>
          <w:bCs/>
        </w:rPr>
        <w:t>C</w:t>
      </w:r>
      <w:proofErr w:type="spellEnd"/>
      <w:r w:rsidRPr="009E394B">
        <w:rPr>
          <w:bCs/>
        </w:rPr>
        <w:t xml:space="preserve">) are considered easier to differentiate than locations closer together (i.e. </w:t>
      </w:r>
      <w:r>
        <w:rPr>
          <w:bCs/>
        </w:rPr>
        <w:t xml:space="preserve">“hard” </w:t>
      </w:r>
      <w:r w:rsidRPr="009E394B">
        <w:rPr>
          <w:bCs/>
        </w:rPr>
        <w:t xml:space="preserve">separation 0, figure </w:t>
      </w:r>
      <w:r w:rsidR="007604CF">
        <w:rPr>
          <w:bCs/>
        </w:rPr>
        <w:t>1</w:t>
      </w:r>
      <w:r w:rsidRPr="009E394B">
        <w:rPr>
          <w:bCs/>
        </w:rPr>
        <w:t xml:space="preserve">A). The largest possible separations (i.e. separation 3, figure </w:t>
      </w:r>
      <w:proofErr w:type="spellStart"/>
      <w:r w:rsidR="008E2C23">
        <w:rPr>
          <w:bCs/>
        </w:rPr>
        <w:t>i</w:t>
      </w:r>
      <w:r w:rsidRPr="009E394B">
        <w:rPr>
          <w:bCs/>
        </w:rPr>
        <w:t>D</w:t>
      </w:r>
      <w:proofErr w:type="spellEnd"/>
      <w:r w:rsidRPr="009E394B">
        <w:rPr>
          <w:bCs/>
        </w:rPr>
        <w:t xml:space="preserve">) were not used as they can be solved using strategies other than spatial and working memory, and no stacked combinations (i.e. Example stacked figure </w:t>
      </w:r>
      <w:proofErr w:type="spellStart"/>
      <w:r w:rsidR="00207E58">
        <w:rPr>
          <w:bCs/>
        </w:rPr>
        <w:t>i</w:t>
      </w:r>
      <w:r w:rsidRPr="009E394B">
        <w:rPr>
          <w:bCs/>
        </w:rPr>
        <w:t>E</w:t>
      </w:r>
      <w:proofErr w:type="spellEnd"/>
      <w:r w:rsidRPr="009E394B">
        <w:rPr>
          <w:bCs/>
        </w:rPr>
        <w:t>) were used as rats show a bias for the lower location</w:t>
      </w:r>
      <w:r w:rsidR="00C07220">
        <w:rPr>
          <w:bCs/>
        </w:rPr>
        <w:t xml:space="preserve"> </w:t>
      </w:r>
      <w:r w:rsidRPr="009E394B">
        <w:rPr>
          <w:b/>
          <w:bCs/>
        </w:rPr>
        <w:fldChar w:fldCharType="begin"/>
      </w:r>
      <w:r w:rsidR="001F4F4C">
        <w:rPr>
          <w:b/>
          <w:bCs/>
        </w:rPr>
        <w:instrText xml:space="preserve"> ADDIN ZOTERO_ITEM CSL_CITATION {"citationID":"8zzJjDd5","properties":{"formattedCitation":"(4)","plainCitation":"(4)","noteIndex":0},"citationItems":[{"id":562,"uris":["http://zotero.org/users/9218094/items/MBFPNSPT"],"itemData":{"id":562,"type":"document","publisher":"Lafayette Instruments C.","title":"89545-1R- Trial-Unique Nonmatching-to-Location Learning (TUNL) Task for Rat Touch Screen Systems, 5x3 mask and ABET I","author":[{"family":"Campden Instruments","given":""}],"issued":{"date-parts":[["2011",5]]}}}],"schema":"https://github.com/citation-style-language/schema/raw/master/csl-citation.json"} </w:instrText>
      </w:r>
      <w:r w:rsidRPr="009E394B">
        <w:rPr>
          <w:b/>
          <w:bCs/>
        </w:rPr>
        <w:fldChar w:fldCharType="separate"/>
      </w:r>
      <w:r w:rsidR="00C07220" w:rsidRPr="00C07220">
        <w:rPr>
          <w:rFonts w:cs="Times New Roman"/>
        </w:rPr>
        <w:t>(4)</w:t>
      </w:r>
      <w:r w:rsidRPr="009E394B">
        <w:rPr>
          <w:b/>
          <w:bCs/>
        </w:rPr>
        <w:fldChar w:fldCharType="end"/>
      </w:r>
      <w:r w:rsidRPr="009E394B">
        <w:rPr>
          <w:bCs/>
        </w:rPr>
        <w:t>.</w:t>
      </w:r>
    </w:p>
    <w:p w14:paraId="7A7953DF" w14:textId="5F5C17CF" w:rsidR="00544B7F" w:rsidRDefault="00C81082" w:rsidP="00C81082">
      <w:pPr>
        <w:ind w:firstLine="720"/>
        <w:jc w:val="both"/>
        <w:rPr>
          <w:bCs/>
        </w:rPr>
      </w:pPr>
      <w:r w:rsidRPr="009E394B">
        <w:rPr>
          <w:bCs/>
        </w:rPr>
        <w:t>Once 10 sessions of the TUNL task had been completed</w:t>
      </w:r>
      <w:r w:rsidR="00CA3329">
        <w:rPr>
          <w:bCs/>
        </w:rPr>
        <w:t>,</w:t>
      </w:r>
      <w:r w:rsidR="00803381">
        <w:rPr>
          <w:bCs/>
        </w:rPr>
        <w:t xml:space="preserve"> rats were trained to</w:t>
      </w:r>
      <w:r w:rsidRPr="009E394B">
        <w:rPr>
          <w:bCs/>
        </w:rPr>
        <w:t xml:space="preserve"> a criterion of 75% correct responses on separation 2 (</w:t>
      </w:r>
      <w:r w:rsidRPr="009E394B">
        <w:rPr>
          <w:bCs/>
          <w:color w:val="000000" w:themeColor="text1"/>
        </w:rPr>
        <w:t>S2) trials</w:t>
      </w:r>
      <w:r w:rsidRPr="009E394B">
        <w:rPr>
          <w:bCs/>
        </w:rPr>
        <w:t xml:space="preserve"> for two consecutive days</w:t>
      </w:r>
      <w:r w:rsidRPr="009E394B">
        <w:rPr>
          <w:bCs/>
          <w:color w:val="000000" w:themeColor="text1"/>
        </w:rPr>
        <w:t>,</w:t>
      </w:r>
      <w:r w:rsidRPr="009E394B">
        <w:rPr>
          <w:bCs/>
        </w:rPr>
        <w:t xml:space="preserve"> or </w:t>
      </w:r>
      <w:r w:rsidR="00803381">
        <w:rPr>
          <w:bCs/>
        </w:rPr>
        <w:t xml:space="preserve">a total </w:t>
      </w:r>
      <w:r w:rsidR="006E4807">
        <w:rPr>
          <w:bCs/>
        </w:rPr>
        <w:t>2</w:t>
      </w:r>
      <w:r w:rsidR="00803381">
        <w:rPr>
          <w:bCs/>
        </w:rPr>
        <w:t>0 sessions of TUNL (10 additional training days)</w:t>
      </w:r>
      <w:r w:rsidR="00C47DCB">
        <w:rPr>
          <w:bCs/>
        </w:rPr>
        <w:t xml:space="preserve">. Rats then </w:t>
      </w:r>
      <w:r w:rsidR="00CA3329" w:rsidRPr="009E394B">
        <w:rPr>
          <w:bCs/>
        </w:rPr>
        <w:t>progress</w:t>
      </w:r>
      <w:r w:rsidR="00CA3329">
        <w:rPr>
          <w:bCs/>
        </w:rPr>
        <w:t>ed</w:t>
      </w:r>
      <w:r w:rsidR="00CA3329" w:rsidRPr="009E394B">
        <w:rPr>
          <w:bCs/>
        </w:rPr>
        <w:t xml:space="preserve"> to the delay trials</w:t>
      </w:r>
      <w:r w:rsidR="00C47DCB">
        <w:rPr>
          <w:bCs/>
        </w:rPr>
        <w:t xml:space="preserve"> where an </w:t>
      </w:r>
      <w:r w:rsidRPr="009E394B">
        <w:rPr>
          <w:bCs/>
        </w:rPr>
        <w:t>increas</w:t>
      </w:r>
      <w:r w:rsidR="00C47DCB">
        <w:rPr>
          <w:bCs/>
        </w:rPr>
        <w:t>ing</w:t>
      </w:r>
      <w:r w:rsidRPr="009E394B">
        <w:rPr>
          <w:bCs/>
        </w:rPr>
        <w:t xml:space="preserve"> temporal delay </w:t>
      </w:r>
      <w:r w:rsidR="00C47DCB">
        <w:rPr>
          <w:bCs/>
        </w:rPr>
        <w:t xml:space="preserve">was introduced </w:t>
      </w:r>
      <w:r w:rsidRPr="009E394B">
        <w:rPr>
          <w:bCs/>
        </w:rPr>
        <w:t xml:space="preserve">between nose poke of the initial location and illumination of the magazine. Two sessions each were run at 2, 4, 6 and 8 second delays. </w:t>
      </w:r>
      <w:bookmarkStart w:id="0" w:name="_Hlk195100760"/>
    </w:p>
    <w:p w14:paraId="49D97846" w14:textId="19C6CB7E" w:rsidR="00C81082" w:rsidRDefault="00C81082" w:rsidP="00C81082">
      <w:pPr>
        <w:ind w:firstLine="720"/>
        <w:jc w:val="both"/>
        <w:rPr>
          <w:bCs/>
        </w:rPr>
      </w:pPr>
      <w:r w:rsidRPr="009E394B">
        <w:rPr>
          <w:bCs/>
        </w:rPr>
        <w:t>The dependent variables considered in analysis of the TUNL task were accuracy (correct responses/correct + incorrect responses), premature responses,</w:t>
      </w:r>
      <w:bookmarkEnd w:id="0"/>
      <w:r w:rsidRPr="009E394B">
        <w:rPr>
          <w:bCs/>
        </w:rPr>
        <w:t xml:space="preserve"> latency to collect reward and latency to make a correct response. </w:t>
      </w:r>
    </w:p>
    <w:p w14:paraId="5EF5E3B5" w14:textId="77777777" w:rsidR="00544B7F" w:rsidRDefault="00544B7F" w:rsidP="00C81082">
      <w:pPr>
        <w:ind w:firstLine="720"/>
        <w:jc w:val="both"/>
        <w:rPr>
          <w:bCs/>
        </w:rPr>
      </w:pPr>
    </w:p>
    <w:p w14:paraId="225379CD" w14:textId="77777777" w:rsidR="00544B7F" w:rsidRPr="009E394B" w:rsidRDefault="00544B7F" w:rsidP="00C81082">
      <w:pPr>
        <w:ind w:firstLine="720"/>
        <w:jc w:val="both"/>
        <w:rPr>
          <w:b/>
          <w:bCs/>
        </w:rPr>
      </w:pPr>
    </w:p>
    <w:p w14:paraId="36E7DF76" w14:textId="6E373DCE" w:rsidR="00C81082" w:rsidRPr="009E394B" w:rsidRDefault="00023A1D" w:rsidP="00C81082">
      <w:pPr>
        <w:spacing w:line="240" w:lineRule="auto"/>
        <w:jc w:val="both"/>
        <w:rPr>
          <w:b/>
          <w:bCs/>
        </w:rPr>
      </w:pPr>
      <w:r>
        <w:rPr>
          <w:bCs/>
        </w:rPr>
        <w:lastRenderedPageBreak/>
        <w:t xml:space="preserve">Supplementary Methods </w:t>
      </w:r>
      <w:r w:rsidR="00C81082" w:rsidRPr="009E394B">
        <w:rPr>
          <w:bCs/>
        </w:rPr>
        <w:t xml:space="preserve">Table </w:t>
      </w:r>
      <w:r w:rsidR="00C55F60">
        <w:rPr>
          <w:bCs/>
        </w:rPr>
        <w:t>i</w:t>
      </w:r>
      <w:r w:rsidR="00C81082" w:rsidRPr="009E394B">
        <w:rPr>
          <w:bCs/>
        </w:rPr>
        <w:t xml:space="preserve">. Summary of TUNL </w:t>
      </w:r>
      <w:r w:rsidR="00123DB7" w:rsidRPr="009E394B">
        <w:rPr>
          <w:bCs/>
        </w:rPr>
        <w:t>p</w:t>
      </w:r>
      <w:r w:rsidR="00123DB7">
        <w:rPr>
          <w:bCs/>
        </w:rPr>
        <w:t>re</w:t>
      </w:r>
      <w:r w:rsidR="00123DB7" w:rsidRPr="009E394B">
        <w:rPr>
          <w:bCs/>
        </w:rPr>
        <w:t>training</w:t>
      </w:r>
      <w:r w:rsidR="00C81082" w:rsidRPr="009E394B">
        <w:rPr>
          <w:bCs/>
        </w:rPr>
        <w:t xml:space="preserve"> phases and criteria</w:t>
      </w:r>
    </w:p>
    <w:tbl>
      <w:tblPr>
        <w:tblStyle w:val="TableGrid2"/>
        <w:tblW w:w="0" w:type="auto"/>
        <w:tblLook w:val="04A0" w:firstRow="1" w:lastRow="0" w:firstColumn="1" w:lastColumn="0" w:noHBand="0" w:noVBand="1"/>
      </w:tblPr>
      <w:tblGrid>
        <w:gridCol w:w="1350"/>
        <w:gridCol w:w="3964"/>
        <w:gridCol w:w="3682"/>
      </w:tblGrid>
      <w:tr w:rsidR="00C81082" w:rsidRPr="009E394B" w14:paraId="5187A5EA" w14:textId="77777777" w:rsidTr="0063210D">
        <w:tc>
          <w:tcPr>
            <w:tcW w:w="1271" w:type="dxa"/>
            <w:tcBorders>
              <w:top w:val="single" w:sz="12" w:space="0" w:color="auto"/>
              <w:left w:val="single" w:sz="12" w:space="0" w:color="FFFFFF" w:themeColor="background1"/>
              <w:bottom w:val="single" w:sz="8" w:space="0" w:color="auto"/>
              <w:right w:val="single" w:sz="12" w:space="0" w:color="FFFFFF" w:themeColor="background1"/>
            </w:tcBorders>
          </w:tcPr>
          <w:p w14:paraId="78747706"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Phase</w:t>
            </w:r>
          </w:p>
        </w:tc>
        <w:tc>
          <w:tcPr>
            <w:tcW w:w="3969" w:type="dxa"/>
            <w:tcBorders>
              <w:top w:val="single" w:sz="12" w:space="0" w:color="auto"/>
              <w:left w:val="single" w:sz="12" w:space="0" w:color="FFFFFF" w:themeColor="background1"/>
              <w:bottom w:val="single" w:sz="8" w:space="0" w:color="auto"/>
              <w:right w:val="single" w:sz="12" w:space="0" w:color="FFFFFF" w:themeColor="background1"/>
            </w:tcBorders>
          </w:tcPr>
          <w:p w14:paraId="2707141F"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 xml:space="preserve">Phase description </w:t>
            </w:r>
          </w:p>
        </w:tc>
        <w:tc>
          <w:tcPr>
            <w:tcW w:w="3686" w:type="dxa"/>
            <w:tcBorders>
              <w:top w:val="single" w:sz="12" w:space="0" w:color="auto"/>
              <w:left w:val="single" w:sz="12" w:space="0" w:color="FFFFFF" w:themeColor="background1"/>
              <w:bottom w:val="single" w:sz="8" w:space="0" w:color="auto"/>
              <w:right w:val="single" w:sz="12" w:space="0" w:color="FFFFFF" w:themeColor="background1"/>
            </w:tcBorders>
          </w:tcPr>
          <w:p w14:paraId="559BB550"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Progression Criteria</w:t>
            </w:r>
          </w:p>
        </w:tc>
      </w:tr>
      <w:tr w:rsidR="00C81082" w:rsidRPr="009E394B" w14:paraId="2E02954B" w14:textId="77777777" w:rsidTr="0063210D">
        <w:tc>
          <w:tcPr>
            <w:tcW w:w="1271" w:type="dxa"/>
            <w:tcBorders>
              <w:top w:val="single" w:sz="8" w:space="0" w:color="auto"/>
              <w:left w:val="single" w:sz="12" w:space="0" w:color="FFFFFF" w:themeColor="background1"/>
              <w:bottom w:val="single" w:sz="12" w:space="0" w:color="FFFFFF" w:themeColor="background1"/>
              <w:right w:val="single" w:sz="12" w:space="0" w:color="FFFFFF" w:themeColor="background1"/>
            </w:tcBorders>
          </w:tcPr>
          <w:p w14:paraId="5BF4D268"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Habituation</w:t>
            </w:r>
          </w:p>
        </w:tc>
        <w:tc>
          <w:tcPr>
            <w:tcW w:w="3969" w:type="dxa"/>
            <w:tcBorders>
              <w:top w:val="single" w:sz="8" w:space="0" w:color="auto"/>
              <w:left w:val="single" w:sz="12" w:space="0" w:color="FFFFFF" w:themeColor="background1"/>
              <w:bottom w:val="single" w:sz="12" w:space="0" w:color="FFFFFF" w:themeColor="background1"/>
              <w:right w:val="single" w:sz="12" w:space="0" w:color="FFFFFF" w:themeColor="background1"/>
            </w:tcBorders>
          </w:tcPr>
          <w:p w14:paraId="5A38B5CC"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 xml:space="preserve">20 pellets in magazine </w:t>
            </w:r>
          </w:p>
        </w:tc>
        <w:tc>
          <w:tcPr>
            <w:tcW w:w="3686" w:type="dxa"/>
            <w:tcBorders>
              <w:top w:val="single" w:sz="8" w:space="0" w:color="auto"/>
              <w:left w:val="single" w:sz="12" w:space="0" w:color="FFFFFF" w:themeColor="background1"/>
              <w:bottom w:val="single" w:sz="12" w:space="0" w:color="FFFFFF" w:themeColor="background1"/>
              <w:right w:val="single" w:sz="12" w:space="0" w:color="FFFFFF" w:themeColor="background1"/>
            </w:tcBorders>
          </w:tcPr>
          <w:p w14:paraId="4CA34107"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All pellets consumed within 30 minutes</w:t>
            </w:r>
          </w:p>
        </w:tc>
      </w:tr>
      <w:tr w:rsidR="00C81082" w:rsidRPr="009E394B" w14:paraId="30A710E6" w14:textId="77777777" w:rsidTr="0063210D">
        <w:tc>
          <w:tcPr>
            <w:tcW w:w="1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426195E"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Initial touch training</w:t>
            </w:r>
          </w:p>
        </w:tc>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4A7EAB0"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All grid windows lit together, rat touches any location while illuminated, tone is played, and 2 x pellets delivered</w:t>
            </w:r>
          </w:p>
        </w:tc>
        <w:tc>
          <w:tcPr>
            <w:tcW w:w="36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E33CFA"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30 minutes or 50 trials for one day</w:t>
            </w:r>
          </w:p>
        </w:tc>
      </w:tr>
      <w:tr w:rsidR="00C81082" w:rsidRPr="009E394B" w14:paraId="46469ED0" w14:textId="77777777" w:rsidTr="0063210D">
        <w:tc>
          <w:tcPr>
            <w:tcW w:w="1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4400560"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Must Touch training 1</w:t>
            </w:r>
          </w:p>
        </w:tc>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71AE1BA"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All grid windows lit together, rat touches any location while illuminated and receives 1 x food reward</w:t>
            </w:r>
          </w:p>
        </w:tc>
        <w:tc>
          <w:tcPr>
            <w:tcW w:w="36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D52A311"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60 minutes or 100 trials for one day</w:t>
            </w:r>
          </w:p>
        </w:tc>
      </w:tr>
      <w:tr w:rsidR="00C81082" w:rsidRPr="009E394B" w14:paraId="0ABB4BD3" w14:textId="77777777" w:rsidTr="0063210D">
        <w:tc>
          <w:tcPr>
            <w:tcW w:w="1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E477106"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Must Touch training 2</w:t>
            </w:r>
          </w:p>
        </w:tc>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C7B664"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Block of 2 x 2 windows are lit together to form a square. Unlit windows display a dark grey image. Rat touches any location while illuminated and receives 1 x food reward</w:t>
            </w:r>
          </w:p>
        </w:tc>
        <w:tc>
          <w:tcPr>
            <w:tcW w:w="36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9ACF18B"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60 minutes or 100 trials for two consecutive days</w:t>
            </w:r>
          </w:p>
        </w:tc>
      </w:tr>
      <w:tr w:rsidR="00C81082" w:rsidRPr="009E394B" w14:paraId="10086F17" w14:textId="77777777" w:rsidTr="0063210D">
        <w:tc>
          <w:tcPr>
            <w:tcW w:w="1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588776"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Must Touch training 3</w:t>
            </w:r>
          </w:p>
        </w:tc>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51A158"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One window is lit. Unlit windows display a dark grey image. Rat touches any location while illuminated and receives 1 x food reward</w:t>
            </w:r>
          </w:p>
        </w:tc>
        <w:tc>
          <w:tcPr>
            <w:tcW w:w="36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7A780E4"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60 minutes or 100 trials for two consecutive days</w:t>
            </w:r>
          </w:p>
        </w:tc>
      </w:tr>
      <w:tr w:rsidR="00C81082" w:rsidRPr="009E394B" w14:paraId="22972109" w14:textId="77777777" w:rsidTr="0063210D">
        <w:tc>
          <w:tcPr>
            <w:tcW w:w="1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E9A8B0A"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Must initiate training</w:t>
            </w:r>
          </w:p>
        </w:tc>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9D4D59F" w14:textId="632DD4B0"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 xml:space="preserve">A free delivery of food is made, and the tray light is turned on. The rat must nose poke and exit the </w:t>
            </w:r>
            <w:r w:rsidR="00D772F2">
              <w:rPr>
                <w:rFonts w:eastAsia="Times New Roman" w:cs="Times New Roman"/>
                <w:lang w:val="en-GB"/>
              </w:rPr>
              <w:t>magazine</w:t>
            </w:r>
            <w:r w:rsidRPr="009E394B">
              <w:rPr>
                <w:rFonts w:eastAsia="Times New Roman" w:cs="Times New Roman"/>
                <w:lang w:val="en-GB"/>
              </w:rPr>
              <w:t xml:space="preserve"> before a stimulus is displayed randomly on the screen. The rat must touch the stimulus to elicit tone/food response</w:t>
            </w:r>
          </w:p>
        </w:tc>
        <w:tc>
          <w:tcPr>
            <w:tcW w:w="36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514308A"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60 minutes or 90 trials for two consecutive days</w:t>
            </w:r>
          </w:p>
        </w:tc>
      </w:tr>
      <w:tr w:rsidR="00C81082" w:rsidRPr="00577278" w14:paraId="22934666" w14:textId="77777777" w:rsidTr="0063210D">
        <w:trPr>
          <w:trHeight w:val="963"/>
        </w:trPr>
        <w:tc>
          <w:tcPr>
            <w:tcW w:w="1271"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1ADB1656"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Punish incorrect touches training</w:t>
            </w:r>
          </w:p>
        </w:tc>
        <w:tc>
          <w:tcPr>
            <w:tcW w:w="3969"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61F4A054"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 xml:space="preserve">Same as must initiate training except incorrect touches lead to a TO period (5s) and no reward. </w:t>
            </w:r>
          </w:p>
        </w:tc>
        <w:tc>
          <w:tcPr>
            <w:tcW w:w="3686"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0B7B479" w14:textId="77777777" w:rsidR="00C81082" w:rsidRPr="009E394B" w:rsidRDefault="00C81082" w:rsidP="0063210D">
            <w:pPr>
              <w:spacing w:before="0" w:after="160"/>
              <w:jc w:val="left"/>
              <w:rPr>
                <w:rFonts w:eastAsia="Times New Roman" w:cs="Times New Roman"/>
                <w:b/>
                <w:lang w:val="en-GB"/>
              </w:rPr>
            </w:pPr>
            <w:r w:rsidRPr="009E394B">
              <w:rPr>
                <w:rFonts w:eastAsia="Times New Roman" w:cs="Times New Roman"/>
                <w:lang w:val="en-GB"/>
              </w:rPr>
              <w:t>60 minutes or 80% correct trials for two consecutive days</w:t>
            </w:r>
          </w:p>
        </w:tc>
      </w:tr>
    </w:tbl>
    <w:p w14:paraId="070072A1" w14:textId="77777777" w:rsidR="00C81082" w:rsidRPr="004F095A" w:rsidRDefault="00C81082" w:rsidP="00C81082">
      <w:pPr>
        <w:tabs>
          <w:tab w:val="left" w:pos="2595"/>
        </w:tabs>
        <w:spacing w:before="0" w:after="0"/>
        <w:jc w:val="both"/>
        <w:rPr>
          <w:b/>
          <w:bCs/>
          <w:highlight w:val="yellow"/>
        </w:rPr>
      </w:pPr>
    </w:p>
    <w:p w14:paraId="373A329D" w14:textId="77777777" w:rsidR="00C81082" w:rsidRPr="004F095A" w:rsidRDefault="00C81082" w:rsidP="00C81082">
      <w:pPr>
        <w:tabs>
          <w:tab w:val="left" w:pos="2595"/>
        </w:tabs>
        <w:spacing w:before="0" w:after="0"/>
        <w:jc w:val="both"/>
        <w:rPr>
          <w:b/>
          <w:bCs/>
          <w:highlight w:val="yellow"/>
        </w:rPr>
      </w:pPr>
      <w:r w:rsidRPr="00D66BDF">
        <w:rPr>
          <w:b/>
          <w:bCs/>
          <w:noProof/>
        </w:rPr>
        <w:lastRenderedPageBreak/>
        <w:drawing>
          <wp:inline distT="0" distB="0" distL="0" distR="0" wp14:anchorId="7DEBE468" wp14:editId="5DA662A4">
            <wp:extent cx="5029200" cy="2880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2188" b="28172"/>
                    <a:stretch/>
                  </pic:blipFill>
                  <pic:spPr bwMode="auto">
                    <a:xfrm>
                      <a:off x="0" y="0"/>
                      <a:ext cx="5029598" cy="2881223"/>
                    </a:xfrm>
                    <a:prstGeom prst="rect">
                      <a:avLst/>
                    </a:prstGeom>
                    <a:noFill/>
                    <a:ln>
                      <a:noFill/>
                    </a:ln>
                    <a:extLst>
                      <a:ext uri="{53640926-AAD7-44D8-BBD7-CCE9431645EC}">
                        <a14:shadowObscured xmlns:a14="http://schemas.microsoft.com/office/drawing/2010/main"/>
                      </a:ext>
                    </a:extLst>
                  </pic:spPr>
                </pic:pic>
              </a:graphicData>
            </a:graphic>
          </wp:inline>
        </w:drawing>
      </w:r>
    </w:p>
    <w:p w14:paraId="6ADB5A5C" w14:textId="704C71A2" w:rsidR="00C81082" w:rsidRDefault="00D700D4" w:rsidP="00D700D4">
      <w:pPr>
        <w:spacing w:before="0" w:after="0"/>
        <w:jc w:val="both"/>
        <w:rPr>
          <w:b/>
          <w:bCs/>
        </w:rPr>
      </w:pPr>
      <w:r w:rsidRPr="00EF1754">
        <w:rPr>
          <w:rFonts w:cs="Times New Roman"/>
          <w:b/>
          <w:bCs/>
          <w:iCs/>
        </w:rPr>
        <w:t xml:space="preserve">Supplementary Methods Figure i: </w:t>
      </w:r>
      <w:r w:rsidRPr="00EF1754">
        <w:rPr>
          <w:b/>
          <w:bCs/>
        </w:rPr>
        <w:t>R</w:t>
      </w:r>
      <w:r w:rsidR="00C81082" w:rsidRPr="00EF1754">
        <w:rPr>
          <w:b/>
          <w:bCs/>
        </w:rPr>
        <w:t>epresentation of phase two stimulus locations in the TUNL task</w:t>
      </w:r>
      <w:r w:rsidRPr="00EF1754">
        <w:rPr>
          <w:b/>
          <w:bCs/>
        </w:rPr>
        <w:t>.</w:t>
      </w:r>
      <w:r>
        <w:rPr>
          <w:bCs/>
        </w:rPr>
        <w:t xml:space="preserve"> </w:t>
      </w:r>
      <w:r w:rsidR="00C81082" w:rsidRPr="00EF1754">
        <w:rPr>
          <w:b/>
          <w:bCs/>
        </w:rPr>
        <w:t>A</w:t>
      </w:r>
      <w:r w:rsidR="00C81082" w:rsidRPr="009E394B">
        <w:rPr>
          <w:bCs/>
        </w:rPr>
        <w:t xml:space="preserve"> represents a </w:t>
      </w:r>
      <w:r w:rsidR="00C81082">
        <w:rPr>
          <w:bCs/>
        </w:rPr>
        <w:t>“hard”</w:t>
      </w:r>
      <w:r w:rsidR="00C81082" w:rsidRPr="009E394B">
        <w:rPr>
          <w:bCs/>
        </w:rPr>
        <w:t xml:space="preserve"> separation 0 (S0) trial, </w:t>
      </w:r>
      <w:r w:rsidR="00EF1754" w:rsidRPr="00EF1754">
        <w:rPr>
          <w:b/>
        </w:rPr>
        <w:t>B</w:t>
      </w:r>
      <w:r w:rsidR="000D793A">
        <w:rPr>
          <w:bCs/>
        </w:rPr>
        <w:t xml:space="preserve"> </w:t>
      </w:r>
      <w:r w:rsidR="00C81082" w:rsidRPr="009E394B">
        <w:rPr>
          <w:bCs/>
        </w:rPr>
        <w:t xml:space="preserve">a </w:t>
      </w:r>
      <w:r w:rsidR="00C81082">
        <w:rPr>
          <w:bCs/>
        </w:rPr>
        <w:t>“medium”</w:t>
      </w:r>
      <w:r w:rsidR="00C81082" w:rsidRPr="009E394B">
        <w:rPr>
          <w:bCs/>
        </w:rPr>
        <w:t xml:space="preserve"> separation 1 (S1) trial and </w:t>
      </w:r>
      <w:proofErr w:type="spellStart"/>
      <w:r w:rsidR="00C81082" w:rsidRPr="00EF1754">
        <w:rPr>
          <w:b/>
          <w:bCs/>
        </w:rPr>
        <w:t>C</w:t>
      </w:r>
      <w:r w:rsidR="00EF1754">
        <w:rPr>
          <w:bCs/>
        </w:rPr>
        <w:t xml:space="preserve"> </w:t>
      </w:r>
      <w:r w:rsidR="00C81082">
        <w:rPr>
          <w:bCs/>
        </w:rPr>
        <w:t>an</w:t>
      </w:r>
      <w:proofErr w:type="spellEnd"/>
      <w:r w:rsidR="00C81082">
        <w:rPr>
          <w:bCs/>
        </w:rPr>
        <w:t xml:space="preserve"> “easy”</w:t>
      </w:r>
      <w:r w:rsidR="00C81082" w:rsidRPr="009E394B">
        <w:rPr>
          <w:bCs/>
        </w:rPr>
        <w:t xml:space="preserve"> separation 2 (S2) trial</w:t>
      </w:r>
      <w:r w:rsidR="00FE32AF">
        <w:rPr>
          <w:bCs/>
        </w:rPr>
        <w:t xml:space="preserve"> used in the current study</w:t>
      </w:r>
      <w:r w:rsidR="00C81082" w:rsidRPr="009E394B">
        <w:rPr>
          <w:bCs/>
        </w:rPr>
        <w:t xml:space="preserve">. </w:t>
      </w:r>
      <w:r w:rsidR="00C81082" w:rsidRPr="00EF1754">
        <w:rPr>
          <w:b/>
          <w:bCs/>
        </w:rPr>
        <w:t>D</w:t>
      </w:r>
      <w:r w:rsidR="00C81082" w:rsidRPr="009E394B">
        <w:rPr>
          <w:bCs/>
        </w:rPr>
        <w:t xml:space="preserve"> </w:t>
      </w:r>
      <w:r w:rsidR="00FE32AF">
        <w:rPr>
          <w:bCs/>
        </w:rPr>
        <w:t>R</w:t>
      </w:r>
      <w:r w:rsidR="00C81082" w:rsidRPr="009E394B">
        <w:rPr>
          <w:bCs/>
        </w:rPr>
        <w:t>epresent</w:t>
      </w:r>
      <w:r w:rsidR="00645E59">
        <w:rPr>
          <w:bCs/>
        </w:rPr>
        <w:t>s a</w:t>
      </w:r>
      <w:r w:rsidR="00C81082" w:rsidRPr="009E394B">
        <w:rPr>
          <w:bCs/>
        </w:rPr>
        <w:t xml:space="preserve"> separation 3 (S3) </w:t>
      </w:r>
      <w:r w:rsidR="00645E59">
        <w:rPr>
          <w:bCs/>
        </w:rPr>
        <w:t xml:space="preserve">trial </w:t>
      </w:r>
      <w:r w:rsidR="00645E59" w:rsidRPr="009E394B">
        <w:rPr>
          <w:bCs/>
        </w:rPr>
        <w:t xml:space="preserve">and </w:t>
      </w:r>
      <w:r w:rsidR="00645E59" w:rsidRPr="00EF1754">
        <w:rPr>
          <w:b/>
          <w:bCs/>
        </w:rPr>
        <w:t>E</w:t>
      </w:r>
      <w:r w:rsidR="00645E59" w:rsidRPr="009E394B">
        <w:rPr>
          <w:bCs/>
        </w:rPr>
        <w:t xml:space="preserve"> </w:t>
      </w:r>
      <w:r w:rsidR="00645E59">
        <w:rPr>
          <w:bCs/>
        </w:rPr>
        <w:t xml:space="preserve">a </w:t>
      </w:r>
      <w:r w:rsidR="00C81082" w:rsidRPr="009E394B">
        <w:rPr>
          <w:bCs/>
        </w:rPr>
        <w:t>stacked configuration</w:t>
      </w:r>
      <w:r w:rsidR="00FE32AF">
        <w:rPr>
          <w:bCs/>
        </w:rPr>
        <w:t xml:space="preserve"> – these </w:t>
      </w:r>
      <w:r w:rsidR="00C81082" w:rsidRPr="009E394B">
        <w:rPr>
          <w:bCs/>
        </w:rPr>
        <w:t xml:space="preserve">were not used as they do not rely on spatial memory alone. </w:t>
      </w:r>
    </w:p>
    <w:p w14:paraId="02FDE38C" w14:textId="77777777" w:rsidR="00C81082" w:rsidRPr="00C81082" w:rsidRDefault="00C81082" w:rsidP="00C81082">
      <w:pPr>
        <w:spacing w:before="0" w:after="0"/>
        <w:jc w:val="both"/>
        <w:rPr>
          <w:b/>
          <w:bCs/>
        </w:rPr>
      </w:pPr>
    </w:p>
    <w:p w14:paraId="5CC17AAF" w14:textId="1A2552AD" w:rsidR="00260758" w:rsidRPr="00BB114E" w:rsidRDefault="00260758" w:rsidP="00260758">
      <w:pPr>
        <w:spacing w:before="0" w:after="0"/>
        <w:jc w:val="both"/>
        <w:rPr>
          <w:b/>
          <w:bCs/>
          <w:i/>
          <w:iCs/>
        </w:rPr>
      </w:pPr>
      <w:r>
        <w:rPr>
          <w:bCs/>
          <w:i/>
          <w:iCs/>
        </w:rPr>
        <w:t xml:space="preserve">Supplementary </w:t>
      </w:r>
      <w:r w:rsidR="00631060">
        <w:rPr>
          <w:bCs/>
          <w:i/>
          <w:iCs/>
        </w:rPr>
        <w:t xml:space="preserve">Methods </w:t>
      </w:r>
      <w:r w:rsidR="00C55F60">
        <w:rPr>
          <w:bCs/>
          <w:i/>
          <w:iCs/>
        </w:rPr>
        <w:t>ii</w:t>
      </w:r>
      <w:r w:rsidR="007C703B">
        <w:rPr>
          <w:bCs/>
          <w:i/>
          <w:iCs/>
        </w:rPr>
        <w:t>i</w:t>
      </w:r>
      <w:r>
        <w:rPr>
          <w:bCs/>
          <w:i/>
          <w:iCs/>
        </w:rPr>
        <w:t>: Five-Choice</w:t>
      </w:r>
      <w:r w:rsidR="00422D65">
        <w:rPr>
          <w:bCs/>
          <w:i/>
          <w:iCs/>
        </w:rPr>
        <w:t xml:space="preserve"> S</w:t>
      </w:r>
      <w:r>
        <w:rPr>
          <w:bCs/>
          <w:i/>
          <w:iCs/>
        </w:rPr>
        <w:t xml:space="preserve">erial </w:t>
      </w:r>
      <w:r w:rsidR="00422D65">
        <w:rPr>
          <w:bCs/>
          <w:i/>
          <w:iCs/>
        </w:rPr>
        <w:t>Re</w:t>
      </w:r>
      <w:r>
        <w:rPr>
          <w:bCs/>
          <w:i/>
          <w:iCs/>
        </w:rPr>
        <w:t>action</w:t>
      </w:r>
      <w:r w:rsidR="00422D65">
        <w:rPr>
          <w:bCs/>
          <w:i/>
          <w:iCs/>
        </w:rPr>
        <w:t xml:space="preserve"> T</w:t>
      </w:r>
      <w:r>
        <w:rPr>
          <w:bCs/>
          <w:i/>
          <w:iCs/>
        </w:rPr>
        <w:t xml:space="preserve">ime </w:t>
      </w:r>
      <w:r w:rsidR="00422D65">
        <w:rPr>
          <w:bCs/>
          <w:i/>
          <w:iCs/>
        </w:rPr>
        <w:t>T</w:t>
      </w:r>
      <w:r>
        <w:rPr>
          <w:bCs/>
          <w:i/>
          <w:iCs/>
        </w:rPr>
        <w:t xml:space="preserve">ask </w:t>
      </w:r>
      <w:r w:rsidR="008E2C23">
        <w:rPr>
          <w:bCs/>
          <w:i/>
          <w:iCs/>
        </w:rPr>
        <w:t>P</w:t>
      </w:r>
      <w:r>
        <w:rPr>
          <w:bCs/>
          <w:i/>
          <w:iCs/>
        </w:rPr>
        <w:t xml:space="preserve">rotocol </w:t>
      </w:r>
    </w:p>
    <w:p w14:paraId="058C6D0F" w14:textId="172F73D9" w:rsidR="00260758" w:rsidRPr="00D444DB" w:rsidRDefault="00260758" w:rsidP="00260758">
      <w:pPr>
        <w:spacing w:before="0" w:after="0"/>
        <w:ind w:firstLine="720"/>
        <w:jc w:val="both"/>
        <w:rPr>
          <w:b/>
          <w:bCs/>
        </w:rPr>
      </w:pPr>
      <w:r w:rsidRPr="00D444DB">
        <w:rPr>
          <w:bCs/>
        </w:rPr>
        <w:t>The 5-CSRTT was performed in a modified operant chamber (MED Associates, VA, US) individually housed in sound-attenuating cabinets. The left wall of the chamber was curved with five apertures, each equipped with an LED light</w:t>
      </w:r>
      <w:r w:rsidR="00066E8D">
        <w:rPr>
          <w:bCs/>
        </w:rPr>
        <w:t xml:space="preserve"> and</w:t>
      </w:r>
      <w:r w:rsidRPr="00D444DB">
        <w:rPr>
          <w:bCs/>
        </w:rPr>
        <w:t xml:space="preserve"> infrared detectors. </w:t>
      </w:r>
      <w:r w:rsidR="00066E8D">
        <w:rPr>
          <w:bCs/>
        </w:rPr>
        <w:t>On the opposite wall</w:t>
      </w:r>
      <w:r w:rsidR="001740FF">
        <w:rPr>
          <w:bCs/>
        </w:rPr>
        <w:t xml:space="preserve">, a </w:t>
      </w:r>
      <w:r w:rsidRPr="00D444DB">
        <w:rPr>
          <w:bCs/>
        </w:rPr>
        <w:t xml:space="preserve">magazine with a </w:t>
      </w:r>
      <w:r w:rsidR="001740FF">
        <w:rPr>
          <w:bCs/>
        </w:rPr>
        <w:t xml:space="preserve">ceiling </w:t>
      </w:r>
      <w:r w:rsidRPr="00D444DB">
        <w:rPr>
          <w:bCs/>
        </w:rPr>
        <w:t>light</w:t>
      </w:r>
      <w:r w:rsidR="001740FF">
        <w:rPr>
          <w:bCs/>
        </w:rPr>
        <w:t xml:space="preserve"> was</w:t>
      </w:r>
      <w:r w:rsidRPr="00D444DB">
        <w:rPr>
          <w:bCs/>
        </w:rPr>
        <w:t xml:space="preserve"> connected to </w:t>
      </w:r>
      <w:r w:rsidR="001740FF">
        <w:rPr>
          <w:bCs/>
        </w:rPr>
        <w:t>a pellet dispenser</w:t>
      </w:r>
      <w:r w:rsidRPr="00D444DB">
        <w:rPr>
          <w:bCs/>
        </w:rPr>
        <w:t>. Rats progressed through the 5-CSRTT</w:t>
      </w:r>
      <w:r w:rsidR="001740FF">
        <w:rPr>
          <w:bCs/>
        </w:rPr>
        <w:t xml:space="preserve"> according to</w:t>
      </w:r>
      <w:r w:rsidRPr="00D444DB">
        <w:rPr>
          <w:bCs/>
        </w:rPr>
        <w:t xml:space="preserve"> the criteria and conditions at each stage outlined in table </w:t>
      </w:r>
      <w:r w:rsidR="00C55F60">
        <w:rPr>
          <w:bCs/>
        </w:rPr>
        <w:t>ii</w:t>
      </w:r>
      <w:r w:rsidRPr="00D444DB">
        <w:rPr>
          <w:bCs/>
        </w:rPr>
        <w:t>.  Each session lasted 30 minutes or 100 trials, whichever elapsed first, and rats were required to meet criteria in two consecutive sessions</w:t>
      </w:r>
      <w:r w:rsidR="00250C16">
        <w:rPr>
          <w:bCs/>
        </w:rPr>
        <w:t xml:space="preserve"> or a maximum number of days</w:t>
      </w:r>
      <w:r w:rsidRPr="00D444DB">
        <w:rPr>
          <w:bCs/>
        </w:rPr>
        <w:t xml:space="preserve"> before progressing to the next stage.</w:t>
      </w:r>
    </w:p>
    <w:p w14:paraId="5DEF1DB4" w14:textId="48D1CE17" w:rsidR="00D02551" w:rsidRDefault="00250C16" w:rsidP="00260758">
      <w:pPr>
        <w:spacing w:before="0" w:after="0"/>
        <w:ind w:firstLine="720"/>
        <w:jc w:val="both"/>
        <w:rPr>
          <w:bCs/>
        </w:rPr>
      </w:pPr>
      <w:r>
        <w:rPr>
          <w:bCs/>
        </w:rPr>
        <w:t>E</w:t>
      </w:r>
      <w:r w:rsidR="00260758" w:rsidRPr="00D444DB">
        <w:rPr>
          <w:bCs/>
        </w:rPr>
        <w:t xml:space="preserve">ach session began with the illumination of the magazine and delivery of a pellet. Once the rat had collected the pellet </w:t>
      </w:r>
      <w:r w:rsidR="003A6F6A">
        <w:rPr>
          <w:bCs/>
        </w:rPr>
        <w:t>a delay (</w:t>
      </w:r>
      <w:r w:rsidR="00260758" w:rsidRPr="00D444DB">
        <w:rPr>
          <w:bCs/>
        </w:rPr>
        <w:t>inter trial interval</w:t>
      </w:r>
      <w:r w:rsidR="003A6F6A">
        <w:rPr>
          <w:bCs/>
        </w:rPr>
        <w:t xml:space="preserve">; </w:t>
      </w:r>
      <w:r w:rsidR="00260758" w:rsidRPr="00D444DB">
        <w:rPr>
          <w:bCs/>
        </w:rPr>
        <w:t xml:space="preserve">ITI) began. </w:t>
      </w:r>
      <w:r w:rsidR="003A6F6A">
        <w:rPr>
          <w:bCs/>
        </w:rPr>
        <w:t>Thereafter</w:t>
      </w:r>
      <w:r w:rsidR="00260758" w:rsidRPr="00D444DB">
        <w:rPr>
          <w:bCs/>
        </w:rPr>
        <w:t xml:space="preserve"> one of the 5 </w:t>
      </w:r>
      <w:r w:rsidR="00260758" w:rsidRPr="00D444DB">
        <w:rPr>
          <w:bCs/>
        </w:rPr>
        <w:lastRenderedPageBreak/>
        <w:t xml:space="preserve">nose-poke apertures was illuminated in a pseudorandom fashion, with the </w:t>
      </w:r>
      <w:r w:rsidR="000C2710">
        <w:rPr>
          <w:bCs/>
        </w:rPr>
        <w:t>stimulus duration (</w:t>
      </w:r>
      <w:r w:rsidR="00260758">
        <w:rPr>
          <w:bCs/>
        </w:rPr>
        <w:t>SD</w:t>
      </w:r>
      <w:r w:rsidR="000C2710">
        <w:rPr>
          <w:bCs/>
        </w:rPr>
        <w:t>)</w:t>
      </w:r>
      <w:r w:rsidR="00260758" w:rsidRPr="00D444DB">
        <w:rPr>
          <w:bCs/>
        </w:rPr>
        <w:t xml:space="preserve"> varying based on the stage of the task</w:t>
      </w:r>
      <w:r w:rsidR="000C2710">
        <w:rPr>
          <w:bCs/>
        </w:rPr>
        <w:t xml:space="preserve"> (</w:t>
      </w:r>
      <w:r w:rsidR="00552C78" w:rsidRPr="00D444DB">
        <w:rPr>
          <w:bCs/>
        </w:rPr>
        <w:t>summarized</w:t>
      </w:r>
      <w:r w:rsidR="00260758" w:rsidRPr="00D444DB">
        <w:rPr>
          <w:bCs/>
        </w:rPr>
        <w:t xml:space="preserve"> in table</w:t>
      </w:r>
      <w:r w:rsidR="00F9476A">
        <w:rPr>
          <w:bCs/>
        </w:rPr>
        <w:t xml:space="preserve"> ii</w:t>
      </w:r>
      <w:r w:rsidR="000C2710">
        <w:rPr>
          <w:bCs/>
        </w:rPr>
        <w:t>)</w:t>
      </w:r>
      <w:r w:rsidR="00260758" w:rsidRPr="00D444DB">
        <w:rPr>
          <w:bCs/>
        </w:rPr>
        <w:t xml:space="preserve">. If the rat nose-poked the illuminated aperture within </w:t>
      </w:r>
      <w:r w:rsidR="000C2710">
        <w:rPr>
          <w:bCs/>
        </w:rPr>
        <w:t>a specified time (</w:t>
      </w:r>
      <w:r w:rsidR="00260758" w:rsidRPr="00D444DB">
        <w:rPr>
          <w:bCs/>
        </w:rPr>
        <w:t>limited hol</w:t>
      </w:r>
      <w:r w:rsidR="000C2710">
        <w:rPr>
          <w:bCs/>
        </w:rPr>
        <w:t>d)</w:t>
      </w:r>
      <w:r w:rsidR="00260758" w:rsidRPr="00D444DB">
        <w:rPr>
          <w:bCs/>
        </w:rPr>
        <w:t xml:space="preserve"> a correct response was </w:t>
      </w:r>
      <w:r w:rsidR="00D772F2" w:rsidRPr="00D444DB">
        <w:rPr>
          <w:bCs/>
        </w:rPr>
        <w:t>recorded,</w:t>
      </w:r>
      <w:r w:rsidR="00260758" w:rsidRPr="00D444DB">
        <w:rPr>
          <w:bCs/>
        </w:rPr>
        <w:t xml:space="preserve"> and a pellet delivered. The next trial would commence once that pellet was collected. If the rat made a response during the ITI (premature response), made a response to the wrong aperture during the limited hold (incorrect response), or failed to nose-poke the correct aperture during the limited hold (omission) a 5 second time out occurred where the house light turned on. The next </w:t>
      </w:r>
      <w:r w:rsidR="00260758">
        <w:rPr>
          <w:bCs/>
        </w:rPr>
        <w:t>trial</w:t>
      </w:r>
      <w:r w:rsidR="00260758" w:rsidRPr="00D444DB">
        <w:rPr>
          <w:bCs/>
        </w:rPr>
        <w:t xml:space="preserve"> commenced after the time out.</w:t>
      </w:r>
      <w:r w:rsidR="00260758">
        <w:rPr>
          <w:bCs/>
        </w:rPr>
        <w:t xml:space="preserve"> A</w:t>
      </w:r>
      <w:r w:rsidR="00260758" w:rsidRPr="00D444DB">
        <w:rPr>
          <w:bCs/>
        </w:rPr>
        <w:t>ny entries into the nose-poke apertures made after a correct response but before collection of the reward from the magazine were recorded as perseverative responses but did not result in a time-out</w:t>
      </w:r>
      <w:r w:rsidR="00D02551" w:rsidRPr="00D444DB">
        <w:rPr>
          <w:bCs/>
        </w:rPr>
        <w:t>.</w:t>
      </w:r>
      <w:r w:rsidR="00D02551">
        <w:rPr>
          <w:bCs/>
        </w:rPr>
        <w:t xml:space="preserve"> Once rats had progressed through all the training stages, they underwent one </w:t>
      </w:r>
      <w:r w:rsidR="00553218">
        <w:rPr>
          <w:bCs/>
        </w:rPr>
        <w:t>multiple stimulus duration (</w:t>
      </w:r>
      <w:r w:rsidR="00D02551">
        <w:rPr>
          <w:bCs/>
        </w:rPr>
        <w:t>MSD</w:t>
      </w:r>
      <w:r w:rsidR="00553218">
        <w:rPr>
          <w:bCs/>
        </w:rPr>
        <w:t>)</w:t>
      </w:r>
      <w:r w:rsidR="00D02551">
        <w:rPr>
          <w:bCs/>
        </w:rPr>
        <w:t xml:space="preserve"> session, a single session at stage 7 the following day and then one </w:t>
      </w:r>
      <w:r w:rsidR="00553218">
        <w:rPr>
          <w:bCs/>
        </w:rPr>
        <w:t>multiple ITI (</w:t>
      </w:r>
      <w:r w:rsidR="00D02551">
        <w:rPr>
          <w:bCs/>
        </w:rPr>
        <w:t>MITI</w:t>
      </w:r>
      <w:r w:rsidR="00553218">
        <w:rPr>
          <w:bCs/>
        </w:rPr>
        <w:t>)</w:t>
      </w:r>
      <w:r w:rsidR="00D02551">
        <w:rPr>
          <w:bCs/>
        </w:rPr>
        <w:t xml:space="preserve"> session.</w:t>
      </w:r>
    </w:p>
    <w:p w14:paraId="774097FC" w14:textId="4081760D" w:rsidR="00260758" w:rsidRDefault="00260758" w:rsidP="00260758">
      <w:pPr>
        <w:spacing w:before="0" w:after="0"/>
        <w:ind w:firstLine="720"/>
        <w:jc w:val="both"/>
        <w:rPr>
          <w:bCs/>
        </w:rPr>
      </w:pPr>
      <w:r w:rsidRPr="00D444DB">
        <w:rPr>
          <w:bCs/>
        </w:rPr>
        <w:t>Measures of performance were accuracy (correct responses/correct + incorrect responses), omissions (omissions/total number of trials), premature responses</w:t>
      </w:r>
      <w:r w:rsidR="00D772F2">
        <w:rPr>
          <w:bCs/>
        </w:rPr>
        <w:t xml:space="preserve"> and</w:t>
      </w:r>
      <w:r w:rsidRPr="00D444DB">
        <w:rPr>
          <w:bCs/>
        </w:rPr>
        <w:t xml:space="preserve"> perseverative responses</w:t>
      </w:r>
      <w:r w:rsidR="00553218">
        <w:rPr>
          <w:bCs/>
        </w:rPr>
        <w:t>.</w:t>
      </w:r>
    </w:p>
    <w:p w14:paraId="3CEEBAB6" w14:textId="77777777" w:rsidR="00553218" w:rsidRPr="00D444DB" w:rsidRDefault="00553218" w:rsidP="00260758">
      <w:pPr>
        <w:spacing w:before="0" w:after="0"/>
        <w:ind w:firstLine="720"/>
        <w:jc w:val="both"/>
        <w:rPr>
          <w:b/>
          <w:bCs/>
        </w:rPr>
      </w:pPr>
    </w:p>
    <w:p w14:paraId="04139FF4" w14:textId="715AC25C" w:rsidR="00260758" w:rsidRPr="00D444DB" w:rsidRDefault="00023A1D" w:rsidP="00260758">
      <w:pPr>
        <w:keepNext/>
        <w:keepLines/>
        <w:spacing w:before="0" w:after="0" w:line="240" w:lineRule="auto"/>
        <w:jc w:val="left"/>
        <w:outlineLvl w:val="2"/>
        <w:rPr>
          <w:rFonts w:eastAsiaTheme="majorEastAsia" w:cstheme="majorBidi"/>
          <w:b/>
          <w:bCs/>
          <w:color w:val="000000" w:themeColor="text1"/>
        </w:rPr>
      </w:pPr>
      <w:r>
        <w:rPr>
          <w:bCs/>
        </w:rPr>
        <w:t xml:space="preserve">Supplementary Methods </w:t>
      </w:r>
      <w:r w:rsidR="00260758" w:rsidRPr="00D444DB">
        <w:rPr>
          <w:rFonts w:eastAsiaTheme="majorEastAsia" w:cstheme="majorBidi"/>
          <w:bCs/>
          <w:color w:val="000000" w:themeColor="text1"/>
        </w:rPr>
        <w:t xml:space="preserve">Table </w:t>
      </w:r>
      <w:r w:rsidR="00C55F60">
        <w:rPr>
          <w:rFonts w:eastAsiaTheme="majorEastAsia" w:cstheme="majorBidi"/>
          <w:bCs/>
          <w:color w:val="000000" w:themeColor="text1"/>
        </w:rPr>
        <w:t>ii</w:t>
      </w:r>
      <w:r w:rsidR="00260758" w:rsidRPr="00D444DB">
        <w:rPr>
          <w:rFonts w:eastAsiaTheme="majorEastAsia" w:cstheme="majorBidi"/>
          <w:bCs/>
          <w:color w:val="000000" w:themeColor="text1"/>
        </w:rPr>
        <w:t xml:space="preserve">. </w:t>
      </w:r>
      <w:r w:rsidR="00260758" w:rsidRPr="00D444DB">
        <w:rPr>
          <w:bCs/>
        </w:rPr>
        <w:t>Summary of 5-CSRTT phases and progression criteria</w:t>
      </w:r>
    </w:p>
    <w:tbl>
      <w:tblPr>
        <w:tblStyle w:val="TableGrid21"/>
        <w:tblW w:w="0" w:type="auto"/>
        <w:tblCellMar>
          <w:left w:w="0" w:type="dxa"/>
          <w:right w:w="0" w:type="dxa"/>
        </w:tblCellMar>
        <w:tblLook w:val="04A0" w:firstRow="1" w:lastRow="0" w:firstColumn="1" w:lastColumn="0" w:noHBand="0" w:noVBand="1"/>
      </w:tblPr>
      <w:tblGrid>
        <w:gridCol w:w="1270"/>
        <w:gridCol w:w="1135"/>
        <w:gridCol w:w="1276"/>
        <w:gridCol w:w="1215"/>
        <w:gridCol w:w="4120"/>
      </w:tblGrid>
      <w:tr w:rsidR="00260758" w:rsidRPr="00D444DB" w14:paraId="7CC46EDA" w14:textId="77777777" w:rsidTr="00260758">
        <w:tc>
          <w:tcPr>
            <w:tcW w:w="1270" w:type="dxa"/>
            <w:tcBorders>
              <w:top w:val="single" w:sz="12" w:space="0" w:color="auto"/>
              <w:left w:val="single" w:sz="4" w:space="0" w:color="FFFFFF" w:themeColor="background1"/>
              <w:bottom w:val="single" w:sz="8" w:space="0" w:color="auto"/>
              <w:right w:val="single" w:sz="4" w:space="0" w:color="FFFFFF" w:themeColor="background1"/>
            </w:tcBorders>
          </w:tcPr>
          <w:p w14:paraId="7FEBFB6D" w14:textId="77777777" w:rsidR="00260758" w:rsidRPr="00D444DB" w:rsidRDefault="00260758" w:rsidP="00B27E25">
            <w:pPr>
              <w:spacing w:before="0" w:after="0"/>
              <w:jc w:val="left"/>
              <w:rPr>
                <w:rFonts w:eastAsia="Times New Roman" w:cs="Times New Roman"/>
                <w:bCs/>
                <w:szCs w:val="22"/>
                <w:lang w:val="en-GB"/>
              </w:rPr>
            </w:pPr>
            <w:r w:rsidRPr="00D444DB">
              <w:rPr>
                <w:rFonts w:eastAsia="Times New Roman" w:cs="Times New Roman"/>
                <w:bCs/>
                <w:szCs w:val="22"/>
                <w:lang w:val="en-GB"/>
              </w:rPr>
              <w:t>Phase</w:t>
            </w:r>
          </w:p>
        </w:tc>
        <w:tc>
          <w:tcPr>
            <w:tcW w:w="1135" w:type="dxa"/>
            <w:tcBorders>
              <w:top w:val="single" w:sz="12" w:space="0" w:color="auto"/>
              <w:left w:val="single" w:sz="4" w:space="0" w:color="FFFFFF" w:themeColor="background1"/>
              <w:bottom w:val="single" w:sz="8" w:space="0" w:color="auto"/>
              <w:right w:val="single" w:sz="4" w:space="0" w:color="FFFFFF" w:themeColor="background1"/>
            </w:tcBorders>
          </w:tcPr>
          <w:p w14:paraId="1B196FBF" w14:textId="77777777" w:rsidR="00260758" w:rsidRPr="00D444DB" w:rsidRDefault="00260758" w:rsidP="00B27E25">
            <w:pPr>
              <w:spacing w:before="0" w:after="0"/>
              <w:jc w:val="left"/>
              <w:rPr>
                <w:rFonts w:eastAsia="Times New Roman" w:cs="Times New Roman"/>
                <w:bCs/>
                <w:szCs w:val="22"/>
                <w:lang w:val="en-GB"/>
              </w:rPr>
            </w:pPr>
            <w:r w:rsidRPr="00D444DB">
              <w:rPr>
                <w:rFonts w:eastAsia="Times New Roman" w:cs="Times New Roman"/>
                <w:bCs/>
                <w:szCs w:val="22"/>
                <w:lang w:val="en-GB"/>
              </w:rPr>
              <w:t>Stimulus duration (seconds)</w:t>
            </w:r>
          </w:p>
        </w:tc>
        <w:tc>
          <w:tcPr>
            <w:tcW w:w="1276" w:type="dxa"/>
            <w:tcBorders>
              <w:top w:val="single" w:sz="12" w:space="0" w:color="auto"/>
              <w:left w:val="single" w:sz="4" w:space="0" w:color="FFFFFF" w:themeColor="background1"/>
              <w:bottom w:val="single" w:sz="8" w:space="0" w:color="auto"/>
              <w:right w:val="single" w:sz="4" w:space="0" w:color="FFFFFF" w:themeColor="background1"/>
            </w:tcBorders>
          </w:tcPr>
          <w:p w14:paraId="39E0C2A3" w14:textId="77777777" w:rsidR="00260758" w:rsidRPr="00D444DB" w:rsidRDefault="00260758" w:rsidP="00B27E25">
            <w:pPr>
              <w:spacing w:before="0" w:after="0"/>
              <w:jc w:val="left"/>
              <w:rPr>
                <w:rFonts w:eastAsia="Times New Roman" w:cs="Times New Roman"/>
                <w:bCs/>
                <w:szCs w:val="22"/>
                <w:lang w:val="en-GB"/>
              </w:rPr>
            </w:pPr>
            <w:r w:rsidRPr="00D444DB">
              <w:rPr>
                <w:rFonts w:eastAsia="Times New Roman" w:cs="Times New Roman"/>
                <w:bCs/>
                <w:szCs w:val="22"/>
                <w:lang w:val="en-GB"/>
              </w:rPr>
              <w:t>Inter-trial interval (seconds)</w:t>
            </w:r>
          </w:p>
        </w:tc>
        <w:tc>
          <w:tcPr>
            <w:tcW w:w="1215" w:type="dxa"/>
            <w:tcBorders>
              <w:top w:val="single" w:sz="12" w:space="0" w:color="auto"/>
              <w:left w:val="single" w:sz="4" w:space="0" w:color="FFFFFF" w:themeColor="background1"/>
              <w:bottom w:val="single" w:sz="8" w:space="0" w:color="auto"/>
              <w:right w:val="single" w:sz="4" w:space="0" w:color="FFFFFF" w:themeColor="background1"/>
            </w:tcBorders>
          </w:tcPr>
          <w:p w14:paraId="7E97AF4B" w14:textId="77777777" w:rsidR="00260758" w:rsidRPr="00D444DB" w:rsidRDefault="00260758" w:rsidP="00B27E25">
            <w:pPr>
              <w:spacing w:before="0" w:after="0"/>
              <w:jc w:val="left"/>
              <w:rPr>
                <w:rFonts w:eastAsia="Times New Roman" w:cs="Times New Roman"/>
                <w:bCs/>
                <w:szCs w:val="22"/>
                <w:lang w:val="en-GB"/>
              </w:rPr>
            </w:pPr>
            <w:r w:rsidRPr="00D444DB">
              <w:rPr>
                <w:rFonts w:eastAsia="Times New Roman" w:cs="Times New Roman"/>
                <w:bCs/>
                <w:szCs w:val="22"/>
                <w:lang w:val="en-GB"/>
              </w:rPr>
              <w:t>Limited hold (seconds)</w:t>
            </w:r>
          </w:p>
        </w:tc>
        <w:tc>
          <w:tcPr>
            <w:tcW w:w="4120" w:type="dxa"/>
            <w:tcBorders>
              <w:top w:val="single" w:sz="12" w:space="0" w:color="auto"/>
              <w:left w:val="single" w:sz="4" w:space="0" w:color="FFFFFF" w:themeColor="background1"/>
              <w:bottom w:val="single" w:sz="8" w:space="0" w:color="auto"/>
              <w:right w:val="single" w:sz="4" w:space="0" w:color="FFFFFF" w:themeColor="background1"/>
            </w:tcBorders>
          </w:tcPr>
          <w:p w14:paraId="1C2CC669" w14:textId="67F82C2D" w:rsidR="00260758" w:rsidRPr="00D444DB" w:rsidRDefault="00260758" w:rsidP="00B27E25">
            <w:pPr>
              <w:spacing w:before="0" w:after="0"/>
              <w:jc w:val="left"/>
              <w:rPr>
                <w:rFonts w:eastAsia="Times New Roman" w:cs="Times New Roman"/>
                <w:bCs/>
                <w:szCs w:val="22"/>
                <w:lang w:val="en-GB"/>
              </w:rPr>
            </w:pPr>
            <w:r w:rsidRPr="00D444DB">
              <w:rPr>
                <w:rFonts w:eastAsia="Times New Roman" w:cs="Times New Roman"/>
                <w:bCs/>
                <w:szCs w:val="22"/>
                <w:lang w:val="en-GB"/>
              </w:rPr>
              <w:t xml:space="preserve">Progression </w:t>
            </w:r>
            <w:r w:rsidR="00D772F2">
              <w:rPr>
                <w:rFonts w:eastAsia="Times New Roman" w:cs="Times New Roman"/>
                <w:bCs/>
                <w:szCs w:val="22"/>
                <w:lang w:val="en-GB"/>
              </w:rPr>
              <w:t>c</w:t>
            </w:r>
            <w:r w:rsidRPr="00D444DB">
              <w:rPr>
                <w:rFonts w:eastAsia="Times New Roman" w:cs="Times New Roman"/>
                <w:bCs/>
                <w:szCs w:val="22"/>
                <w:lang w:val="en-GB"/>
              </w:rPr>
              <w:t>riteria</w:t>
            </w:r>
          </w:p>
        </w:tc>
      </w:tr>
      <w:tr w:rsidR="00260758" w:rsidRPr="00D444DB" w14:paraId="5351004C" w14:textId="77777777" w:rsidTr="00260758">
        <w:trPr>
          <w:trHeight w:val="429"/>
        </w:trPr>
        <w:tc>
          <w:tcPr>
            <w:tcW w:w="1270" w:type="dxa"/>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16DD90B1"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Habituation</w:t>
            </w:r>
          </w:p>
        </w:tc>
        <w:tc>
          <w:tcPr>
            <w:tcW w:w="1135" w:type="dxa"/>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4D049491"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w:t>
            </w:r>
          </w:p>
        </w:tc>
        <w:tc>
          <w:tcPr>
            <w:tcW w:w="1276" w:type="dxa"/>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43C45658"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w:t>
            </w:r>
          </w:p>
        </w:tc>
        <w:tc>
          <w:tcPr>
            <w:tcW w:w="1215" w:type="dxa"/>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5E31356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w:t>
            </w:r>
          </w:p>
        </w:tc>
        <w:tc>
          <w:tcPr>
            <w:tcW w:w="4120" w:type="dxa"/>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20D981B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Pellets consumed from each nose-poke aperture (2) and magazine (5) within 20 minutes</w:t>
            </w:r>
          </w:p>
        </w:tc>
      </w:tr>
      <w:tr w:rsidR="00260758" w:rsidRPr="00D444DB" w14:paraId="5E51C357" w14:textId="77777777" w:rsidTr="00B27E25">
        <w:trPr>
          <w:trHeight w:val="402"/>
        </w:trPr>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548C3"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542EC"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30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528A9"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5957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30</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3C74E"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30 correct trials</w:t>
            </w:r>
          </w:p>
        </w:tc>
      </w:tr>
      <w:tr w:rsidR="00260758" w:rsidRPr="00D444DB" w14:paraId="4C8CC150"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FCFCE"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3B43B"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5FD39"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509E"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20</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1A03A"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30 correct trials</w:t>
            </w:r>
          </w:p>
        </w:tc>
      </w:tr>
      <w:tr w:rsidR="00260758" w:rsidRPr="00D444DB" w14:paraId="28B6772F"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E0F7A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89702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F46C7"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6B2141"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10</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76FBC"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50 correct trials</w:t>
            </w:r>
          </w:p>
        </w:tc>
      </w:tr>
      <w:tr w:rsidR="00260758" w:rsidRPr="00D444DB" w14:paraId="43B6D72E"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7118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383E82"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2F2BE"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743FC"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7CFAC" w14:textId="77777777" w:rsidR="00260758"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50 correct trials</w:t>
            </w:r>
            <w:r>
              <w:rPr>
                <w:rFonts w:eastAsia="Times New Roman" w:cs="Times New Roman"/>
                <w:bCs/>
                <w:szCs w:val="22"/>
                <w:lang w:val="en-GB"/>
              </w:rPr>
              <w:t>,</w:t>
            </w:r>
            <w:r w:rsidRPr="00D444DB">
              <w:rPr>
                <w:rFonts w:eastAsia="Times New Roman" w:cs="Times New Roman"/>
                <w:bCs/>
                <w:szCs w:val="22"/>
                <w:lang w:val="en-GB"/>
              </w:rPr>
              <w:t xml:space="preserve"> 75% accuracy</w:t>
            </w:r>
            <w:r>
              <w:rPr>
                <w:rFonts w:eastAsia="Times New Roman" w:cs="Times New Roman"/>
                <w:bCs/>
                <w:szCs w:val="22"/>
                <w:lang w:val="en-GB"/>
              </w:rPr>
              <w:t xml:space="preserve"> and</w:t>
            </w:r>
          </w:p>
          <w:p w14:paraId="5356CB01" w14:textId="77777777" w:rsidR="00260758" w:rsidRPr="00D444DB" w:rsidRDefault="00260758" w:rsidP="00B27E25">
            <w:pPr>
              <w:spacing w:before="0" w:after="0"/>
              <w:jc w:val="left"/>
              <w:rPr>
                <w:rFonts w:eastAsia="Times New Roman" w:cs="Times New Roman"/>
                <w:b/>
                <w:bCs/>
                <w:szCs w:val="22"/>
                <w:lang w:val="en-GB"/>
              </w:rPr>
            </w:pPr>
            <w:r>
              <w:rPr>
                <w:rFonts w:eastAsia="Times New Roman" w:cs="Times New Roman"/>
                <w:bCs/>
                <w:szCs w:val="22"/>
                <w:lang w:val="en-GB"/>
              </w:rPr>
              <w:t>&lt; 20% omissions</w:t>
            </w:r>
          </w:p>
        </w:tc>
      </w:tr>
      <w:tr w:rsidR="00260758" w:rsidRPr="00D444DB" w14:paraId="6E83034D"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9D62D"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A6DB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2.5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FD881"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18A3B"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0CA34"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50 correct trials</w:t>
            </w:r>
            <w:r>
              <w:rPr>
                <w:rFonts w:eastAsia="Times New Roman" w:cs="Times New Roman"/>
                <w:bCs/>
                <w:szCs w:val="22"/>
                <w:lang w:val="en-GB"/>
              </w:rPr>
              <w:t xml:space="preserve">, </w:t>
            </w:r>
            <w:r w:rsidRPr="00D444DB">
              <w:rPr>
                <w:rFonts w:eastAsia="Times New Roman" w:cs="Times New Roman"/>
                <w:bCs/>
                <w:szCs w:val="22"/>
                <w:lang w:val="en-GB"/>
              </w:rPr>
              <w:t>75% accuracy</w:t>
            </w:r>
            <w:r>
              <w:rPr>
                <w:rFonts w:eastAsia="Times New Roman" w:cs="Times New Roman"/>
                <w:bCs/>
                <w:szCs w:val="22"/>
                <w:lang w:val="en-GB"/>
              </w:rPr>
              <w:t xml:space="preserve"> and</w:t>
            </w:r>
          </w:p>
          <w:p w14:paraId="63FA25C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&lt; 20% omissions</w:t>
            </w:r>
          </w:p>
          <w:p w14:paraId="0E871025"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&lt; 20% omissions</w:t>
            </w:r>
          </w:p>
        </w:tc>
      </w:tr>
      <w:tr w:rsidR="00260758" w:rsidRPr="00D444DB" w14:paraId="62960BDB"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229317"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6</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1A568"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1.25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E36EA2"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80D4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12644"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50 correct trials and 75% accuracy</w:t>
            </w:r>
          </w:p>
          <w:p w14:paraId="77E5EC9F"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&lt; 20% omissions</w:t>
            </w:r>
          </w:p>
          <w:p w14:paraId="4AB37B82"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lastRenderedPageBreak/>
              <w:t>&lt; 20% omissions</w:t>
            </w:r>
          </w:p>
        </w:tc>
      </w:tr>
      <w:tr w:rsidR="00260758" w:rsidRPr="00D444DB" w14:paraId="69A46BB1" w14:textId="77777777" w:rsidTr="00B27E25">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1C46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lastRenderedPageBreak/>
              <w:t>7</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84FDA"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C2D04"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67F5F4"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36316"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 50 correct trials and 75% accuracy</w:t>
            </w:r>
          </w:p>
          <w:p w14:paraId="590D2DD7"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&lt; 20% omissions</w:t>
            </w:r>
            <w:r>
              <w:rPr>
                <w:rFonts w:eastAsia="Times New Roman" w:cs="Times New Roman"/>
                <w:bCs/>
                <w:szCs w:val="22"/>
                <w:lang w:val="en-GB"/>
              </w:rPr>
              <w:t xml:space="preserve"> or a maximum of 12 days</w:t>
            </w:r>
          </w:p>
        </w:tc>
      </w:tr>
      <w:tr w:rsidR="00260758" w:rsidRPr="00D444DB" w14:paraId="26DF4F14" w14:textId="77777777" w:rsidTr="00B27E25">
        <w:tc>
          <w:tcPr>
            <w:tcW w:w="1270"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tcPr>
          <w:p w14:paraId="63C4564A"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MSD</w:t>
            </w:r>
          </w:p>
        </w:tc>
        <w:tc>
          <w:tcPr>
            <w:tcW w:w="113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tcPr>
          <w:p w14:paraId="7E2F51C9"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0.25, 0.5, 1, 1.25, 2.5</w:t>
            </w:r>
          </w:p>
        </w:tc>
        <w:tc>
          <w:tcPr>
            <w:tcW w:w="1276"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tcPr>
          <w:p w14:paraId="7861845A"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121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tcPr>
          <w:p w14:paraId="501F661B"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tcPr>
          <w:p w14:paraId="5F9D0BEC" w14:textId="42C8F8CF" w:rsidR="00260758" w:rsidRPr="00D444DB" w:rsidRDefault="002C45CF" w:rsidP="002C45CF">
            <w:pPr>
              <w:spacing w:before="0" w:after="0" w:line="259" w:lineRule="auto"/>
              <w:contextualSpacing/>
              <w:jc w:val="left"/>
              <w:rPr>
                <w:rFonts w:eastAsia="Times New Roman" w:cs="Times New Roman"/>
                <w:b/>
                <w:bCs/>
                <w:szCs w:val="22"/>
                <w:lang w:val="en-GB"/>
              </w:rPr>
            </w:pPr>
            <w:r>
              <w:rPr>
                <w:rFonts w:eastAsia="Times New Roman" w:cs="Times New Roman"/>
                <w:bCs/>
                <w:szCs w:val="22"/>
                <w:lang w:val="en-GB"/>
              </w:rPr>
              <w:t>One session</w:t>
            </w:r>
          </w:p>
        </w:tc>
      </w:tr>
      <w:tr w:rsidR="00260758" w:rsidRPr="00D444DB" w14:paraId="09D73F1D" w14:textId="77777777" w:rsidTr="00260758">
        <w:tc>
          <w:tcPr>
            <w:tcW w:w="1270" w:type="dxa"/>
            <w:tcBorders>
              <w:top w:val="single" w:sz="12" w:space="0" w:color="FFFFFF" w:themeColor="background1"/>
              <w:left w:val="single" w:sz="4" w:space="0" w:color="FFFFFF" w:themeColor="background1"/>
              <w:bottom w:val="single" w:sz="12" w:space="0" w:color="auto"/>
              <w:right w:val="single" w:sz="4" w:space="0" w:color="FFFFFF" w:themeColor="background1"/>
            </w:tcBorders>
          </w:tcPr>
          <w:p w14:paraId="5FE96CC8"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MITI</w:t>
            </w:r>
          </w:p>
        </w:tc>
        <w:tc>
          <w:tcPr>
            <w:tcW w:w="1135" w:type="dxa"/>
            <w:tcBorders>
              <w:top w:val="single" w:sz="12" w:space="0" w:color="FFFFFF" w:themeColor="background1"/>
              <w:left w:val="single" w:sz="4" w:space="0" w:color="FFFFFF" w:themeColor="background1"/>
              <w:bottom w:val="single" w:sz="12" w:space="0" w:color="auto"/>
              <w:right w:val="single" w:sz="4" w:space="0" w:color="FFFFFF" w:themeColor="background1"/>
            </w:tcBorders>
          </w:tcPr>
          <w:p w14:paraId="18FF2F8B"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w:t>
            </w:r>
          </w:p>
        </w:tc>
        <w:tc>
          <w:tcPr>
            <w:tcW w:w="1276" w:type="dxa"/>
            <w:tcBorders>
              <w:top w:val="single" w:sz="12" w:space="0" w:color="FFFFFF" w:themeColor="background1"/>
              <w:left w:val="single" w:sz="4" w:space="0" w:color="FFFFFF" w:themeColor="background1"/>
              <w:bottom w:val="single" w:sz="12" w:space="0" w:color="auto"/>
              <w:right w:val="single" w:sz="4" w:space="0" w:color="FFFFFF" w:themeColor="background1"/>
            </w:tcBorders>
          </w:tcPr>
          <w:p w14:paraId="10CF96C7"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1, 3, 5, 7</w:t>
            </w:r>
          </w:p>
        </w:tc>
        <w:tc>
          <w:tcPr>
            <w:tcW w:w="1215" w:type="dxa"/>
            <w:tcBorders>
              <w:top w:val="single" w:sz="12" w:space="0" w:color="FFFFFF" w:themeColor="background1"/>
              <w:left w:val="single" w:sz="4" w:space="0" w:color="FFFFFF" w:themeColor="background1"/>
              <w:bottom w:val="single" w:sz="12" w:space="0" w:color="auto"/>
              <w:right w:val="single" w:sz="4" w:space="0" w:color="FFFFFF" w:themeColor="background1"/>
            </w:tcBorders>
          </w:tcPr>
          <w:p w14:paraId="06D81B60" w14:textId="77777777" w:rsidR="00260758" w:rsidRPr="00D444DB" w:rsidRDefault="00260758" w:rsidP="00B27E25">
            <w:pPr>
              <w:spacing w:before="0" w:after="0"/>
              <w:jc w:val="left"/>
              <w:rPr>
                <w:rFonts w:eastAsia="Times New Roman" w:cs="Times New Roman"/>
                <w:b/>
                <w:bCs/>
                <w:szCs w:val="22"/>
                <w:lang w:val="en-GB"/>
              </w:rPr>
            </w:pPr>
            <w:r w:rsidRPr="00D444DB">
              <w:rPr>
                <w:rFonts w:eastAsia="Times New Roman" w:cs="Times New Roman"/>
                <w:bCs/>
                <w:szCs w:val="22"/>
                <w:lang w:val="en-GB"/>
              </w:rPr>
              <w:t>5</w:t>
            </w:r>
          </w:p>
        </w:tc>
        <w:tc>
          <w:tcPr>
            <w:tcW w:w="4120" w:type="dxa"/>
            <w:tcBorders>
              <w:top w:val="single" w:sz="12" w:space="0" w:color="FFFFFF" w:themeColor="background1"/>
              <w:left w:val="single" w:sz="4" w:space="0" w:color="FFFFFF" w:themeColor="background1"/>
              <w:bottom w:val="single" w:sz="12" w:space="0" w:color="auto"/>
              <w:right w:val="single" w:sz="4" w:space="0" w:color="FFFFFF" w:themeColor="background1"/>
            </w:tcBorders>
          </w:tcPr>
          <w:p w14:paraId="2B9EE581" w14:textId="7E104D5E" w:rsidR="00260758" w:rsidRPr="00D444DB" w:rsidRDefault="002C45CF" w:rsidP="002C45CF">
            <w:pPr>
              <w:spacing w:before="0" w:after="0" w:line="259" w:lineRule="auto"/>
              <w:contextualSpacing/>
              <w:jc w:val="left"/>
              <w:rPr>
                <w:rFonts w:eastAsia="Times New Roman" w:cs="Times New Roman"/>
                <w:b/>
                <w:bCs/>
                <w:szCs w:val="22"/>
                <w:lang w:val="en-GB"/>
              </w:rPr>
            </w:pPr>
            <w:r>
              <w:rPr>
                <w:rFonts w:eastAsia="Times New Roman" w:cs="Times New Roman"/>
                <w:bCs/>
                <w:szCs w:val="22"/>
                <w:lang w:val="en-GB"/>
              </w:rPr>
              <w:t>One session</w:t>
            </w:r>
          </w:p>
        </w:tc>
      </w:tr>
    </w:tbl>
    <w:p w14:paraId="68B22F15" w14:textId="77777777" w:rsidR="009A3455" w:rsidRDefault="009A3455" w:rsidP="00260758">
      <w:pPr>
        <w:spacing w:before="0" w:after="0"/>
        <w:jc w:val="both"/>
        <w:rPr>
          <w:b/>
          <w:bCs/>
          <w:i/>
          <w:iCs/>
        </w:rPr>
      </w:pPr>
    </w:p>
    <w:p w14:paraId="71785E8C" w14:textId="77777777" w:rsidR="002C0B54" w:rsidRDefault="002C0B54" w:rsidP="002C0B54">
      <w:pPr>
        <w:spacing w:before="0" w:after="0"/>
        <w:jc w:val="both"/>
        <w:rPr>
          <w:rFonts w:cs="Times New Roman"/>
          <w:i/>
          <w:iCs/>
        </w:rPr>
      </w:pPr>
    </w:p>
    <w:p w14:paraId="3A4F571E" w14:textId="7860C895" w:rsidR="002C6D41" w:rsidRPr="00725A44" w:rsidRDefault="002C6D41" w:rsidP="00432743">
      <w:pPr>
        <w:spacing w:before="0" w:after="0"/>
        <w:jc w:val="both"/>
        <w:rPr>
          <w:rFonts w:cs="Times New Roman"/>
          <w:b/>
          <w:i/>
          <w:iCs/>
        </w:rPr>
      </w:pPr>
      <w:r>
        <w:rPr>
          <w:rFonts w:cs="Times New Roman"/>
          <w:i/>
          <w:iCs/>
        </w:rPr>
        <w:t xml:space="preserve">Supplementary </w:t>
      </w:r>
      <w:r w:rsidR="007C2772">
        <w:rPr>
          <w:rFonts w:cs="Times New Roman"/>
          <w:i/>
          <w:iCs/>
        </w:rPr>
        <w:t xml:space="preserve">Methods </w:t>
      </w:r>
      <w:r w:rsidR="00C55F60">
        <w:rPr>
          <w:rFonts w:cs="Times New Roman"/>
          <w:i/>
          <w:iCs/>
        </w:rPr>
        <w:t>i</w:t>
      </w:r>
      <w:r w:rsidR="007C703B">
        <w:rPr>
          <w:rFonts w:cs="Times New Roman"/>
          <w:i/>
          <w:iCs/>
        </w:rPr>
        <w:t>v</w:t>
      </w:r>
      <w:r>
        <w:rPr>
          <w:rFonts w:cs="Times New Roman"/>
          <w:i/>
          <w:iCs/>
        </w:rPr>
        <w:t xml:space="preserve">: </w:t>
      </w:r>
      <w:r w:rsidRPr="00725A44">
        <w:rPr>
          <w:rFonts w:cs="Times New Roman"/>
          <w:i/>
          <w:iCs/>
        </w:rPr>
        <w:t xml:space="preserve">Tissue </w:t>
      </w:r>
      <w:r w:rsidR="008E2C23">
        <w:rPr>
          <w:rFonts w:cs="Times New Roman"/>
          <w:i/>
          <w:iCs/>
        </w:rPr>
        <w:t>P</w:t>
      </w:r>
      <w:r w:rsidRPr="00725A44">
        <w:rPr>
          <w:rFonts w:cs="Times New Roman"/>
          <w:i/>
          <w:iCs/>
        </w:rPr>
        <w:t xml:space="preserve">rocessing and </w:t>
      </w:r>
      <w:r w:rsidR="008E2C23">
        <w:rPr>
          <w:rFonts w:cs="Times New Roman"/>
          <w:i/>
          <w:iCs/>
        </w:rPr>
        <w:t>I</w:t>
      </w:r>
      <w:r w:rsidRPr="00725A44">
        <w:rPr>
          <w:rFonts w:cs="Times New Roman"/>
          <w:i/>
          <w:iCs/>
        </w:rPr>
        <w:t>mmunofluorescence (P21)</w:t>
      </w:r>
    </w:p>
    <w:p w14:paraId="21D2113B" w14:textId="7148D1FF" w:rsidR="00076D55" w:rsidRDefault="00322279" w:rsidP="00432743">
      <w:pPr>
        <w:spacing w:before="0" w:after="0"/>
        <w:ind w:firstLine="720"/>
        <w:jc w:val="both"/>
        <w:rPr>
          <w:rFonts w:cs="Times New Roman"/>
          <w:b/>
        </w:rPr>
      </w:pPr>
      <w:r>
        <w:rPr>
          <w:rFonts w:cs="Times New Roman"/>
        </w:rPr>
        <w:t xml:space="preserve">Following </w:t>
      </w:r>
      <w:proofErr w:type="spellStart"/>
      <w:r>
        <w:rPr>
          <w:rFonts w:cs="Times New Roman"/>
        </w:rPr>
        <w:t>transcardial</w:t>
      </w:r>
      <w:proofErr w:type="spellEnd"/>
      <w:r>
        <w:rPr>
          <w:rFonts w:cs="Times New Roman"/>
        </w:rPr>
        <w:t xml:space="preserve"> perfusion with 4% paraformaldehyde, brains were post-fixed </w:t>
      </w:r>
      <w:r w:rsidR="006A48D9">
        <w:rPr>
          <w:rFonts w:cs="Times New Roman"/>
        </w:rPr>
        <w:t xml:space="preserve">for 24 hours, transferred to </w:t>
      </w:r>
      <w:r w:rsidR="00812F69">
        <w:rPr>
          <w:rFonts w:cs="Times New Roman"/>
        </w:rPr>
        <w:t xml:space="preserve">70% </w:t>
      </w:r>
      <w:r w:rsidR="006A48D9">
        <w:rPr>
          <w:rFonts w:cs="Times New Roman"/>
        </w:rPr>
        <w:t>ethanol and paraffin-embedded</w:t>
      </w:r>
      <w:r w:rsidR="00812F69">
        <w:rPr>
          <w:rFonts w:cs="Times New Roman"/>
        </w:rPr>
        <w:t xml:space="preserve"> (Biospecimen Preparation </w:t>
      </w:r>
      <w:r w:rsidR="002E4671">
        <w:rPr>
          <w:rFonts w:cs="Times New Roman"/>
        </w:rPr>
        <w:t>Laboratory</w:t>
      </w:r>
      <w:r w:rsidR="00812F69">
        <w:rPr>
          <w:rFonts w:cs="Times New Roman"/>
        </w:rPr>
        <w:t>, UNSW)</w:t>
      </w:r>
      <w:r w:rsidR="006A48D9">
        <w:rPr>
          <w:rFonts w:cs="Times New Roman"/>
        </w:rPr>
        <w:t xml:space="preserve">. </w:t>
      </w:r>
      <w:r w:rsidR="002C0B54">
        <w:rPr>
          <w:rFonts w:cs="Times New Roman"/>
        </w:rPr>
        <w:t>M</w:t>
      </w:r>
      <w:r w:rsidR="00855491">
        <w:rPr>
          <w:rFonts w:cs="Times New Roman"/>
        </w:rPr>
        <w:t>ounted s</w:t>
      </w:r>
      <w:r w:rsidR="00076D55" w:rsidRPr="00725A44">
        <w:rPr>
          <w:rFonts w:cs="Times New Roman"/>
        </w:rPr>
        <w:t xml:space="preserve">ections were de-paraffinized in </w:t>
      </w:r>
      <w:proofErr w:type="spellStart"/>
      <w:r w:rsidR="00076D55" w:rsidRPr="00725A44">
        <w:rPr>
          <w:rFonts w:cs="Times New Roman"/>
        </w:rPr>
        <w:t>Histochoice</w:t>
      </w:r>
      <w:proofErr w:type="spellEnd"/>
      <w:r w:rsidR="00076D55" w:rsidRPr="00725A44">
        <w:rPr>
          <w:rFonts w:cs="Times New Roman"/>
        </w:rPr>
        <w:t xml:space="preserve"> Clearing Agent (Merck, Macquarie Park, CAS# H2779)</w:t>
      </w:r>
      <w:r w:rsidR="005A6A95">
        <w:rPr>
          <w:rFonts w:cs="Times New Roman"/>
        </w:rPr>
        <w:t xml:space="preserve"> </w:t>
      </w:r>
      <w:r w:rsidR="00076D55" w:rsidRPr="00725A44">
        <w:rPr>
          <w:rFonts w:cs="Times New Roman"/>
        </w:rPr>
        <w:t>and rehydrated with graded ethanol baths for 10 minutes (100%, 95% 70%, 50%, deionized water). Sections then underwent antigen retrieval</w:t>
      </w:r>
      <w:r w:rsidR="008F2AE9">
        <w:rPr>
          <w:rFonts w:cs="Times New Roman"/>
        </w:rPr>
        <w:t xml:space="preserve"> through</w:t>
      </w:r>
      <w:r w:rsidR="008F2AE9" w:rsidRPr="00725A44">
        <w:rPr>
          <w:rFonts w:cs="Times New Roman"/>
        </w:rPr>
        <w:t xml:space="preserve"> </w:t>
      </w:r>
      <w:r w:rsidR="00076D55" w:rsidRPr="00725A44">
        <w:rPr>
          <w:rFonts w:cs="Times New Roman"/>
        </w:rPr>
        <w:t>immers</w:t>
      </w:r>
      <w:r w:rsidR="008F2AE9">
        <w:rPr>
          <w:rFonts w:cs="Times New Roman"/>
        </w:rPr>
        <w:t>ion</w:t>
      </w:r>
      <w:r w:rsidR="00076D55" w:rsidRPr="00725A44">
        <w:rPr>
          <w:rFonts w:cs="Times New Roman"/>
        </w:rPr>
        <w:t xml:space="preserve"> in </w:t>
      </w:r>
      <w:proofErr w:type="gramStart"/>
      <w:r w:rsidR="008F2AE9">
        <w:rPr>
          <w:rFonts w:cs="Times New Roman"/>
        </w:rPr>
        <w:t>T</w:t>
      </w:r>
      <w:r w:rsidR="00076D55" w:rsidRPr="00725A44">
        <w:rPr>
          <w:rFonts w:cs="Times New Roman"/>
        </w:rPr>
        <w:t>ris</w:t>
      </w:r>
      <w:proofErr w:type="gramEnd"/>
      <w:r w:rsidR="00076D55" w:rsidRPr="00725A44">
        <w:rPr>
          <w:rFonts w:cs="Times New Roman"/>
        </w:rPr>
        <w:t xml:space="preserve"> buffer (pH 9; Promega, Alexandria, CAS# V6232) </w:t>
      </w:r>
      <w:r w:rsidR="0043006C">
        <w:rPr>
          <w:rFonts w:cs="Times New Roman"/>
        </w:rPr>
        <w:t xml:space="preserve">while heated </w:t>
      </w:r>
      <w:r w:rsidR="00076D55" w:rsidRPr="00725A44">
        <w:rPr>
          <w:rFonts w:cs="Times New Roman"/>
        </w:rPr>
        <w:t>for 3 minutes in a microwave. Following three, 5-minute washes in PBS, sections were pre-incubated in 10% normal donkey serum (NDS) for 1-hour, followed by overnight incubation with a primary antibody in 2% NDS solution.</w:t>
      </w:r>
      <w:r w:rsidR="00076D55" w:rsidRPr="00725A44">
        <w:rPr>
          <w:rFonts w:cs="Times New Roman"/>
          <w:color w:val="FF0000"/>
        </w:rPr>
        <w:t xml:space="preserve"> </w:t>
      </w:r>
      <w:r w:rsidR="00076D55" w:rsidRPr="00725A44">
        <w:rPr>
          <w:rFonts w:cs="Times New Roman"/>
        </w:rPr>
        <w:t xml:space="preserve">The primary anti-bodies rabbit </w:t>
      </w:r>
      <w:r w:rsidR="00076D55" w:rsidRPr="00725A44">
        <w:rPr>
          <w:rFonts w:cs="Times New Roman"/>
          <w:bCs/>
        </w:rPr>
        <w:t>polyclonal</w:t>
      </w:r>
      <w:r w:rsidR="00076D55" w:rsidRPr="00725A44">
        <w:rPr>
          <w:rFonts w:cs="Times New Roman"/>
        </w:rPr>
        <w:t xml:space="preserve"> anti-</w:t>
      </w:r>
      <w:proofErr w:type="spellStart"/>
      <w:r w:rsidR="001E1074" w:rsidRPr="001E1074">
        <w:rPr>
          <w:rFonts w:cs="Times New Roman"/>
        </w:rPr>
        <w:t>onized</w:t>
      </w:r>
      <w:proofErr w:type="spellEnd"/>
      <w:r w:rsidR="001E1074" w:rsidRPr="001E1074">
        <w:rPr>
          <w:rFonts w:cs="Times New Roman"/>
        </w:rPr>
        <w:t xml:space="preserve"> calcium binding adaptor molecule 1 </w:t>
      </w:r>
      <w:r w:rsidR="001E1074">
        <w:rPr>
          <w:rFonts w:cs="Times New Roman"/>
        </w:rPr>
        <w:t>(I</w:t>
      </w:r>
      <w:r w:rsidR="00076D55" w:rsidRPr="00725A44">
        <w:rPr>
          <w:rFonts w:cs="Times New Roman"/>
        </w:rPr>
        <w:t>ba1</w:t>
      </w:r>
      <w:r w:rsidR="001E1074">
        <w:rPr>
          <w:rFonts w:cs="Times New Roman"/>
        </w:rPr>
        <w:t>)</w:t>
      </w:r>
      <w:r w:rsidR="00076D55" w:rsidRPr="00725A44">
        <w:rPr>
          <w:rFonts w:cs="Times New Roman"/>
        </w:rPr>
        <w:t xml:space="preserve"> antibody (1:100,</w:t>
      </w:r>
      <w:r w:rsidR="00076D55" w:rsidRPr="00725A44">
        <w:rPr>
          <w:bCs/>
        </w:rPr>
        <w:t xml:space="preserve"> 109-19741</w:t>
      </w:r>
      <w:r w:rsidR="00076D55" w:rsidRPr="00725A44">
        <w:rPr>
          <w:rFonts w:cs="Times New Roman"/>
        </w:rPr>
        <w:t xml:space="preserve">, </w:t>
      </w:r>
      <w:proofErr w:type="spellStart"/>
      <w:r w:rsidR="00076D55" w:rsidRPr="00725A44">
        <w:rPr>
          <w:rFonts w:cs="Times New Roman"/>
        </w:rPr>
        <w:t>Novachem</w:t>
      </w:r>
      <w:proofErr w:type="spellEnd"/>
      <w:r w:rsidR="00076D55" w:rsidRPr="00725A44">
        <w:rPr>
          <w:rFonts w:cs="Times New Roman"/>
        </w:rPr>
        <w:t>, Victoria, Australia),</w:t>
      </w:r>
      <w:r w:rsidR="0043006C">
        <w:rPr>
          <w:rFonts w:cs="Times New Roman"/>
        </w:rPr>
        <w:t xml:space="preserve"> </w:t>
      </w:r>
      <w:r w:rsidR="00076D55" w:rsidRPr="00725A44">
        <w:rPr>
          <w:rFonts w:cs="Times New Roman"/>
        </w:rPr>
        <w:t>mouse monoclonal anti-</w:t>
      </w:r>
      <w:r w:rsidR="00E963F2" w:rsidRPr="00E963F2">
        <w:rPr>
          <w:rFonts w:cs="Times New Roman"/>
        </w:rPr>
        <w:t>glial fibrillary acidic protein</w:t>
      </w:r>
      <w:r w:rsidR="004C0FFD">
        <w:rPr>
          <w:rFonts w:cs="Times New Roman"/>
        </w:rPr>
        <w:t xml:space="preserve"> (</w:t>
      </w:r>
      <w:r w:rsidR="00076D55" w:rsidRPr="00725A44">
        <w:rPr>
          <w:rFonts w:cs="Times New Roman"/>
        </w:rPr>
        <w:t>GFAP</w:t>
      </w:r>
      <w:r w:rsidR="004C0FFD">
        <w:rPr>
          <w:rFonts w:cs="Times New Roman"/>
        </w:rPr>
        <w:t>)</w:t>
      </w:r>
      <w:r w:rsidR="00076D55" w:rsidRPr="00725A44">
        <w:rPr>
          <w:rFonts w:cs="Times New Roman"/>
        </w:rPr>
        <w:t xml:space="preserve"> antibody (1:200; MAB360; </w:t>
      </w:r>
      <w:bookmarkStart w:id="1" w:name="_Hlk196903673"/>
      <w:r w:rsidR="00076D55" w:rsidRPr="00725A44">
        <w:rPr>
          <w:rFonts w:cs="Times New Roman"/>
        </w:rPr>
        <w:t>Merck Millipore</w:t>
      </w:r>
      <w:r w:rsidR="00842AB0">
        <w:rPr>
          <w:rFonts w:cs="Times New Roman"/>
        </w:rPr>
        <w:t xml:space="preserve">, </w:t>
      </w:r>
      <w:r w:rsidR="00842AB0" w:rsidRPr="00842AB0">
        <w:rPr>
          <w:rFonts w:cs="Times New Roman"/>
        </w:rPr>
        <w:t>Darmstadt, Germany</w:t>
      </w:r>
      <w:bookmarkEnd w:id="1"/>
      <w:r w:rsidR="00076D55" w:rsidRPr="00725A44">
        <w:rPr>
          <w:rFonts w:cs="Times New Roman"/>
        </w:rPr>
        <w:t>) and rabbit monoclonal anti-</w:t>
      </w:r>
      <w:r w:rsidR="004C0FFD">
        <w:rPr>
          <w:rFonts w:cs="Times New Roman"/>
        </w:rPr>
        <w:t>myelin binding protein (</w:t>
      </w:r>
      <w:r w:rsidR="00076D55" w:rsidRPr="00725A44">
        <w:rPr>
          <w:rFonts w:cs="Times New Roman"/>
        </w:rPr>
        <w:t>MBP</w:t>
      </w:r>
      <w:r w:rsidR="004C0FFD">
        <w:rPr>
          <w:rFonts w:cs="Times New Roman"/>
        </w:rPr>
        <w:t>)</w:t>
      </w:r>
      <w:r w:rsidR="00076D55" w:rsidRPr="00725A44">
        <w:rPr>
          <w:rFonts w:cs="Times New Roman"/>
        </w:rPr>
        <w:t xml:space="preserve"> antibody </w:t>
      </w:r>
      <w:r w:rsidR="00076D55">
        <w:rPr>
          <w:rFonts w:cs="Times New Roman"/>
        </w:rPr>
        <w:t>(</w:t>
      </w:r>
      <w:r w:rsidR="00076D55" w:rsidRPr="00725A44">
        <w:rPr>
          <w:rFonts w:cs="Times New Roman"/>
        </w:rPr>
        <w:t>1:500, M3821, Merck</w:t>
      </w:r>
      <w:r w:rsidR="00842AB0">
        <w:rPr>
          <w:rFonts w:cs="Times New Roman"/>
        </w:rPr>
        <w:t xml:space="preserve"> Millipore</w:t>
      </w:r>
      <w:r w:rsidR="00076D55" w:rsidRPr="00725A44">
        <w:rPr>
          <w:rFonts w:cs="Times New Roman"/>
        </w:rPr>
        <w:t xml:space="preserve">). The following day, sections </w:t>
      </w:r>
      <w:r w:rsidR="00893525">
        <w:rPr>
          <w:rFonts w:cs="Times New Roman"/>
        </w:rPr>
        <w:t xml:space="preserve">were washed 3x </w:t>
      </w:r>
      <w:r w:rsidR="00076D55" w:rsidRPr="00725A44">
        <w:rPr>
          <w:rFonts w:cs="Times New Roman"/>
        </w:rPr>
        <w:t xml:space="preserve">5-minute in PBS, and then incubated with a secondary antibody in PBS, (all dilutions 1:250; 488-conjugated donkey anti-mouse; cy3-conjugated donkey anti-rabbit; Thermo Fisher, MA, USA), for 30 minutes. After three 5-minute washes in PBS, sections were cover-slipped with DAPI </w:t>
      </w:r>
      <w:proofErr w:type="spellStart"/>
      <w:r w:rsidR="00076D55" w:rsidRPr="00725A44">
        <w:rPr>
          <w:rFonts w:cs="Times New Roman"/>
        </w:rPr>
        <w:t>fluoroshield</w:t>
      </w:r>
      <w:proofErr w:type="spellEnd"/>
      <w:r w:rsidR="00076D55" w:rsidRPr="00725A44">
        <w:rPr>
          <w:rFonts w:cs="Times New Roman"/>
        </w:rPr>
        <w:t xml:space="preserve"> mounting medium (F6057, Sigma-Aldrich) for nuclear staining. </w:t>
      </w:r>
    </w:p>
    <w:p w14:paraId="0D19D1F8" w14:textId="7C9E8EF8" w:rsidR="00AF2CF7" w:rsidRDefault="00FD7876" w:rsidP="00AC39C9">
      <w:pPr>
        <w:jc w:val="both"/>
        <w:rPr>
          <w:rFonts w:cs="Times New Roman"/>
          <w:b/>
          <w:noProof/>
        </w:rPr>
      </w:pPr>
      <w:r>
        <w:rPr>
          <w:rFonts w:cs="Times New Roman"/>
          <w:b/>
          <w:noProof/>
        </w:rPr>
        <w:lastRenderedPageBreak/>
        <w:drawing>
          <wp:inline distT="0" distB="0" distL="0" distR="0" wp14:anchorId="0A061385" wp14:editId="3FE307C9">
            <wp:extent cx="5725160" cy="182084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320"/>
                    <a:stretch/>
                  </pic:blipFill>
                  <pic:spPr bwMode="auto">
                    <a:xfrm>
                      <a:off x="0" y="0"/>
                      <a:ext cx="5725160" cy="1820849"/>
                    </a:xfrm>
                    <a:prstGeom prst="rect">
                      <a:avLst/>
                    </a:prstGeom>
                    <a:noFill/>
                    <a:ln>
                      <a:noFill/>
                    </a:ln>
                    <a:extLst>
                      <a:ext uri="{53640926-AAD7-44D8-BBD7-CCE9431645EC}">
                        <a14:shadowObscured xmlns:a14="http://schemas.microsoft.com/office/drawing/2010/main"/>
                      </a:ext>
                    </a:extLst>
                  </pic:spPr>
                </pic:pic>
              </a:graphicData>
            </a:graphic>
          </wp:inline>
        </w:drawing>
      </w:r>
    </w:p>
    <w:p w14:paraId="188783A5" w14:textId="2D0E2058" w:rsidR="00076D55" w:rsidRPr="00AF2CF7" w:rsidRDefault="002D1226" w:rsidP="00AC39C9">
      <w:pPr>
        <w:jc w:val="both"/>
        <w:rPr>
          <w:rFonts w:cs="Times New Roman"/>
          <w:b/>
        </w:rPr>
      </w:pPr>
      <w:r w:rsidRPr="00EF1754">
        <w:rPr>
          <w:rFonts w:cs="Times New Roman"/>
          <w:b/>
          <w:bCs/>
          <w:iCs/>
        </w:rPr>
        <w:t>Supplementary</w:t>
      </w:r>
      <w:r w:rsidR="00775446" w:rsidRPr="00EF1754">
        <w:rPr>
          <w:rFonts w:cs="Times New Roman"/>
          <w:b/>
          <w:bCs/>
          <w:iCs/>
        </w:rPr>
        <w:t xml:space="preserve"> Methods</w:t>
      </w:r>
      <w:r w:rsidRPr="00EF1754">
        <w:rPr>
          <w:rFonts w:cs="Times New Roman"/>
          <w:b/>
          <w:bCs/>
          <w:iCs/>
        </w:rPr>
        <w:t xml:space="preserve"> Figure </w:t>
      </w:r>
      <w:r w:rsidR="00C55F60" w:rsidRPr="00EF1754">
        <w:rPr>
          <w:rFonts w:cs="Times New Roman"/>
          <w:b/>
          <w:bCs/>
          <w:iCs/>
        </w:rPr>
        <w:t>ii</w:t>
      </w:r>
      <w:r w:rsidRPr="00EF1754">
        <w:rPr>
          <w:rFonts w:cs="Times New Roman"/>
          <w:b/>
          <w:bCs/>
          <w:iCs/>
        </w:rPr>
        <w:t>: Regions of interest for immunofluorescence</w:t>
      </w:r>
      <w:r>
        <w:rPr>
          <w:rFonts w:cs="Times New Roman"/>
          <w:iCs/>
        </w:rPr>
        <w:t xml:space="preserve">. </w:t>
      </w:r>
      <w:r w:rsidRPr="00EF1754">
        <w:rPr>
          <w:rFonts w:cs="Times New Roman"/>
          <w:b/>
          <w:bCs/>
          <w:iCs/>
        </w:rPr>
        <w:t>A</w:t>
      </w:r>
      <w:r w:rsidR="00546EB5">
        <w:rPr>
          <w:rFonts w:cs="Times New Roman"/>
          <w:iCs/>
        </w:rPr>
        <w:t xml:space="preserve"> </w:t>
      </w:r>
      <w:r w:rsidR="00C5743F">
        <w:rPr>
          <w:rFonts w:cs="Times New Roman"/>
          <w:bCs/>
          <w:iCs/>
        </w:rPr>
        <w:t>S</w:t>
      </w:r>
      <w:r w:rsidR="00546EB5">
        <w:rPr>
          <w:rFonts w:cs="Times New Roman"/>
          <w:bCs/>
          <w:iCs/>
        </w:rPr>
        <w:t>triatum</w:t>
      </w:r>
      <w:r w:rsidR="00C5743F">
        <w:rPr>
          <w:rFonts w:cs="Times New Roman"/>
          <w:bCs/>
          <w:iCs/>
        </w:rPr>
        <w:t xml:space="preserve"> including </w:t>
      </w:r>
      <w:r>
        <w:rPr>
          <w:rFonts w:cs="Times New Roman"/>
          <w:bCs/>
          <w:iCs/>
        </w:rPr>
        <w:t>1. anterior corpus callosum</w:t>
      </w:r>
      <w:r w:rsidR="00C5743F">
        <w:rPr>
          <w:rFonts w:cs="Times New Roman"/>
          <w:bCs/>
          <w:iCs/>
        </w:rPr>
        <w:t>,</w:t>
      </w:r>
      <w:r>
        <w:rPr>
          <w:rFonts w:cs="Times New Roman"/>
          <w:bCs/>
          <w:iCs/>
        </w:rPr>
        <w:t xml:space="preserve"> 2 dorsal lateral striatum and 3. dorsal medial striatum</w:t>
      </w:r>
      <w:r w:rsidR="00C5743F">
        <w:rPr>
          <w:rFonts w:cs="Times New Roman"/>
          <w:bCs/>
          <w:iCs/>
        </w:rPr>
        <w:t>.</w:t>
      </w:r>
      <w:r>
        <w:rPr>
          <w:rFonts w:cs="Times New Roman"/>
          <w:bCs/>
          <w:iCs/>
        </w:rPr>
        <w:t xml:space="preserve"> </w:t>
      </w:r>
      <w:r w:rsidRPr="00EF1754">
        <w:rPr>
          <w:rFonts w:cs="Times New Roman"/>
          <w:b/>
        </w:rPr>
        <w:t>B</w:t>
      </w:r>
      <w:r>
        <w:rPr>
          <w:rFonts w:cs="Times New Roman"/>
        </w:rPr>
        <w:t xml:space="preserve"> </w:t>
      </w:r>
      <w:r w:rsidR="00C5743F">
        <w:rPr>
          <w:rFonts w:cs="Times New Roman"/>
        </w:rPr>
        <w:t>D</w:t>
      </w:r>
      <w:r>
        <w:rPr>
          <w:rFonts w:cs="Times New Roman"/>
        </w:rPr>
        <w:t xml:space="preserve">orsal hippocampus </w:t>
      </w:r>
      <w:r w:rsidR="00C5743F">
        <w:rPr>
          <w:rFonts w:cs="Times New Roman"/>
        </w:rPr>
        <w:t xml:space="preserve">including </w:t>
      </w:r>
      <w:r>
        <w:rPr>
          <w:rFonts w:cs="Times New Roman"/>
        </w:rPr>
        <w:t>4. posterior corpus callosum</w:t>
      </w:r>
      <w:r w:rsidR="00C5743F">
        <w:rPr>
          <w:rFonts w:cs="Times New Roman"/>
        </w:rPr>
        <w:t>,</w:t>
      </w:r>
      <w:r>
        <w:rPr>
          <w:rFonts w:cs="Times New Roman"/>
        </w:rPr>
        <w:t xml:space="preserve"> </w:t>
      </w:r>
      <w:r>
        <w:rPr>
          <w:rFonts w:cs="Times New Roman"/>
          <w:bCs/>
          <w:iCs/>
        </w:rPr>
        <w:t>5. dentate gyrus</w:t>
      </w:r>
      <w:r w:rsidR="00C5743F">
        <w:rPr>
          <w:rFonts w:cs="Times New Roman"/>
          <w:bCs/>
          <w:iCs/>
        </w:rPr>
        <w:t xml:space="preserve">, </w:t>
      </w:r>
      <w:r>
        <w:rPr>
          <w:rFonts w:cs="Times New Roman"/>
          <w:bCs/>
          <w:iCs/>
        </w:rPr>
        <w:t>6. CA1 and 7. CA3</w:t>
      </w:r>
      <w:r w:rsidR="00C5743F">
        <w:rPr>
          <w:rFonts w:cs="Times New Roman"/>
          <w:bCs/>
          <w:iCs/>
        </w:rPr>
        <w:t xml:space="preserve"> of the hippocampus</w:t>
      </w:r>
      <w:r w:rsidR="00546EB5">
        <w:rPr>
          <w:rFonts w:cs="Times New Roman"/>
          <w:bCs/>
          <w:iCs/>
        </w:rPr>
        <w:t>.</w:t>
      </w:r>
      <w:r>
        <w:rPr>
          <w:rFonts w:cs="Times New Roman"/>
          <w:bCs/>
          <w:iCs/>
        </w:rPr>
        <w:t xml:space="preserve"> </w:t>
      </w:r>
      <w:r w:rsidR="00A9015D">
        <w:rPr>
          <w:rFonts w:cs="Times New Roman"/>
          <w:bCs/>
          <w:iCs/>
        </w:rPr>
        <w:t>Images are adapted from the Paxinos &amp; Watson Rat Brain Atlas</w:t>
      </w:r>
      <w:r w:rsidR="00EC5659">
        <w:rPr>
          <w:rFonts w:cs="Times New Roman"/>
          <w:bCs/>
          <w:iCs/>
        </w:rPr>
        <w:t xml:space="preserve"> </w:t>
      </w:r>
      <w:r w:rsidR="00A9015D">
        <w:rPr>
          <w:rFonts w:cs="Times New Roman"/>
          <w:b/>
          <w:bCs/>
          <w:iCs/>
        </w:rPr>
        <w:fldChar w:fldCharType="begin"/>
      </w:r>
      <w:r w:rsidR="001F4F4C">
        <w:rPr>
          <w:rFonts w:cs="Times New Roman"/>
          <w:b/>
          <w:bCs/>
          <w:iCs/>
        </w:rPr>
        <w:instrText xml:space="preserve"> ADDIN ZOTERO_ITEM CSL_CITATION {"citationID":"nev806Yt","properties":{"formattedCitation":"(5)","plainCitation":"(5)","noteIndex":0},"citationItems":[{"id":819,"uris":["http://zotero.org/users/9218094/items/MN6U4GYR"],"itemData":{"id":819,"type":"book","abstract":"This completely revised edition of The Rat Brain in Stereotaxic Coordinates, the second most cited book in science, represents a dramatic update from the previous edition. Based on a single rat brain, this edition features an entirely new coronal set of tissue cut in regular 120 micron intervals with accompanying photographs and drawings of coronal, horizontal and sagittal sections of this new set. The use of the single brain allows for greater consistency between sections, while advances in histochemistry techniques provides increased refinement in the definition of brain areas, making this the most accurate and detailed stereotaxic rat atlas produced to date. The atlas will also include a CD-ROM featuring all of the graphics and text. Every lab working with the rat as an experimental animal model will want to use this book as their atlas of choice. This book is also available in a softcover spiral binding at the same price. * Includes twice as many coronal sections, nissl plates, and sagittal plates as the previous edition * Uses a single rat brain allowing for better consistency and better delineations in the line drawings of structures * Provides improved stereotaxic coordinates at a higher level of detail * Accompanying CD-ROM features graphics and text* Now available as hardcover version and softcover version with a spiral binding at the same price.","ISBN":"978-0-12-547612-6","language":"en","note":"Google-Books-ID: Tp5QlAEACAAJ","number-of-pages":"456","publisher":"Elsevier","source":"Google Books","title":"The Rat Brain in Stereotaxic Coordinates","author":[{"family":"Paxinos","given":"George"},{"family":"Watson","given":"Charles"}],"issued":{"date-parts":[["2007"]]}}}],"schema":"https://github.com/citation-style-language/schema/raw/master/csl-citation.json"} </w:instrText>
      </w:r>
      <w:r w:rsidR="00A9015D">
        <w:rPr>
          <w:rFonts w:cs="Times New Roman"/>
          <w:b/>
          <w:bCs/>
          <w:iCs/>
        </w:rPr>
        <w:fldChar w:fldCharType="separate"/>
      </w:r>
      <w:r w:rsidR="00C07220" w:rsidRPr="00C07220">
        <w:rPr>
          <w:rFonts w:cs="Times New Roman"/>
        </w:rPr>
        <w:t>(5)</w:t>
      </w:r>
      <w:r w:rsidR="00A9015D">
        <w:rPr>
          <w:rFonts w:cs="Times New Roman"/>
          <w:b/>
          <w:bCs/>
          <w:iCs/>
        </w:rPr>
        <w:fldChar w:fldCharType="end"/>
      </w:r>
      <w:r w:rsidR="009B4230">
        <w:rPr>
          <w:rFonts w:cs="Times New Roman"/>
          <w:bCs/>
          <w:iCs/>
        </w:rPr>
        <w:t>.</w:t>
      </w:r>
    </w:p>
    <w:p w14:paraId="15102E3F" w14:textId="3AFFCFC1" w:rsidR="002D1226" w:rsidRDefault="00546EB5" w:rsidP="00076D55">
      <w:pPr>
        <w:spacing w:before="0" w:after="0"/>
        <w:jc w:val="both"/>
        <w:rPr>
          <w:rFonts w:cs="Times New Roman"/>
          <w:b/>
          <w:bCs/>
          <w:i/>
        </w:rPr>
      </w:pPr>
      <w:r w:rsidRPr="002D1226">
        <w:rPr>
          <w:rFonts w:cs="Times New Roman"/>
          <w:b/>
          <w:iCs/>
          <w:noProof/>
        </w:rPr>
        <w:drawing>
          <wp:anchor distT="0" distB="0" distL="114300" distR="114300" simplePos="0" relativeHeight="251659264" behindDoc="1" locked="0" layoutInCell="1" allowOverlap="1" wp14:anchorId="32D3B444" wp14:editId="05AEA2A0">
            <wp:simplePos x="0" y="0"/>
            <wp:positionH relativeFrom="margin">
              <wp:posOffset>39038</wp:posOffset>
            </wp:positionH>
            <wp:positionV relativeFrom="paragraph">
              <wp:posOffset>63886</wp:posOffset>
            </wp:positionV>
            <wp:extent cx="5727700" cy="1725283"/>
            <wp:effectExtent l="0" t="0" r="6350" b="0"/>
            <wp:wrapTight wrapText="bothSides">
              <wp:wrapPolygon edited="0">
                <wp:start x="144" y="0"/>
                <wp:lineTo x="0" y="2386"/>
                <wp:lineTo x="0" y="16462"/>
                <wp:lineTo x="1509" y="19564"/>
                <wp:lineTo x="1509" y="20041"/>
                <wp:lineTo x="2227" y="20757"/>
                <wp:lineTo x="17170" y="20757"/>
                <wp:lineTo x="19038" y="20041"/>
                <wp:lineTo x="18966" y="19564"/>
                <wp:lineTo x="21552" y="18610"/>
                <wp:lineTo x="21552" y="477"/>
                <wp:lineTo x="6394" y="0"/>
                <wp:lineTo x="14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3112"/>
                    <a:stretch/>
                  </pic:blipFill>
                  <pic:spPr bwMode="auto">
                    <a:xfrm>
                      <a:off x="0" y="0"/>
                      <a:ext cx="5727700" cy="17252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3CFA5D" w14:textId="2F4C65F0" w:rsidR="002C6D41" w:rsidRDefault="00C36FCE" w:rsidP="00076D55">
      <w:pPr>
        <w:spacing w:before="0" w:after="0"/>
        <w:jc w:val="both"/>
        <w:rPr>
          <w:rFonts w:cs="Times New Roman"/>
          <w:b/>
          <w:bCs/>
          <w:iCs/>
        </w:rPr>
      </w:pPr>
      <w:r w:rsidRPr="00EF1754">
        <w:rPr>
          <w:rFonts w:cs="Times New Roman"/>
          <w:b/>
          <w:bCs/>
          <w:iCs/>
        </w:rPr>
        <w:t>Supplementary</w:t>
      </w:r>
      <w:r w:rsidR="00775446" w:rsidRPr="00EF1754">
        <w:rPr>
          <w:rFonts w:cs="Times New Roman"/>
          <w:b/>
          <w:bCs/>
          <w:iCs/>
        </w:rPr>
        <w:t xml:space="preserve"> Methods</w:t>
      </w:r>
      <w:r w:rsidRPr="00EF1754">
        <w:rPr>
          <w:rFonts w:cs="Times New Roman"/>
          <w:b/>
          <w:bCs/>
          <w:iCs/>
        </w:rPr>
        <w:t xml:space="preserve"> Figure </w:t>
      </w:r>
      <w:r w:rsidR="00D700D4" w:rsidRPr="00EF1754">
        <w:rPr>
          <w:rFonts w:cs="Times New Roman"/>
          <w:b/>
          <w:bCs/>
          <w:iCs/>
        </w:rPr>
        <w:t>iii</w:t>
      </w:r>
      <w:r w:rsidRPr="00EF1754">
        <w:rPr>
          <w:rFonts w:cs="Times New Roman"/>
          <w:b/>
          <w:bCs/>
          <w:iCs/>
        </w:rPr>
        <w:t>: R</w:t>
      </w:r>
      <w:r w:rsidR="00BB6F5E" w:rsidRPr="00EF1754">
        <w:rPr>
          <w:rFonts w:cs="Times New Roman"/>
          <w:b/>
          <w:bCs/>
          <w:iCs/>
        </w:rPr>
        <w:t>epresentative r</w:t>
      </w:r>
      <w:r w:rsidRPr="00EF1754">
        <w:rPr>
          <w:rFonts w:cs="Times New Roman"/>
          <w:b/>
          <w:bCs/>
          <w:iCs/>
        </w:rPr>
        <w:t>egions collected for RT-qPCR analysis from P21 animals.</w:t>
      </w:r>
      <w:r>
        <w:rPr>
          <w:rFonts w:cs="Times New Roman"/>
          <w:iCs/>
        </w:rPr>
        <w:t xml:space="preserve"> </w:t>
      </w:r>
      <w:r w:rsidR="00BB6F5E">
        <w:rPr>
          <w:rFonts w:cs="Times New Roman"/>
          <w:bCs/>
          <w:iCs/>
        </w:rPr>
        <w:t>Areas outlined in red were collected for analysis in</w:t>
      </w:r>
      <w:r w:rsidRPr="00B27E25">
        <w:rPr>
          <w:rFonts w:cs="Times New Roman"/>
          <w:bCs/>
          <w:i/>
        </w:rPr>
        <w:t xml:space="preserve"> </w:t>
      </w:r>
      <w:r w:rsidR="00BB6F5E" w:rsidRPr="00EF1754">
        <w:rPr>
          <w:rFonts w:cs="Times New Roman"/>
          <w:b/>
          <w:bCs/>
          <w:iCs/>
        </w:rPr>
        <w:t>A</w:t>
      </w:r>
      <w:r w:rsidR="00BB6F5E">
        <w:rPr>
          <w:rFonts w:cs="Times New Roman"/>
          <w:iCs/>
        </w:rPr>
        <w:t xml:space="preserve"> </w:t>
      </w:r>
      <w:r w:rsidR="00BB6F5E" w:rsidRPr="00BB6F5E">
        <w:rPr>
          <w:rFonts w:cs="Times New Roman"/>
          <w:bCs/>
          <w:iCs/>
        </w:rPr>
        <w:t>the</w:t>
      </w:r>
      <w:r w:rsidR="00BB6F5E">
        <w:rPr>
          <w:rFonts w:cs="Times New Roman"/>
          <w:bCs/>
          <w:iCs/>
        </w:rPr>
        <w:t xml:space="preserve"> prefrontal cortex</w:t>
      </w:r>
      <w:r w:rsidR="002C6D41" w:rsidRPr="00BB6F5E">
        <w:rPr>
          <w:rFonts w:cs="Times New Roman"/>
          <w:bCs/>
          <w:iCs/>
        </w:rPr>
        <w:t xml:space="preserve">, </w:t>
      </w:r>
      <w:r w:rsidR="00BB6F5E" w:rsidRPr="00EF1754">
        <w:rPr>
          <w:rFonts w:cs="Times New Roman"/>
          <w:b/>
          <w:bCs/>
          <w:iCs/>
        </w:rPr>
        <w:t>B</w:t>
      </w:r>
      <w:r w:rsidR="002C6D41" w:rsidRPr="00BB6F5E">
        <w:rPr>
          <w:rFonts w:cs="Times New Roman"/>
          <w:bCs/>
          <w:iCs/>
        </w:rPr>
        <w:t xml:space="preserve"> </w:t>
      </w:r>
      <w:r w:rsidR="00BB6F5E">
        <w:rPr>
          <w:rFonts w:cs="Times New Roman"/>
          <w:bCs/>
          <w:iCs/>
        </w:rPr>
        <w:t>the s</w:t>
      </w:r>
      <w:r w:rsidR="002C6D41" w:rsidRPr="00BB6F5E">
        <w:rPr>
          <w:rFonts w:cs="Times New Roman"/>
          <w:bCs/>
          <w:iCs/>
        </w:rPr>
        <w:t xml:space="preserve">triatum, and </w:t>
      </w:r>
      <w:r w:rsidR="00BB6F5E" w:rsidRPr="00EF1754">
        <w:rPr>
          <w:rFonts w:cs="Times New Roman"/>
          <w:b/>
          <w:bCs/>
          <w:iCs/>
        </w:rPr>
        <w:t>C</w:t>
      </w:r>
      <w:r w:rsidR="00BB6F5E">
        <w:rPr>
          <w:rFonts w:cs="Times New Roman"/>
          <w:bCs/>
          <w:iCs/>
        </w:rPr>
        <w:t xml:space="preserve"> the dorsal </w:t>
      </w:r>
      <w:r w:rsidR="00EF1754" w:rsidRPr="00BB6F5E">
        <w:rPr>
          <w:rFonts w:cs="Times New Roman"/>
          <w:bCs/>
          <w:iCs/>
        </w:rPr>
        <w:t>hippocampus.</w:t>
      </w:r>
    </w:p>
    <w:p w14:paraId="4F81EA58" w14:textId="77777777" w:rsidR="00023A1D" w:rsidRPr="00AC39C9" w:rsidRDefault="00023A1D" w:rsidP="00076D55">
      <w:pPr>
        <w:spacing w:before="0" w:after="0"/>
        <w:jc w:val="both"/>
        <w:rPr>
          <w:rFonts w:cs="Times New Roman"/>
          <w:b/>
          <w:bCs/>
          <w:iCs/>
        </w:rPr>
      </w:pPr>
    </w:p>
    <w:p w14:paraId="58FC4F55" w14:textId="5A816A43" w:rsidR="00076D55" w:rsidRPr="00260758" w:rsidRDefault="00023A1D" w:rsidP="00076D55">
      <w:pPr>
        <w:spacing w:before="0" w:after="0"/>
        <w:jc w:val="both"/>
        <w:rPr>
          <w:rFonts w:cs="Times New Roman"/>
          <w:b/>
        </w:rPr>
      </w:pPr>
      <w:r>
        <w:rPr>
          <w:bCs/>
        </w:rPr>
        <w:t xml:space="preserve">Supplementary Methods </w:t>
      </w:r>
      <w:r w:rsidR="00260758" w:rsidRPr="00260758">
        <w:rPr>
          <w:rFonts w:cs="Times New Roman"/>
        </w:rPr>
        <w:t xml:space="preserve">Table </w:t>
      </w:r>
      <w:r w:rsidR="00D700D4">
        <w:rPr>
          <w:rFonts w:cs="Times New Roman"/>
        </w:rPr>
        <w:t>iii</w:t>
      </w:r>
      <w:r w:rsidR="00260758" w:rsidRPr="00260758">
        <w:rPr>
          <w:rFonts w:cs="Times New Roman"/>
        </w:rPr>
        <w:t xml:space="preserve">: </w:t>
      </w:r>
      <w:r w:rsidR="00076D55" w:rsidRPr="00260758">
        <w:rPr>
          <w:rFonts w:cs="Times New Roman"/>
        </w:rPr>
        <w:t>TaqMan assays used to target genes of interest</w:t>
      </w:r>
    </w:p>
    <w:tbl>
      <w:tblPr>
        <w:tblStyle w:val="TableGrid"/>
        <w:tblW w:w="0" w:type="auto"/>
        <w:tblLook w:val="04A0" w:firstRow="1" w:lastRow="0" w:firstColumn="1" w:lastColumn="0" w:noHBand="0" w:noVBand="1"/>
      </w:tblPr>
      <w:tblGrid>
        <w:gridCol w:w="4670"/>
        <w:gridCol w:w="4340"/>
      </w:tblGrid>
      <w:tr w:rsidR="00076D55" w:rsidRPr="00260758" w14:paraId="293B1C6A" w14:textId="77777777" w:rsidTr="00260758">
        <w:tc>
          <w:tcPr>
            <w:tcW w:w="4670" w:type="dxa"/>
            <w:tcBorders>
              <w:top w:val="single" w:sz="12" w:space="0" w:color="auto"/>
              <w:left w:val="single" w:sz="6" w:space="0" w:color="FFFFFF" w:themeColor="background1"/>
              <w:bottom w:val="single" w:sz="6" w:space="0" w:color="auto"/>
              <w:right w:val="single" w:sz="6" w:space="0" w:color="FFFFFF" w:themeColor="background1"/>
            </w:tcBorders>
          </w:tcPr>
          <w:p w14:paraId="627C5601" w14:textId="77777777" w:rsidR="00076D55" w:rsidRPr="00260758" w:rsidRDefault="00076D55" w:rsidP="00B27E25">
            <w:pPr>
              <w:spacing w:before="0" w:after="0"/>
              <w:jc w:val="both"/>
              <w:rPr>
                <w:rFonts w:cs="Times New Roman"/>
                <w:bCs/>
                <w:color w:val="000000" w:themeColor="text1"/>
              </w:rPr>
            </w:pPr>
            <w:r w:rsidRPr="00260758">
              <w:rPr>
                <w:rFonts w:cs="Times New Roman"/>
                <w:bCs/>
                <w:color w:val="000000" w:themeColor="text1"/>
              </w:rPr>
              <w:t>Gene name</w:t>
            </w:r>
          </w:p>
        </w:tc>
        <w:tc>
          <w:tcPr>
            <w:tcW w:w="4340" w:type="dxa"/>
            <w:tcBorders>
              <w:top w:val="single" w:sz="12" w:space="0" w:color="auto"/>
              <w:left w:val="single" w:sz="6" w:space="0" w:color="FFFFFF" w:themeColor="background1"/>
              <w:bottom w:val="single" w:sz="6" w:space="0" w:color="auto"/>
              <w:right w:val="single" w:sz="6" w:space="0" w:color="FFFFFF" w:themeColor="background1"/>
            </w:tcBorders>
          </w:tcPr>
          <w:p w14:paraId="56FC544E" w14:textId="77777777" w:rsidR="00076D55" w:rsidRPr="00260758" w:rsidRDefault="00076D55" w:rsidP="00B27E25">
            <w:pPr>
              <w:spacing w:before="0" w:after="0"/>
              <w:jc w:val="both"/>
              <w:rPr>
                <w:rFonts w:cs="Times New Roman"/>
                <w:bCs/>
                <w:color w:val="000000" w:themeColor="text1"/>
              </w:rPr>
            </w:pPr>
            <w:r w:rsidRPr="00260758">
              <w:rPr>
                <w:rFonts w:cs="Times New Roman"/>
                <w:bCs/>
                <w:color w:val="000000" w:themeColor="text1"/>
              </w:rPr>
              <w:t>Assay ID</w:t>
            </w:r>
          </w:p>
        </w:tc>
      </w:tr>
      <w:tr w:rsidR="00076D55" w:rsidRPr="00260758" w14:paraId="05223102" w14:textId="77777777" w:rsidTr="00B27E25">
        <w:tc>
          <w:tcPr>
            <w:tcW w:w="4670" w:type="dxa"/>
            <w:tcBorders>
              <w:top w:val="single" w:sz="6" w:space="0" w:color="auto"/>
              <w:left w:val="single" w:sz="6" w:space="0" w:color="FFFFFF" w:themeColor="background1"/>
              <w:bottom w:val="single" w:sz="6" w:space="0" w:color="auto"/>
              <w:right w:val="single" w:sz="6" w:space="0" w:color="FFFFFF" w:themeColor="background1"/>
            </w:tcBorders>
          </w:tcPr>
          <w:p w14:paraId="5BBDCD72" w14:textId="37148563" w:rsidR="00076D55" w:rsidRPr="00260758" w:rsidRDefault="00260758" w:rsidP="00B27E25">
            <w:pPr>
              <w:spacing w:before="0" w:after="0"/>
              <w:jc w:val="both"/>
              <w:rPr>
                <w:rFonts w:cs="Times New Roman"/>
                <w:bCs/>
                <w:color w:val="000000" w:themeColor="text1"/>
              </w:rPr>
            </w:pPr>
            <w:r w:rsidRPr="00260758">
              <w:rPr>
                <w:rFonts w:cs="Times New Roman"/>
                <w:bCs/>
                <w:color w:val="000000" w:themeColor="text1"/>
              </w:rPr>
              <w:t>Immune</w:t>
            </w:r>
          </w:p>
        </w:tc>
        <w:tc>
          <w:tcPr>
            <w:tcW w:w="4340" w:type="dxa"/>
            <w:tcBorders>
              <w:top w:val="single" w:sz="6" w:space="0" w:color="auto"/>
              <w:left w:val="single" w:sz="6" w:space="0" w:color="FFFFFF" w:themeColor="background1"/>
              <w:bottom w:val="single" w:sz="6" w:space="0" w:color="auto"/>
              <w:right w:val="single" w:sz="6" w:space="0" w:color="FFFFFF" w:themeColor="background1"/>
            </w:tcBorders>
          </w:tcPr>
          <w:p w14:paraId="1B7F7E6F" w14:textId="77777777" w:rsidR="00076D55" w:rsidRPr="00260758" w:rsidRDefault="00076D55" w:rsidP="00B27E25">
            <w:pPr>
              <w:spacing w:before="0" w:after="0"/>
              <w:jc w:val="both"/>
              <w:rPr>
                <w:rFonts w:cs="Times New Roman"/>
                <w:b/>
                <w:color w:val="000000" w:themeColor="text1"/>
              </w:rPr>
            </w:pPr>
          </w:p>
        </w:tc>
      </w:tr>
      <w:tr w:rsidR="00076D55" w:rsidRPr="00260758" w14:paraId="40E397FD" w14:textId="77777777" w:rsidTr="00B27E25">
        <w:tc>
          <w:tcPr>
            <w:tcW w:w="467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0BBED48C"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IL-10</w:t>
            </w:r>
          </w:p>
        </w:tc>
        <w:tc>
          <w:tcPr>
            <w:tcW w:w="434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32ECC8E4" w14:textId="77777777" w:rsidR="00076D55" w:rsidRPr="00260758" w:rsidRDefault="00076D55" w:rsidP="00B27E25">
            <w:pPr>
              <w:spacing w:before="0" w:after="0"/>
              <w:jc w:val="both"/>
              <w:rPr>
                <w:rFonts w:cs="Times New Roman"/>
                <w:b/>
                <w:color w:val="000000" w:themeColor="text1"/>
              </w:rPr>
            </w:pPr>
            <w:r w:rsidRPr="00260758">
              <w:t>Rn01483988_g1</w:t>
            </w:r>
          </w:p>
        </w:tc>
      </w:tr>
      <w:tr w:rsidR="00076D55" w:rsidRPr="00260758" w14:paraId="402FBB0D" w14:textId="77777777" w:rsidTr="00B27E25">
        <w:tc>
          <w:tcPr>
            <w:tcW w:w="4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64A917C"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IL-6</w:t>
            </w:r>
          </w:p>
        </w:tc>
        <w:tc>
          <w:tcPr>
            <w:tcW w:w="43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5BC3451"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Rn01410330_m1</w:t>
            </w:r>
          </w:p>
        </w:tc>
      </w:tr>
      <w:tr w:rsidR="00076D55" w:rsidRPr="00260758" w14:paraId="481DFA85" w14:textId="77777777" w:rsidTr="00B27E25">
        <w:tc>
          <w:tcPr>
            <w:tcW w:w="4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227C156"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IL-1B</w:t>
            </w:r>
          </w:p>
        </w:tc>
        <w:tc>
          <w:tcPr>
            <w:tcW w:w="43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30AB07" w14:textId="77777777" w:rsidR="00076D55" w:rsidRPr="00260758" w:rsidRDefault="00076D55" w:rsidP="00B27E25">
            <w:pPr>
              <w:spacing w:before="0" w:after="0"/>
              <w:jc w:val="both"/>
              <w:rPr>
                <w:rFonts w:cs="Times New Roman"/>
                <w:b/>
                <w:color w:val="000000" w:themeColor="text1"/>
              </w:rPr>
            </w:pPr>
            <w:r w:rsidRPr="00260758">
              <w:rPr>
                <w:rFonts w:cs="Times New Roman"/>
              </w:rPr>
              <w:t>Rn00580432_m1</w:t>
            </w:r>
          </w:p>
        </w:tc>
      </w:tr>
      <w:tr w:rsidR="00076D55" w:rsidRPr="00260758" w14:paraId="1AF5758D" w14:textId="77777777" w:rsidTr="00B27E25">
        <w:tc>
          <w:tcPr>
            <w:tcW w:w="4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1209C07"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lastRenderedPageBreak/>
              <w:t>TNFα</w:t>
            </w:r>
          </w:p>
        </w:tc>
        <w:tc>
          <w:tcPr>
            <w:tcW w:w="43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B0E9EF9" w14:textId="77777777" w:rsidR="00076D55" w:rsidRPr="00260758" w:rsidRDefault="00076D55" w:rsidP="00B27E25">
            <w:pPr>
              <w:spacing w:before="0" w:after="0"/>
              <w:jc w:val="both"/>
              <w:rPr>
                <w:rFonts w:cs="Times New Roman"/>
                <w:b/>
                <w:color w:val="000000" w:themeColor="text1"/>
              </w:rPr>
            </w:pPr>
            <w:r w:rsidRPr="00260758">
              <w:rPr>
                <w:rFonts w:eastAsia="Times New Roman" w:cs="Times New Roman"/>
                <w:lang w:eastAsia="en-AU"/>
              </w:rPr>
              <w:t>Rn99999017_m1</w:t>
            </w:r>
          </w:p>
        </w:tc>
      </w:tr>
      <w:tr w:rsidR="00076D55" w:rsidRPr="00260758" w14:paraId="1AEC94B3" w14:textId="77777777" w:rsidTr="00B27E25">
        <w:tc>
          <w:tcPr>
            <w:tcW w:w="4670" w:type="dxa"/>
            <w:tcBorders>
              <w:top w:val="single" w:sz="6" w:space="0" w:color="FFFFFF" w:themeColor="background1"/>
              <w:left w:val="single" w:sz="6" w:space="0" w:color="FFFFFF" w:themeColor="background1"/>
              <w:bottom w:val="single" w:sz="6" w:space="0" w:color="auto"/>
              <w:right w:val="single" w:sz="6" w:space="0" w:color="FFFFFF" w:themeColor="background1"/>
            </w:tcBorders>
          </w:tcPr>
          <w:p w14:paraId="55AB5373"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CD68</w:t>
            </w:r>
          </w:p>
        </w:tc>
        <w:tc>
          <w:tcPr>
            <w:tcW w:w="4340" w:type="dxa"/>
            <w:tcBorders>
              <w:top w:val="single" w:sz="6" w:space="0" w:color="FFFFFF" w:themeColor="background1"/>
              <w:left w:val="single" w:sz="6" w:space="0" w:color="FFFFFF" w:themeColor="background1"/>
              <w:bottom w:val="single" w:sz="6" w:space="0" w:color="auto"/>
              <w:right w:val="single" w:sz="6" w:space="0" w:color="FFFFFF" w:themeColor="background1"/>
            </w:tcBorders>
          </w:tcPr>
          <w:p w14:paraId="28AD4995" w14:textId="77777777" w:rsidR="00076D55" w:rsidRPr="00260758" w:rsidRDefault="00076D55" w:rsidP="00B27E25">
            <w:pPr>
              <w:spacing w:before="0" w:after="0"/>
              <w:jc w:val="both"/>
              <w:rPr>
                <w:rFonts w:cs="Times New Roman"/>
                <w:b/>
                <w:color w:val="000000" w:themeColor="text1"/>
              </w:rPr>
            </w:pPr>
            <w:r w:rsidRPr="00260758">
              <w:rPr>
                <w:rFonts w:eastAsia="Times New Roman" w:cs="Times New Roman"/>
                <w:lang w:eastAsia="en-AU"/>
              </w:rPr>
              <w:t>Rn01495634_g1</w:t>
            </w:r>
          </w:p>
        </w:tc>
      </w:tr>
      <w:tr w:rsidR="00076D55" w:rsidRPr="00260758" w14:paraId="3697E887" w14:textId="77777777" w:rsidTr="00B27E25">
        <w:tc>
          <w:tcPr>
            <w:tcW w:w="4670" w:type="dxa"/>
            <w:tcBorders>
              <w:top w:val="single" w:sz="6" w:space="0" w:color="auto"/>
              <w:left w:val="single" w:sz="6" w:space="0" w:color="FFFFFF" w:themeColor="background1"/>
              <w:bottom w:val="single" w:sz="6" w:space="0" w:color="auto"/>
              <w:right w:val="single" w:sz="6" w:space="0" w:color="FFFFFF" w:themeColor="background1"/>
            </w:tcBorders>
          </w:tcPr>
          <w:p w14:paraId="01115A04" w14:textId="77777777" w:rsidR="00076D55" w:rsidRPr="00260758" w:rsidRDefault="00076D55" w:rsidP="00B27E25">
            <w:pPr>
              <w:spacing w:before="0" w:after="0"/>
              <w:jc w:val="both"/>
              <w:rPr>
                <w:rFonts w:cs="Times New Roman"/>
                <w:bCs/>
                <w:color w:val="000000" w:themeColor="text1"/>
              </w:rPr>
            </w:pPr>
            <w:r w:rsidRPr="00260758">
              <w:rPr>
                <w:rFonts w:cs="Times New Roman"/>
                <w:bCs/>
                <w:color w:val="000000" w:themeColor="text1"/>
              </w:rPr>
              <w:t>Myelination</w:t>
            </w:r>
          </w:p>
        </w:tc>
        <w:tc>
          <w:tcPr>
            <w:tcW w:w="4340" w:type="dxa"/>
            <w:tcBorders>
              <w:top w:val="single" w:sz="6" w:space="0" w:color="auto"/>
              <w:left w:val="single" w:sz="6" w:space="0" w:color="FFFFFF" w:themeColor="background1"/>
              <w:bottom w:val="single" w:sz="6" w:space="0" w:color="auto"/>
              <w:right w:val="single" w:sz="6" w:space="0" w:color="FFFFFF" w:themeColor="background1"/>
            </w:tcBorders>
          </w:tcPr>
          <w:p w14:paraId="11B70DC5" w14:textId="77777777" w:rsidR="00076D55" w:rsidRPr="00260758" w:rsidRDefault="00076D55" w:rsidP="00B27E25">
            <w:pPr>
              <w:spacing w:before="0" w:after="0"/>
              <w:jc w:val="both"/>
              <w:rPr>
                <w:rFonts w:cs="Times New Roman"/>
                <w:b/>
                <w:color w:val="000000" w:themeColor="text1"/>
              </w:rPr>
            </w:pPr>
          </w:p>
        </w:tc>
      </w:tr>
      <w:tr w:rsidR="00076D55" w:rsidRPr="00260758" w14:paraId="1BACB25E" w14:textId="77777777" w:rsidTr="00B27E25">
        <w:tc>
          <w:tcPr>
            <w:tcW w:w="467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7CC05D97"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MBP</w:t>
            </w:r>
          </w:p>
        </w:tc>
        <w:tc>
          <w:tcPr>
            <w:tcW w:w="434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7AD36A94" w14:textId="77777777" w:rsidR="00076D55" w:rsidRPr="00260758" w:rsidRDefault="00076D55" w:rsidP="00B27E25">
            <w:pPr>
              <w:spacing w:before="0" w:after="0"/>
              <w:jc w:val="both"/>
              <w:rPr>
                <w:rFonts w:cs="Times New Roman"/>
                <w:b/>
                <w:color w:val="000000" w:themeColor="text1"/>
              </w:rPr>
            </w:pPr>
            <w:r w:rsidRPr="00260758">
              <w:rPr>
                <w:rFonts w:eastAsia="Times New Roman" w:cs="Times New Roman"/>
                <w:lang w:eastAsia="en-AU"/>
              </w:rPr>
              <w:t>Rn01399619_m1</w:t>
            </w:r>
          </w:p>
        </w:tc>
      </w:tr>
      <w:tr w:rsidR="00076D55" w:rsidRPr="00260758" w14:paraId="4B3EDBD3" w14:textId="77777777" w:rsidTr="00B27E25">
        <w:tc>
          <w:tcPr>
            <w:tcW w:w="4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B438AB4"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SOX 10</w:t>
            </w:r>
          </w:p>
        </w:tc>
        <w:tc>
          <w:tcPr>
            <w:tcW w:w="43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92CEAF6" w14:textId="77777777" w:rsidR="00076D55" w:rsidRPr="00260758" w:rsidRDefault="00076D55" w:rsidP="00B27E25">
            <w:pPr>
              <w:spacing w:before="0" w:after="0"/>
              <w:jc w:val="both"/>
              <w:rPr>
                <w:rFonts w:cs="Times New Roman"/>
                <w:b/>
                <w:color w:val="000000" w:themeColor="text1"/>
              </w:rPr>
            </w:pPr>
            <w:r w:rsidRPr="00260758">
              <w:rPr>
                <w:rFonts w:cs="Times New Roman"/>
                <w:shd w:val="clear" w:color="auto" w:fill="FFFFFF"/>
              </w:rPr>
              <w:t>Rn00569909_m1</w:t>
            </w:r>
          </w:p>
        </w:tc>
      </w:tr>
      <w:tr w:rsidR="00076D55" w:rsidRPr="00260758" w14:paraId="53C66934" w14:textId="77777777" w:rsidTr="00B27E25">
        <w:tc>
          <w:tcPr>
            <w:tcW w:w="4670" w:type="dxa"/>
            <w:tcBorders>
              <w:top w:val="single" w:sz="6" w:space="0" w:color="FFFFFF" w:themeColor="background1"/>
              <w:left w:val="single" w:sz="6" w:space="0" w:color="FFFFFF" w:themeColor="background1"/>
              <w:bottom w:val="single" w:sz="6" w:space="0" w:color="auto"/>
              <w:right w:val="single" w:sz="6" w:space="0" w:color="FFFFFF" w:themeColor="background1"/>
            </w:tcBorders>
          </w:tcPr>
          <w:p w14:paraId="4583FC41" w14:textId="77777777" w:rsidR="00076D55" w:rsidRPr="00260758" w:rsidRDefault="00076D55" w:rsidP="00B27E25">
            <w:pPr>
              <w:spacing w:before="0" w:after="0"/>
              <w:jc w:val="both"/>
              <w:rPr>
                <w:rFonts w:cs="Times New Roman"/>
                <w:b/>
                <w:color w:val="000000" w:themeColor="text1"/>
              </w:rPr>
            </w:pPr>
            <w:proofErr w:type="spellStart"/>
            <w:r w:rsidRPr="00260758">
              <w:rPr>
                <w:rFonts w:cs="Times New Roman"/>
                <w:color w:val="000000" w:themeColor="text1"/>
              </w:rPr>
              <w:t>Myrf</w:t>
            </w:r>
            <w:proofErr w:type="spellEnd"/>
          </w:p>
        </w:tc>
        <w:tc>
          <w:tcPr>
            <w:tcW w:w="4340" w:type="dxa"/>
            <w:tcBorders>
              <w:top w:val="single" w:sz="6" w:space="0" w:color="FFFFFF" w:themeColor="background1"/>
              <w:left w:val="single" w:sz="6" w:space="0" w:color="FFFFFF" w:themeColor="background1"/>
              <w:bottom w:val="single" w:sz="6" w:space="0" w:color="auto"/>
              <w:right w:val="single" w:sz="6" w:space="0" w:color="FFFFFF" w:themeColor="background1"/>
            </w:tcBorders>
          </w:tcPr>
          <w:p w14:paraId="737111D7" w14:textId="77777777" w:rsidR="00076D55" w:rsidRPr="00260758" w:rsidRDefault="00076D55" w:rsidP="00B27E25">
            <w:pPr>
              <w:spacing w:before="0" w:after="0"/>
              <w:jc w:val="both"/>
              <w:rPr>
                <w:rFonts w:cs="Times New Roman"/>
                <w:b/>
                <w:color w:val="000000" w:themeColor="text1"/>
              </w:rPr>
            </w:pPr>
            <w:r w:rsidRPr="00260758">
              <w:rPr>
                <w:rFonts w:cs="Times New Roman"/>
                <w:shd w:val="clear" w:color="auto" w:fill="FFFFFF"/>
              </w:rPr>
              <w:t>Rn01454573_m1</w:t>
            </w:r>
          </w:p>
        </w:tc>
      </w:tr>
      <w:tr w:rsidR="00076D55" w:rsidRPr="00260758" w14:paraId="4616A2BA" w14:textId="77777777" w:rsidTr="00B27E25">
        <w:tc>
          <w:tcPr>
            <w:tcW w:w="4670" w:type="dxa"/>
            <w:tcBorders>
              <w:top w:val="single" w:sz="6" w:space="0" w:color="auto"/>
              <w:left w:val="single" w:sz="6" w:space="0" w:color="FFFFFF" w:themeColor="background1"/>
              <w:bottom w:val="single" w:sz="6" w:space="0" w:color="auto"/>
              <w:right w:val="single" w:sz="6" w:space="0" w:color="FFFFFF" w:themeColor="background1"/>
            </w:tcBorders>
          </w:tcPr>
          <w:p w14:paraId="7DBED2B8" w14:textId="77777777" w:rsidR="00076D55" w:rsidRPr="00260758" w:rsidRDefault="00076D55" w:rsidP="00B27E25">
            <w:pPr>
              <w:spacing w:before="0" w:after="0"/>
              <w:jc w:val="both"/>
              <w:rPr>
                <w:rFonts w:cs="Times New Roman"/>
                <w:bCs/>
                <w:color w:val="000000" w:themeColor="text1"/>
              </w:rPr>
            </w:pPr>
            <w:r w:rsidRPr="00260758">
              <w:rPr>
                <w:rFonts w:cs="Times New Roman"/>
                <w:bCs/>
                <w:color w:val="000000" w:themeColor="text1"/>
              </w:rPr>
              <w:t>Housekeeping genes</w:t>
            </w:r>
          </w:p>
        </w:tc>
        <w:tc>
          <w:tcPr>
            <w:tcW w:w="4340" w:type="dxa"/>
            <w:tcBorders>
              <w:top w:val="single" w:sz="6" w:space="0" w:color="auto"/>
              <w:left w:val="single" w:sz="6" w:space="0" w:color="FFFFFF" w:themeColor="background1"/>
              <w:bottom w:val="single" w:sz="6" w:space="0" w:color="auto"/>
              <w:right w:val="single" w:sz="6" w:space="0" w:color="FFFFFF" w:themeColor="background1"/>
            </w:tcBorders>
          </w:tcPr>
          <w:p w14:paraId="1CA6CD17" w14:textId="77777777" w:rsidR="00076D55" w:rsidRPr="00260758" w:rsidRDefault="00076D55" w:rsidP="00B27E25">
            <w:pPr>
              <w:spacing w:before="0" w:after="0"/>
              <w:jc w:val="both"/>
              <w:rPr>
                <w:rFonts w:cs="Times New Roman"/>
                <w:b/>
                <w:color w:val="000000" w:themeColor="text1"/>
              </w:rPr>
            </w:pPr>
          </w:p>
        </w:tc>
      </w:tr>
      <w:tr w:rsidR="00076D55" w:rsidRPr="00260758" w14:paraId="71C40860" w14:textId="77777777" w:rsidTr="00B27E25">
        <w:tc>
          <w:tcPr>
            <w:tcW w:w="467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6D6D9C53" w14:textId="77777777" w:rsidR="00076D55" w:rsidRPr="00260758" w:rsidRDefault="00076D55" w:rsidP="00B27E25">
            <w:pPr>
              <w:spacing w:before="0" w:after="0"/>
              <w:jc w:val="both"/>
              <w:rPr>
                <w:rFonts w:cs="Times New Roman"/>
                <w:b/>
                <w:color w:val="000000" w:themeColor="text1"/>
              </w:rPr>
            </w:pPr>
            <w:r w:rsidRPr="00260758">
              <w:rPr>
                <w:rFonts w:cs="Times New Roman"/>
                <w:color w:val="000000" w:themeColor="text1"/>
              </w:rPr>
              <w:t>UBC</w:t>
            </w:r>
          </w:p>
        </w:tc>
        <w:tc>
          <w:tcPr>
            <w:tcW w:w="4340"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2113056E" w14:textId="77777777" w:rsidR="00076D55" w:rsidRPr="00260758" w:rsidRDefault="00076D55" w:rsidP="00B27E25">
            <w:pPr>
              <w:spacing w:before="0" w:after="0"/>
              <w:jc w:val="both"/>
              <w:rPr>
                <w:rFonts w:cs="Times New Roman"/>
                <w:b/>
                <w:color w:val="000000" w:themeColor="text1"/>
              </w:rPr>
            </w:pPr>
            <w:r w:rsidRPr="00260758">
              <w:rPr>
                <w:rFonts w:cs="Times New Roman"/>
              </w:rPr>
              <w:t>Rn01789812_g1</w:t>
            </w:r>
          </w:p>
        </w:tc>
      </w:tr>
      <w:tr w:rsidR="00076D55" w14:paraId="2941F348" w14:textId="77777777" w:rsidTr="00260758">
        <w:trPr>
          <w:trHeight w:val="53"/>
        </w:trPr>
        <w:tc>
          <w:tcPr>
            <w:tcW w:w="4670" w:type="dxa"/>
            <w:tcBorders>
              <w:top w:val="single" w:sz="6" w:space="0" w:color="FFFFFF" w:themeColor="background1"/>
              <w:left w:val="single" w:sz="6" w:space="0" w:color="FFFFFF" w:themeColor="background1"/>
              <w:bottom w:val="single" w:sz="12" w:space="0" w:color="auto"/>
              <w:right w:val="single" w:sz="6" w:space="0" w:color="FFFFFF" w:themeColor="background1"/>
            </w:tcBorders>
          </w:tcPr>
          <w:p w14:paraId="08824CA8" w14:textId="77777777" w:rsidR="00076D55" w:rsidRPr="00260758" w:rsidRDefault="00076D55" w:rsidP="00B27E25">
            <w:pPr>
              <w:spacing w:before="0" w:after="0"/>
              <w:jc w:val="both"/>
              <w:rPr>
                <w:rFonts w:cs="Times New Roman"/>
                <w:b/>
                <w:color w:val="000000" w:themeColor="text1"/>
              </w:rPr>
            </w:pPr>
            <w:proofErr w:type="spellStart"/>
            <w:r w:rsidRPr="00260758">
              <w:rPr>
                <w:rFonts w:cs="Times New Roman"/>
                <w:color w:val="000000" w:themeColor="text1"/>
              </w:rPr>
              <w:t>GapDH</w:t>
            </w:r>
            <w:proofErr w:type="spellEnd"/>
          </w:p>
        </w:tc>
        <w:tc>
          <w:tcPr>
            <w:tcW w:w="4340" w:type="dxa"/>
            <w:tcBorders>
              <w:top w:val="single" w:sz="6" w:space="0" w:color="FFFFFF" w:themeColor="background1"/>
              <w:left w:val="single" w:sz="6" w:space="0" w:color="FFFFFF" w:themeColor="background1"/>
              <w:bottom w:val="single" w:sz="12" w:space="0" w:color="auto"/>
              <w:right w:val="single" w:sz="6" w:space="0" w:color="FFFFFF" w:themeColor="background1"/>
            </w:tcBorders>
          </w:tcPr>
          <w:p w14:paraId="09C36D3A" w14:textId="77777777" w:rsidR="00076D55" w:rsidRPr="00456A0F" w:rsidRDefault="00076D55" w:rsidP="00B27E25">
            <w:pPr>
              <w:spacing w:before="0" w:after="0"/>
              <w:jc w:val="both"/>
              <w:rPr>
                <w:rFonts w:cs="Times New Roman"/>
                <w:b/>
                <w:color w:val="000000" w:themeColor="text1"/>
              </w:rPr>
            </w:pPr>
            <w:r w:rsidRPr="00260758">
              <w:rPr>
                <w:rFonts w:cs="Times New Roman"/>
              </w:rPr>
              <w:t>RN01775763_g1</w:t>
            </w:r>
          </w:p>
        </w:tc>
      </w:tr>
    </w:tbl>
    <w:p w14:paraId="3A224BE3" w14:textId="484D435A" w:rsidR="008056B1" w:rsidRDefault="008056B1" w:rsidP="006C67A1">
      <w:pPr>
        <w:spacing w:before="0" w:after="0"/>
        <w:jc w:val="both"/>
        <w:rPr>
          <w:b/>
          <w:bCs/>
        </w:rPr>
      </w:pPr>
    </w:p>
    <w:p w14:paraId="7F9ED58C" w14:textId="35503E6C" w:rsidR="00F37648" w:rsidRPr="00F37648" w:rsidRDefault="003B681B" w:rsidP="00432743">
      <w:pPr>
        <w:spacing w:before="0" w:after="0"/>
        <w:jc w:val="both"/>
        <w:rPr>
          <w:rFonts w:cs="Times New Roman"/>
          <w:b/>
          <w:i/>
          <w:iCs/>
          <w:color w:val="000000" w:themeColor="text1"/>
        </w:rPr>
      </w:pPr>
      <w:r>
        <w:rPr>
          <w:rFonts w:cs="Times New Roman"/>
          <w:i/>
          <w:iCs/>
        </w:rPr>
        <w:t xml:space="preserve">Supplementary Methods </w:t>
      </w:r>
      <w:r w:rsidR="00207E58">
        <w:rPr>
          <w:rFonts w:cs="Times New Roman"/>
          <w:i/>
          <w:iCs/>
        </w:rPr>
        <w:t>v</w:t>
      </w:r>
      <w:r>
        <w:rPr>
          <w:rFonts w:cs="Times New Roman"/>
          <w:i/>
          <w:iCs/>
        </w:rPr>
        <w:t xml:space="preserve">: </w:t>
      </w:r>
      <w:r>
        <w:rPr>
          <w:rFonts w:cs="Times New Roman"/>
          <w:i/>
          <w:iCs/>
          <w:color w:val="000000" w:themeColor="text1"/>
        </w:rPr>
        <w:t>Cytokine Multiplex</w:t>
      </w:r>
    </w:p>
    <w:p w14:paraId="56FE9A74" w14:textId="7B7349E4" w:rsidR="00F37648" w:rsidRDefault="00F37648" w:rsidP="00C5743F">
      <w:pPr>
        <w:spacing w:before="0" w:after="0"/>
        <w:ind w:firstLine="720"/>
        <w:jc w:val="both"/>
        <w:rPr>
          <w:rFonts w:cs="Times New Roman"/>
        </w:rPr>
      </w:pPr>
      <w:r w:rsidRPr="00807339">
        <w:rPr>
          <w:rFonts w:cs="Times New Roman"/>
          <w:color w:val="000000" w:themeColor="text1"/>
        </w:rPr>
        <w:t>At P7 and 21 blood was collected from the perfusion circuit</w:t>
      </w:r>
      <w:r w:rsidR="002B2A4B">
        <w:rPr>
          <w:rFonts w:cs="Times New Roman"/>
          <w:color w:val="000000" w:themeColor="text1"/>
        </w:rPr>
        <w:t xml:space="preserve">, held at room </w:t>
      </w:r>
      <w:r w:rsidR="00B43B9E">
        <w:rPr>
          <w:rFonts w:cs="Times New Roman"/>
          <w:color w:val="000000" w:themeColor="text1"/>
        </w:rPr>
        <w:t>temperature</w:t>
      </w:r>
      <w:r w:rsidR="002B2A4B">
        <w:rPr>
          <w:rFonts w:cs="Times New Roman"/>
          <w:color w:val="000000" w:themeColor="text1"/>
        </w:rPr>
        <w:t xml:space="preserve"> for 30 mins, centr</w:t>
      </w:r>
      <w:r w:rsidR="00B43B9E">
        <w:rPr>
          <w:rFonts w:cs="Times New Roman"/>
          <w:color w:val="000000" w:themeColor="text1"/>
        </w:rPr>
        <w:t>ifuged at 1,000 x g for 10 mins and then the supernatant (serum)</w:t>
      </w:r>
      <w:r w:rsidRPr="00807339">
        <w:rPr>
          <w:rFonts w:cs="Times New Roman"/>
          <w:color w:val="000000" w:themeColor="text1"/>
        </w:rPr>
        <w:t xml:space="preserve"> collected. </w:t>
      </w:r>
      <w:r>
        <w:rPr>
          <w:rFonts w:cs="Times New Roman"/>
        </w:rPr>
        <w:t>Serum</w:t>
      </w:r>
      <w:r w:rsidRPr="00725A44">
        <w:rPr>
          <w:rFonts w:cs="Times New Roman"/>
        </w:rPr>
        <w:t xml:space="preserve"> was used to assess levels of 2</w:t>
      </w:r>
      <w:r>
        <w:rPr>
          <w:rFonts w:cs="Times New Roman"/>
        </w:rPr>
        <w:t>3</w:t>
      </w:r>
      <w:r w:rsidRPr="00725A44">
        <w:rPr>
          <w:rFonts w:cs="Times New Roman"/>
        </w:rPr>
        <w:t xml:space="preserve"> cytokines and chemokines using a magnetic bead immunoassay (Bio-Plex Pro™ Rat Cytokine 23-Plex Assay #12005641)</w:t>
      </w:r>
      <w:r w:rsidR="00F9476A">
        <w:rPr>
          <w:rFonts w:cs="Times New Roman"/>
        </w:rPr>
        <w:t xml:space="preserve"> in duplicates at a 1:4 dilution</w:t>
      </w:r>
      <w:r w:rsidRPr="00725A44">
        <w:rPr>
          <w:rFonts w:cs="Times New Roman"/>
        </w:rPr>
        <w:t xml:space="preserve"> following manufacturer’s instructions</w:t>
      </w:r>
      <w:r>
        <w:rPr>
          <w:rFonts w:cs="Times New Roman"/>
        </w:rPr>
        <w:t xml:space="preserve">. </w:t>
      </w:r>
      <w:r w:rsidRPr="00725A44">
        <w:rPr>
          <w:rFonts w:cs="Times New Roman"/>
        </w:rPr>
        <w:t xml:space="preserve">The analytes considered </w:t>
      </w:r>
      <w:r>
        <w:rPr>
          <w:rFonts w:cs="Times New Roman"/>
        </w:rPr>
        <w:t xml:space="preserve">are </w:t>
      </w:r>
      <w:r w:rsidR="00207E58">
        <w:rPr>
          <w:rFonts w:cs="Times New Roman"/>
        </w:rPr>
        <w:t>summarized</w:t>
      </w:r>
      <w:r>
        <w:rPr>
          <w:rFonts w:cs="Times New Roman"/>
        </w:rPr>
        <w:t xml:space="preserve"> in table </w:t>
      </w:r>
      <w:r w:rsidR="00D700D4">
        <w:rPr>
          <w:rFonts w:cs="Times New Roman"/>
        </w:rPr>
        <w:t>i</w:t>
      </w:r>
      <w:r w:rsidR="006C624D">
        <w:rPr>
          <w:rFonts w:cs="Times New Roman"/>
        </w:rPr>
        <w:t>v</w:t>
      </w:r>
      <w:r>
        <w:rPr>
          <w:rFonts w:cs="Times New Roman"/>
        </w:rPr>
        <w:t xml:space="preserve">. </w:t>
      </w:r>
      <w:r w:rsidRPr="00725A44">
        <w:rPr>
          <w:rFonts w:cs="Times New Roman"/>
        </w:rPr>
        <w:t>The median fluorescent intensity for the 23 analytes was obtained for all standards.  Median fluorescence intensity was used to allow for analysis of low abundance analytes</w:t>
      </w:r>
      <w:r w:rsidR="00EC5659">
        <w:rPr>
          <w:rFonts w:cs="Times New Roman"/>
        </w:rPr>
        <w:t xml:space="preserve"> </w:t>
      </w:r>
      <w:r w:rsidRPr="00725A44">
        <w:rPr>
          <w:rFonts w:cs="Times New Roman"/>
          <w:b/>
        </w:rPr>
        <w:fldChar w:fldCharType="begin"/>
      </w:r>
      <w:r w:rsidR="001F4F4C">
        <w:rPr>
          <w:rFonts w:cs="Times New Roman"/>
          <w:b/>
        </w:rPr>
        <w:instrText xml:space="preserve"> ADDIN ZOTERO_ITEM CSL_CITATION {"citationID":"eTzkz4vH","properties":{"formattedCitation":"(6)","plainCitation":"(6)","noteIndex":0},"citationItems":[{"id":543,"uris":["http://zotero.org/users/9218094/items/WT23CTZN"],"itemData":{"id":543,"type":"article-journal","container-title":"Scientific reports","DOI":"10.1038/srep26996","journalAbbreviation":"Scientific reports","page":"26996","title":"The Statistical Value of Raw Fluorescence Signal in Luminex xMAP Based Multiplex Immunoassays","volume":"6","author":[{"family":"Breen","given":"Edmond"},{"family":"Tan","given":"Woei"},{"family":"Khan","given":"Alamgir"}],"issued":{"date-parts":[["2016",5,31]]}}}],"schema":"https://github.com/citation-style-language/schema/raw/master/csl-citation.json"} </w:instrText>
      </w:r>
      <w:r w:rsidRPr="00725A44">
        <w:rPr>
          <w:rFonts w:cs="Times New Roman"/>
          <w:b/>
        </w:rPr>
        <w:fldChar w:fldCharType="separate"/>
      </w:r>
      <w:r w:rsidR="00C07220" w:rsidRPr="00C07220">
        <w:rPr>
          <w:rFonts w:cs="Times New Roman"/>
        </w:rPr>
        <w:t>(6)</w:t>
      </w:r>
      <w:r w:rsidRPr="00725A44">
        <w:rPr>
          <w:rFonts w:cs="Times New Roman"/>
          <w:b/>
        </w:rPr>
        <w:fldChar w:fldCharType="end"/>
      </w:r>
      <w:r w:rsidRPr="00725A44">
        <w:rPr>
          <w:rFonts w:cs="Times New Roman"/>
        </w:rPr>
        <w:t>. Samples with a coefficient of variation greater than 25% were removed from analysis in that assay</w:t>
      </w:r>
      <w:r>
        <w:rPr>
          <w:rFonts w:cs="Times New Roman"/>
        </w:rPr>
        <w:t>.</w:t>
      </w:r>
      <w:r w:rsidRPr="00725A44">
        <w:rPr>
          <w:rFonts w:cs="Times New Roman"/>
        </w:rPr>
        <w:t xml:space="preserve"> </w:t>
      </w:r>
    </w:p>
    <w:p w14:paraId="42ADD636" w14:textId="77777777" w:rsidR="00825425" w:rsidRPr="00FC584E" w:rsidRDefault="00825425" w:rsidP="00C5743F">
      <w:pPr>
        <w:spacing w:before="0" w:after="0"/>
        <w:ind w:firstLine="720"/>
        <w:jc w:val="both"/>
        <w:rPr>
          <w:rFonts w:cs="Times New Roman"/>
        </w:rPr>
      </w:pPr>
    </w:p>
    <w:p w14:paraId="00782BD0" w14:textId="4608067D" w:rsidR="00F37648" w:rsidRPr="00260758" w:rsidRDefault="00023A1D" w:rsidP="00F37648">
      <w:pPr>
        <w:spacing w:before="0" w:after="0"/>
        <w:jc w:val="both"/>
        <w:rPr>
          <w:rFonts w:cs="Times New Roman"/>
          <w:b/>
        </w:rPr>
      </w:pPr>
      <w:r>
        <w:rPr>
          <w:bCs/>
        </w:rPr>
        <w:t xml:space="preserve">Supplementary Methods </w:t>
      </w:r>
      <w:r w:rsidR="00F37648" w:rsidRPr="00260758">
        <w:rPr>
          <w:rFonts w:cs="Times New Roman"/>
        </w:rPr>
        <w:t xml:space="preserve">Table </w:t>
      </w:r>
      <w:r w:rsidR="00D700D4">
        <w:rPr>
          <w:rFonts w:cs="Times New Roman"/>
        </w:rPr>
        <w:t>i</w:t>
      </w:r>
      <w:r w:rsidR="00207E58">
        <w:rPr>
          <w:rFonts w:cs="Times New Roman"/>
        </w:rPr>
        <w:t>v</w:t>
      </w:r>
      <w:r w:rsidR="00F37648" w:rsidRPr="00260758">
        <w:rPr>
          <w:rFonts w:cs="Times New Roman"/>
        </w:rPr>
        <w:t xml:space="preserve">: </w:t>
      </w:r>
      <w:r w:rsidR="00F37648">
        <w:rPr>
          <w:rFonts w:cs="Times New Roman"/>
        </w:rPr>
        <w:t xml:space="preserve">Analytes considered in cytokine multiplex’s </w:t>
      </w:r>
      <w:r w:rsidR="00207E58">
        <w:rPr>
          <w:rFonts w:cs="Times New Roman"/>
        </w:rPr>
        <w:t>analyzing</w:t>
      </w:r>
      <w:r w:rsidR="00F37648">
        <w:rPr>
          <w:rFonts w:cs="Times New Roman"/>
        </w:rPr>
        <w:t xml:space="preserve"> serum collected on postnatal day 7 and postnatal day 21 </w:t>
      </w:r>
    </w:p>
    <w:tbl>
      <w:tblPr>
        <w:tblStyle w:val="TableGrid"/>
        <w:tblW w:w="0" w:type="auto"/>
        <w:tblLook w:val="04A0" w:firstRow="1" w:lastRow="0" w:firstColumn="1" w:lastColumn="0" w:noHBand="0" w:noVBand="1"/>
      </w:tblPr>
      <w:tblGrid>
        <w:gridCol w:w="5946"/>
        <w:gridCol w:w="3064"/>
      </w:tblGrid>
      <w:tr w:rsidR="00F37648" w:rsidRPr="00260758" w14:paraId="06AE2F21" w14:textId="77777777" w:rsidTr="007534D7">
        <w:tc>
          <w:tcPr>
            <w:tcW w:w="5946" w:type="dxa"/>
            <w:tcBorders>
              <w:top w:val="single" w:sz="12" w:space="0" w:color="auto"/>
              <w:left w:val="single" w:sz="6" w:space="0" w:color="FFFFFF" w:themeColor="background1"/>
              <w:bottom w:val="single" w:sz="6" w:space="0" w:color="auto"/>
              <w:right w:val="single" w:sz="6" w:space="0" w:color="FFFFFF" w:themeColor="background1"/>
            </w:tcBorders>
          </w:tcPr>
          <w:p w14:paraId="1D356B9C" w14:textId="77777777" w:rsidR="00F37648" w:rsidRPr="00260758" w:rsidRDefault="00F37648" w:rsidP="007534D7">
            <w:pPr>
              <w:spacing w:before="0" w:after="0"/>
              <w:jc w:val="both"/>
              <w:rPr>
                <w:rFonts w:cs="Times New Roman"/>
                <w:bCs/>
                <w:color w:val="000000" w:themeColor="text1"/>
              </w:rPr>
            </w:pPr>
            <w:r>
              <w:rPr>
                <w:rFonts w:cs="Times New Roman"/>
                <w:bCs/>
                <w:color w:val="000000" w:themeColor="text1"/>
              </w:rPr>
              <w:t>Analyte</w:t>
            </w:r>
          </w:p>
        </w:tc>
        <w:tc>
          <w:tcPr>
            <w:tcW w:w="3064" w:type="dxa"/>
            <w:tcBorders>
              <w:top w:val="single" w:sz="12" w:space="0" w:color="auto"/>
              <w:left w:val="single" w:sz="6" w:space="0" w:color="FFFFFF" w:themeColor="background1"/>
              <w:bottom w:val="single" w:sz="6" w:space="0" w:color="auto"/>
              <w:right w:val="single" w:sz="6" w:space="0" w:color="FFFFFF" w:themeColor="background1"/>
            </w:tcBorders>
          </w:tcPr>
          <w:p w14:paraId="256DF71F" w14:textId="77777777" w:rsidR="00F37648" w:rsidRPr="00260758" w:rsidRDefault="00F37648" w:rsidP="007534D7">
            <w:pPr>
              <w:spacing w:before="0" w:after="0"/>
              <w:jc w:val="both"/>
              <w:rPr>
                <w:rFonts w:cs="Times New Roman"/>
                <w:bCs/>
                <w:color w:val="000000" w:themeColor="text1"/>
              </w:rPr>
            </w:pPr>
            <w:r>
              <w:rPr>
                <w:rFonts w:cs="Times New Roman"/>
                <w:bCs/>
                <w:color w:val="000000" w:themeColor="text1"/>
              </w:rPr>
              <w:t>Function</w:t>
            </w:r>
          </w:p>
        </w:tc>
      </w:tr>
      <w:tr w:rsidR="00F37648" w:rsidRPr="00260758" w14:paraId="0D3AC872" w14:textId="77777777" w:rsidTr="007534D7">
        <w:tc>
          <w:tcPr>
            <w:tcW w:w="5946" w:type="dxa"/>
            <w:tcBorders>
              <w:top w:val="single" w:sz="6" w:space="0" w:color="auto"/>
              <w:left w:val="single" w:sz="6" w:space="0" w:color="FFFFFF" w:themeColor="background1"/>
              <w:bottom w:val="single" w:sz="12" w:space="0" w:color="FFFFFF" w:themeColor="background1"/>
              <w:right w:val="single" w:sz="6" w:space="0" w:color="FFFFFF" w:themeColor="background1"/>
            </w:tcBorders>
          </w:tcPr>
          <w:p w14:paraId="6352AC10" w14:textId="77777777" w:rsidR="00F37648" w:rsidRPr="00260758" w:rsidRDefault="00F37648" w:rsidP="007534D7">
            <w:pPr>
              <w:spacing w:before="0" w:after="0"/>
              <w:jc w:val="both"/>
              <w:rPr>
                <w:rFonts w:cs="Times New Roman"/>
                <w:bCs/>
                <w:color w:val="000000" w:themeColor="text1"/>
              </w:rPr>
            </w:pPr>
            <w:r>
              <w:rPr>
                <w:rFonts w:cs="Times New Roman"/>
                <w:color w:val="2E2E2E"/>
              </w:rPr>
              <w:t>I</w:t>
            </w:r>
            <w:r w:rsidRPr="00725A44">
              <w:rPr>
                <w:rFonts w:cs="Times New Roman"/>
                <w:color w:val="2E2E2E"/>
              </w:rPr>
              <w:t>nterleukin-1α (IL-1α)</w:t>
            </w:r>
          </w:p>
        </w:tc>
        <w:tc>
          <w:tcPr>
            <w:tcW w:w="3064" w:type="dxa"/>
            <w:tcBorders>
              <w:top w:val="single" w:sz="6" w:space="0" w:color="auto"/>
              <w:left w:val="single" w:sz="6" w:space="0" w:color="FFFFFF" w:themeColor="background1"/>
              <w:bottom w:val="single" w:sz="12" w:space="0" w:color="FFFFFF" w:themeColor="background1"/>
              <w:right w:val="single" w:sz="6" w:space="0" w:color="FFFFFF" w:themeColor="background1"/>
            </w:tcBorders>
          </w:tcPr>
          <w:p w14:paraId="759FC44E" w14:textId="77777777" w:rsidR="00F37648" w:rsidRPr="00260758" w:rsidRDefault="00F37648" w:rsidP="007534D7">
            <w:pPr>
              <w:spacing w:before="0" w:after="0"/>
              <w:jc w:val="both"/>
              <w:rPr>
                <w:rFonts w:cs="Times New Roman"/>
                <w:b/>
                <w:color w:val="000000" w:themeColor="text1"/>
              </w:rPr>
            </w:pPr>
            <w:r>
              <w:rPr>
                <w:rFonts w:cs="Times New Roman"/>
                <w:color w:val="000000" w:themeColor="text1"/>
              </w:rPr>
              <w:t>Proinflammatory cytokine</w:t>
            </w:r>
          </w:p>
        </w:tc>
      </w:tr>
      <w:tr w:rsidR="00F37648" w:rsidRPr="00260758" w14:paraId="1BD4064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328644E" w14:textId="77777777" w:rsidR="00F37648" w:rsidRPr="00260758" w:rsidRDefault="00F37648" w:rsidP="007534D7">
            <w:pPr>
              <w:spacing w:before="0" w:after="0"/>
              <w:jc w:val="both"/>
              <w:rPr>
                <w:rFonts w:cs="Times New Roman"/>
                <w:b/>
                <w:color w:val="000000" w:themeColor="text1"/>
              </w:rPr>
            </w:pPr>
            <w:r w:rsidRPr="00725A44">
              <w:rPr>
                <w:rFonts w:cs="Times New Roman"/>
                <w:color w:val="2E2E2E"/>
              </w:rPr>
              <w:t>IL-1β</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5F9CC23A" w14:textId="77777777" w:rsidR="00F37648" w:rsidRPr="00260758" w:rsidRDefault="00F37648" w:rsidP="007534D7">
            <w:pPr>
              <w:spacing w:before="0" w:after="0"/>
              <w:jc w:val="both"/>
              <w:rPr>
                <w:rFonts w:cs="Times New Roman"/>
                <w:b/>
                <w:color w:val="000000" w:themeColor="text1"/>
              </w:rPr>
            </w:pPr>
            <w:r>
              <w:rPr>
                <w:rFonts w:cs="Times New Roman"/>
                <w:color w:val="000000" w:themeColor="text1"/>
              </w:rPr>
              <w:t>Proinflammatory cytokine</w:t>
            </w:r>
          </w:p>
        </w:tc>
      </w:tr>
      <w:tr w:rsidR="00F37648" w:rsidRPr="00260758" w14:paraId="388FFFCD" w14:textId="77777777" w:rsidTr="007534D7">
        <w:tc>
          <w:tcPr>
            <w:tcW w:w="59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000EDFD" w14:textId="77777777" w:rsidR="00F37648" w:rsidRPr="00260758" w:rsidRDefault="00F37648" w:rsidP="007534D7">
            <w:pPr>
              <w:spacing w:before="0" w:after="0"/>
              <w:jc w:val="both"/>
              <w:rPr>
                <w:rFonts w:cs="Times New Roman"/>
                <w:b/>
                <w:color w:val="000000" w:themeColor="text1"/>
              </w:rPr>
            </w:pPr>
            <w:r w:rsidRPr="00725A44">
              <w:rPr>
                <w:rFonts w:cs="Times New Roman"/>
                <w:color w:val="2E2E2E"/>
              </w:rPr>
              <w:t>IL-18</w:t>
            </w:r>
          </w:p>
        </w:tc>
        <w:tc>
          <w:tcPr>
            <w:tcW w:w="306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EB6DED9" w14:textId="77777777" w:rsidR="00F37648" w:rsidRPr="00260758" w:rsidRDefault="00F37648" w:rsidP="007534D7">
            <w:pPr>
              <w:spacing w:before="0" w:after="0"/>
              <w:jc w:val="both"/>
              <w:rPr>
                <w:rFonts w:cs="Times New Roman"/>
                <w:b/>
                <w:color w:val="000000" w:themeColor="text1"/>
              </w:rPr>
            </w:pPr>
            <w:r>
              <w:rPr>
                <w:rFonts w:cs="Times New Roman"/>
                <w:color w:val="000000" w:themeColor="text1"/>
              </w:rPr>
              <w:t>Proinflammatory cytokine</w:t>
            </w:r>
          </w:p>
        </w:tc>
      </w:tr>
      <w:tr w:rsidR="00F37648" w:rsidRPr="00260758" w14:paraId="610CDCE4" w14:textId="77777777" w:rsidTr="007534D7">
        <w:tc>
          <w:tcPr>
            <w:tcW w:w="59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C72A436" w14:textId="77777777" w:rsidR="00F37648" w:rsidRPr="00260758" w:rsidRDefault="00F37648" w:rsidP="007534D7">
            <w:pPr>
              <w:spacing w:before="0" w:after="0"/>
              <w:jc w:val="both"/>
              <w:rPr>
                <w:rFonts w:cs="Times New Roman"/>
                <w:b/>
                <w:color w:val="000000" w:themeColor="text1"/>
              </w:rPr>
            </w:pPr>
            <w:r w:rsidRPr="00725A44">
              <w:rPr>
                <w:rFonts w:cs="Times New Roman"/>
                <w:color w:val="2E2E2E"/>
              </w:rPr>
              <w:t>IL-17a</w:t>
            </w:r>
          </w:p>
        </w:tc>
        <w:tc>
          <w:tcPr>
            <w:tcW w:w="306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127B30" w14:textId="77777777" w:rsidR="00F37648" w:rsidRPr="00260758" w:rsidRDefault="00F37648" w:rsidP="007534D7">
            <w:pPr>
              <w:spacing w:before="0" w:after="0"/>
              <w:jc w:val="both"/>
              <w:rPr>
                <w:rFonts w:cs="Times New Roman"/>
                <w:b/>
                <w:color w:val="000000" w:themeColor="text1"/>
              </w:rPr>
            </w:pPr>
            <w:r>
              <w:rPr>
                <w:rFonts w:cs="Times New Roman"/>
                <w:color w:val="000000" w:themeColor="text1"/>
              </w:rPr>
              <w:t>Proinflammatory cytokine</w:t>
            </w:r>
          </w:p>
        </w:tc>
      </w:tr>
      <w:tr w:rsidR="00F37648" w:rsidRPr="00260758" w14:paraId="6B787E8E" w14:textId="77777777" w:rsidTr="007534D7">
        <w:tc>
          <w:tcPr>
            <w:tcW w:w="5946"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tcPr>
          <w:p w14:paraId="45830BCB" w14:textId="77777777" w:rsidR="00F37648" w:rsidRPr="00260758" w:rsidRDefault="00F37648" w:rsidP="007534D7">
            <w:pPr>
              <w:spacing w:before="0" w:after="0"/>
              <w:jc w:val="both"/>
              <w:rPr>
                <w:rFonts w:cs="Times New Roman"/>
                <w:b/>
                <w:color w:val="000000" w:themeColor="text1"/>
              </w:rPr>
            </w:pPr>
            <w:r>
              <w:rPr>
                <w:rFonts w:cs="Times New Roman"/>
                <w:color w:val="2E2E2E"/>
              </w:rPr>
              <w:t>M</w:t>
            </w:r>
            <w:r w:rsidRPr="00725A44">
              <w:rPr>
                <w:rFonts w:cs="Times New Roman"/>
                <w:color w:val="2E2E2E"/>
              </w:rPr>
              <w:t>acrophage inflammatory protein-1α (MIP-1α)</w:t>
            </w:r>
          </w:p>
        </w:tc>
        <w:tc>
          <w:tcPr>
            <w:tcW w:w="3064"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tcPr>
          <w:p w14:paraId="4F6832FA" w14:textId="3042B42D" w:rsidR="00F37648" w:rsidRPr="00260758" w:rsidRDefault="00F37648" w:rsidP="007534D7">
            <w:pPr>
              <w:spacing w:before="0" w:after="0"/>
              <w:jc w:val="both"/>
              <w:rPr>
                <w:rFonts w:cs="Times New Roman"/>
                <w:b/>
                <w:color w:val="000000" w:themeColor="text1"/>
              </w:rPr>
            </w:pPr>
            <w:r>
              <w:rPr>
                <w:rFonts w:cs="Times New Roman"/>
                <w:color w:val="000000" w:themeColor="text1"/>
              </w:rPr>
              <w:t xml:space="preserve">Proinflammatory </w:t>
            </w:r>
            <w:r w:rsidR="00A52753">
              <w:rPr>
                <w:rFonts w:cs="Times New Roman"/>
                <w:color w:val="000000" w:themeColor="text1"/>
              </w:rPr>
              <w:t>chemokine</w:t>
            </w:r>
          </w:p>
        </w:tc>
      </w:tr>
      <w:tr w:rsidR="00F37648" w:rsidRPr="00260758" w14:paraId="402CB330"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089BF058" w14:textId="77777777" w:rsidR="00F37648" w:rsidRPr="00260758" w:rsidRDefault="00F37648" w:rsidP="007534D7">
            <w:pPr>
              <w:spacing w:before="0" w:after="0"/>
              <w:jc w:val="both"/>
              <w:rPr>
                <w:rFonts w:cs="Times New Roman"/>
                <w:b/>
                <w:color w:val="000000" w:themeColor="text1"/>
              </w:rPr>
            </w:pPr>
            <w:r w:rsidRPr="00725A44">
              <w:rPr>
                <w:rFonts w:cs="Times New Roman"/>
                <w:color w:val="2E2E2E"/>
              </w:rPr>
              <w:t>MIP-3a</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61602307" w14:textId="619FC5A9" w:rsidR="00F37648" w:rsidRPr="00260758" w:rsidRDefault="00F37648" w:rsidP="007534D7">
            <w:pPr>
              <w:spacing w:before="0" w:after="0"/>
              <w:jc w:val="both"/>
              <w:rPr>
                <w:rFonts w:cs="Times New Roman"/>
                <w:b/>
                <w:color w:val="000000" w:themeColor="text1"/>
              </w:rPr>
            </w:pPr>
            <w:r>
              <w:rPr>
                <w:rFonts w:cs="Times New Roman"/>
                <w:color w:val="000000" w:themeColor="text1"/>
              </w:rPr>
              <w:t xml:space="preserve">Proinflammatory </w:t>
            </w:r>
            <w:r w:rsidR="00A52753">
              <w:rPr>
                <w:rFonts w:cs="Times New Roman"/>
                <w:color w:val="000000" w:themeColor="text1"/>
              </w:rPr>
              <w:t>chemokine</w:t>
            </w:r>
          </w:p>
        </w:tc>
      </w:tr>
      <w:tr w:rsidR="00F37648" w:rsidRPr="00260758" w14:paraId="01860986" w14:textId="77777777" w:rsidTr="007534D7">
        <w:tc>
          <w:tcPr>
            <w:tcW w:w="59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DE304A5" w14:textId="77777777" w:rsidR="00F37648" w:rsidRPr="00260758" w:rsidRDefault="00F37648" w:rsidP="007534D7">
            <w:pPr>
              <w:spacing w:before="0" w:after="0"/>
              <w:jc w:val="both"/>
              <w:rPr>
                <w:rFonts w:cs="Times New Roman"/>
                <w:b/>
                <w:color w:val="000000" w:themeColor="text1"/>
              </w:rPr>
            </w:pPr>
            <w:r>
              <w:rPr>
                <w:rFonts w:cs="Times New Roman"/>
                <w:color w:val="2E2E2E"/>
              </w:rPr>
              <w:t>M</w:t>
            </w:r>
            <w:r w:rsidRPr="00725A44">
              <w:rPr>
                <w:rFonts w:cs="Times New Roman"/>
                <w:color w:val="2E2E2E"/>
              </w:rPr>
              <w:t xml:space="preserve">onocyte </w:t>
            </w:r>
            <w:r>
              <w:rPr>
                <w:rFonts w:cs="Times New Roman"/>
                <w:color w:val="2E2E2E"/>
              </w:rPr>
              <w:t>c</w:t>
            </w:r>
            <w:r w:rsidRPr="00725A44">
              <w:rPr>
                <w:rFonts w:cs="Times New Roman"/>
                <w:color w:val="2E2E2E"/>
              </w:rPr>
              <w:t xml:space="preserve">hemoattractant </w:t>
            </w:r>
            <w:r>
              <w:rPr>
                <w:rFonts w:cs="Times New Roman"/>
                <w:color w:val="2E2E2E"/>
              </w:rPr>
              <w:t>p</w:t>
            </w:r>
            <w:r w:rsidRPr="00725A44">
              <w:rPr>
                <w:rFonts w:cs="Times New Roman"/>
                <w:color w:val="2E2E2E"/>
              </w:rPr>
              <w:t>rotein-1 (MCP-1)</w:t>
            </w:r>
          </w:p>
        </w:tc>
        <w:tc>
          <w:tcPr>
            <w:tcW w:w="306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935D700" w14:textId="3AF1B989" w:rsidR="00F37648" w:rsidRPr="00260758" w:rsidRDefault="00F37648" w:rsidP="007534D7">
            <w:pPr>
              <w:spacing w:before="0" w:after="0"/>
              <w:jc w:val="both"/>
              <w:rPr>
                <w:rFonts w:cs="Times New Roman"/>
                <w:b/>
                <w:color w:val="000000" w:themeColor="text1"/>
              </w:rPr>
            </w:pPr>
            <w:r>
              <w:rPr>
                <w:rFonts w:cs="Times New Roman"/>
                <w:color w:val="000000" w:themeColor="text1"/>
              </w:rPr>
              <w:t xml:space="preserve">Proinflammatory </w:t>
            </w:r>
            <w:r w:rsidR="00A52753">
              <w:rPr>
                <w:rFonts w:cs="Times New Roman"/>
                <w:color w:val="000000" w:themeColor="text1"/>
              </w:rPr>
              <w:t>chemokine</w:t>
            </w:r>
          </w:p>
        </w:tc>
      </w:tr>
      <w:tr w:rsidR="00F37648" w:rsidRPr="00260758" w14:paraId="748E7F4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0E280A16" w14:textId="77777777" w:rsidR="00F37648" w:rsidRPr="00260758" w:rsidRDefault="00F37648" w:rsidP="007534D7">
            <w:pPr>
              <w:spacing w:before="0" w:after="0"/>
              <w:jc w:val="both"/>
              <w:rPr>
                <w:rFonts w:cs="Times New Roman"/>
                <w:b/>
                <w:color w:val="000000" w:themeColor="text1"/>
              </w:rPr>
            </w:pPr>
            <w:r>
              <w:rPr>
                <w:rFonts w:cs="Times New Roman"/>
                <w:color w:val="2E2E2E"/>
              </w:rPr>
              <w:t>Interferon gamma (</w:t>
            </w:r>
            <w:r w:rsidRPr="00725A44">
              <w:rPr>
                <w:rFonts w:cs="Times New Roman"/>
                <w:color w:val="2E2E2E"/>
              </w:rPr>
              <w:t>IFN-γ</w:t>
            </w:r>
            <w:r>
              <w:rPr>
                <w:rFonts w:cs="Times New Roman"/>
                <w:color w:val="2E2E2E"/>
              </w:rPr>
              <w:t>)</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3117AE82" w14:textId="77777777" w:rsidR="00F37648" w:rsidRPr="00260758" w:rsidRDefault="00F37648" w:rsidP="007534D7">
            <w:pPr>
              <w:spacing w:before="0" w:after="0"/>
              <w:jc w:val="both"/>
              <w:rPr>
                <w:rFonts w:cs="Times New Roman"/>
                <w:b/>
                <w:color w:val="000000" w:themeColor="text1"/>
              </w:rPr>
            </w:pPr>
            <w:r>
              <w:rPr>
                <w:rFonts w:cs="Times New Roman"/>
                <w:color w:val="000000" w:themeColor="text1"/>
              </w:rPr>
              <w:t>Proinflammatory cytokine</w:t>
            </w:r>
          </w:p>
        </w:tc>
      </w:tr>
      <w:tr w:rsidR="00F37648" w:rsidRPr="00260758" w14:paraId="1D2F32CE"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19B52138" w14:textId="77777777" w:rsidR="00F37648" w:rsidRPr="00725A44" w:rsidRDefault="00F37648" w:rsidP="007534D7">
            <w:pPr>
              <w:spacing w:before="0" w:after="0"/>
              <w:jc w:val="both"/>
              <w:rPr>
                <w:rFonts w:cs="Times New Roman"/>
                <w:b/>
                <w:color w:val="2E2E2E"/>
              </w:rPr>
            </w:pPr>
            <w:proofErr w:type="spellStart"/>
            <w:r>
              <w:rPr>
                <w:rFonts w:cs="Times New Roman"/>
                <w:color w:val="2E2E2E"/>
              </w:rPr>
              <w:t>T</w:t>
            </w:r>
            <w:r w:rsidRPr="00725A44">
              <w:rPr>
                <w:rFonts w:cs="Times New Roman"/>
                <w:color w:val="2E2E2E"/>
              </w:rPr>
              <w:t>umour</w:t>
            </w:r>
            <w:proofErr w:type="spellEnd"/>
            <w:r w:rsidRPr="00725A44">
              <w:rPr>
                <w:rFonts w:cs="Times New Roman"/>
                <w:color w:val="2E2E2E"/>
              </w:rPr>
              <w:t xml:space="preserve"> necrosis factor- α (TNF-α)</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54C8248E" w14:textId="77777777" w:rsidR="00F37648" w:rsidRPr="00A52753" w:rsidRDefault="00F37648" w:rsidP="007534D7">
            <w:pPr>
              <w:spacing w:before="0" w:after="0"/>
              <w:jc w:val="both"/>
              <w:rPr>
                <w:rFonts w:cs="Times New Roman"/>
                <w:b/>
                <w:color w:val="000000" w:themeColor="text1"/>
                <w:vertAlign w:val="superscript"/>
              </w:rPr>
            </w:pPr>
            <w:r>
              <w:rPr>
                <w:rFonts w:cs="Times New Roman"/>
                <w:color w:val="000000" w:themeColor="text1"/>
              </w:rPr>
              <w:t>Proinflammatory cytokine</w:t>
            </w:r>
          </w:p>
        </w:tc>
      </w:tr>
      <w:tr w:rsidR="00A52753" w:rsidRPr="00260758" w14:paraId="25B2B187"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514D4609" w14:textId="3FE193F5" w:rsidR="00A52753" w:rsidRDefault="00A52753" w:rsidP="007534D7">
            <w:pPr>
              <w:spacing w:before="0" w:after="0"/>
              <w:jc w:val="both"/>
              <w:rPr>
                <w:rFonts w:cs="Times New Roman"/>
                <w:color w:val="2E2E2E"/>
              </w:rPr>
            </w:pPr>
            <w:r w:rsidRPr="00725A44">
              <w:rPr>
                <w:rFonts w:cs="Times New Roman"/>
                <w:color w:val="2E2E2E"/>
              </w:rPr>
              <w:t>IL-6</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1C849772" w14:textId="7E3E1D75" w:rsidR="00A52753" w:rsidRDefault="00A52753" w:rsidP="007534D7">
            <w:pPr>
              <w:spacing w:before="0" w:after="0"/>
              <w:jc w:val="both"/>
              <w:rPr>
                <w:rFonts w:cs="Times New Roman"/>
                <w:color w:val="000000" w:themeColor="text1"/>
              </w:rPr>
            </w:pPr>
            <w:r>
              <w:rPr>
                <w:rFonts w:cs="Times New Roman"/>
                <w:color w:val="000000" w:themeColor="text1"/>
              </w:rPr>
              <w:t>Pro and anti-inflammatory cytokine</w:t>
            </w:r>
          </w:p>
        </w:tc>
      </w:tr>
      <w:tr w:rsidR="00F37648" w:rsidRPr="00260758" w14:paraId="7B3E77A1"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36BCCCCC" w14:textId="77777777" w:rsidR="00F37648" w:rsidRPr="00725A44" w:rsidRDefault="00F37648" w:rsidP="007534D7">
            <w:pPr>
              <w:spacing w:before="0" w:after="0"/>
              <w:jc w:val="both"/>
              <w:rPr>
                <w:rFonts w:cs="Times New Roman"/>
                <w:b/>
                <w:color w:val="2E2E2E"/>
              </w:rPr>
            </w:pPr>
            <w:r w:rsidRPr="00725A44">
              <w:rPr>
                <w:rFonts w:cs="Times New Roman"/>
                <w:color w:val="2E2E2E"/>
              </w:rPr>
              <w:lastRenderedPageBreak/>
              <w:t>IL-</w:t>
            </w:r>
            <w:r>
              <w:rPr>
                <w:rFonts w:cs="Times New Roman"/>
                <w:color w:val="2E2E2E"/>
              </w:rPr>
              <w:t>4</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04097E49" w14:textId="77777777" w:rsidR="00F37648" w:rsidRDefault="00F37648" w:rsidP="007534D7">
            <w:pPr>
              <w:spacing w:before="0" w:after="0"/>
              <w:jc w:val="both"/>
              <w:rPr>
                <w:rFonts w:cs="Times New Roman"/>
                <w:b/>
                <w:color w:val="000000" w:themeColor="text1"/>
              </w:rPr>
            </w:pPr>
            <w:r>
              <w:rPr>
                <w:rFonts w:cs="Times New Roman"/>
                <w:color w:val="000000" w:themeColor="text1"/>
              </w:rPr>
              <w:t>Anti-inflammatory cytokine</w:t>
            </w:r>
          </w:p>
        </w:tc>
      </w:tr>
      <w:tr w:rsidR="00F37648" w:rsidRPr="00260758" w14:paraId="2AA28A7C"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68055C6" w14:textId="77777777" w:rsidR="00F37648" w:rsidRPr="00725A44" w:rsidRDefault="00F37648" w:rsidP="007534D7">
            <w:pPr>
              <w:spacing w:before="0" w:after="0"/>
              <w:jc w:val="both"/>
              <w:rPr>
                <w:rFonts w:cs="Times New Roman"/>
                <w:b/>
                <w:color w:val="2E2E2E"/>
              </w:rPr>
            </w:pPr>
            <w:r w:rsidRPr="00725A44">
              <w:rPr>
                <w:rFonts w:cs="Times New Roman"/>
                <w:color w:val="2E2E2E"/>
              </w:rPr>
              <w:t>IL-</w:t>
            </w:r>
            <w:r>
              <w:rPr>
                <w:rFonts w:cs="Times New Roman"/>
                <w:color w:val="2E2E2E"/>
              </w:rPr>
              <w:t>10</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4675131" w14:textId="77777777" w:rsidR="00F37648" w:rsidRDefault="00F37648" w:rsidP="007534D7">
            <w:pPr>
              <w:spacing w:before="0" w:after="0"/>
              <w:jc w:val="both"/>
              <w:rPr>
                <w:rFonts w:cs="Times New Roman"/>
                <w:b/>
                <w:color w:val="000000" w:themeColor="text1"/>
              </w:rPr>
            </w:pPr>
            <w:r>
              <w:rPr>
                <w:rFonts w:cs="Times New Roman"/>
                <w:color w:val="000000" w:themeColor="text1"/>
              </w:rPr>
              <w:t>Anti-inflammatory cytokine</w:t>
            </w:r>
          </w:p>
        </w:tc>
      </w:tr>
      <w:tr w:rsidR="00F37648" w:rsidRPr="00260758" w14:paraId="31462E4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38A78E0A" w14:textId="77777777" w:rsidR="00F37648" w:rsidRPr="00725A44" w:rsidRDefault="00F37648" w:rsidP="007534D7">
            <w:pPr>
              <w:spacing w:before="0" w:after="0"/>
              <w:jc w:val="both"/>
              <w:rPr>
                <w:rFonts w:cs="Times New Roman"/>
                <w:b/>
                <w:color w:val="2E2E2E"/>
              </w:rPr>
            </w:pPr>
            <w:r w:rsidRPr="00725A44">
              <w:rPr>
                <w:rFonts w:cs="Times New Roman"/>
                <w:color w:val="2E2E2E"/>
              </w:rPr>
              <w:t>IL-13</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0F00EB0E" w14:textId="77777777" w:rsidR="00F37648" w:rsidRDefault="00F37648" w:rsidP="007534D7">
            <w:pPr>
              <w:spacing w:before="0" w:after="0"/>
              <w:jc w:val="both"/>
              <w:rPr>
                <w:rFonts w:cs="Times New Roman"/>
                <w:b/>
                <w:color w:val="000000" w:themeColor="text1"/>
              </w:rPr>
            </w:pPr>
            <w:r>
              <w:rPr>
                <w:rFonts w:cs="Times New Roman"/>
                <w:color w:val="000000" w:themeColor="text1"/>
              </w:rPr>
              <w:t>Anti-inflammatory cytokine</w:t>
            </w:r>
          </w:p>
        </w:tc>
      </w:tr>
      <w:tr w:rsidR="00F37648" w:rsidRPr="00260758" w14:paraId="3CFFDCCA"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6C698054" w14:textId="77777777" w:rsidR="00F37648" w:rsidRPr="00725A44" w:rsidRDefault="00F37648" w:rsidP="007534D7">
            <w:pPr>
              <w:spacing w:before="0" w:after="0"/>
              <w:jc w:val="both"/>
              <w:rPr>
                <w:rFonts w:cs="Times New Roman"/>
                <w:b/>
                <w:color w:val="2E2E2E"/>
              </w:rPr>
            </w:pPr>
            <w:r w:rsidRPr="00725A44">
              <w:rPr>
                <w:rFonts w:cs="Times New Roman"/>
                <w:color w:val="2E2E2E"/>
              </w:rPr>
              <w:t>IL-2</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66CF501" w14:textId="435EC26F" w:rsidR="00F37648" w:rsidRDefault="00A52753" w:rsidP="007534D7">
            <w:pPr>
              <w:spacing w:before="0" w:after="0"/>
              <w:jc w:val="both"/>
              <w:rPr>
                <w:rFonts w:cs="Times New Roman"/>
                <w:b/>
                <w:color w:val="000000" w:themeColor="text1"/>
              </w:rPr>
            </w:pPr>
            <w:r>
              <w:rPr>
                <w:rFonts w:cs="Times New Roman"/>
                <w:color w:val="000000" w:themeColor="text1"/>
              </w:rPr>
              <w:t>T</w:t>
            </w:r>
            <w:r w:rsidR="00F37648">
              <w:rPr>
                <w:rFonts w:cs="Times New Roman"/>
                <w:color w:val="000000" w:themeColor="text1"/>
              </w:rPr>
              <w:t xml:space="preserve"> cell</w:t>
            </w:r>
            <w:r>
              <w:rPr>
                <w:rFonts w:cs="Times New Roman"/>
                <w:color w:val="000000" w:themeColor="text1"/>
              </w:rPr>
              <w:t xml:space="preserve"> growth factor</w:t>
            </w:r>
          </w:p>
        </w:tc>
      </w:tr>
      <w:tr w:rsidR="00F37648" w:rsidRPr="00260758" w14:paraId="33199F1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3EC5F86A" w14:textId="77777777" w:rsidR="00F37648" w:rsidRPr="00725A44" w:rsidRDefault="00F37648" w:rsidP="007534D7">
            <w:pPr>
              <w:spacing w:before="0" w:after="0"/>
              <w:jc w:val="both"/>
              <w:rPr>
                <w:rFonts w:cs="Times New Roman"/>
                <w:b/>
                <w:color w:val="2E2E2E"/>
              </w:rPr>
            </w:pPr>
            <w:r w:rsidRPr="00725A44">
              <w:rPr>
                <w:rFonts w:cs="Times New Roman"/>
                <w:color w:val="2E2E2E"/>
              </w:rPr>
              <w:t>IL-5</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4BD7DBD7" w14:textId="52CC0FF0" w:rsidR="00F37648" w:rsidRDefault="00A52753" w:rsidP="007534D7">
            <w:pPr>
              <w:spacing w:before="0" w:after="0"/>
              <w:jc w:val="both"/>
              <w:rPr>
                <w:rFonts w:cs="Times New Roman"/>
                <w:b/>
                <w:color w:val="000000" w:themeColor="text1"/>
              </w:rPr>
            </w:pPr>
            <w:r>
              <w:t>Th2 cytokine</w:t>
            </w:r>
          </w:p>
        </w:tc>
      </w:tr>
      <w:tr w:rsidR="00F37648" w:rsidRPr="00260758" w14:paraId="086C9B4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78F858D1" w14:textId="77777777" w:rsidR="00F37648" w:rsidRPr="00725A44" w:rsidRDefault="00F37648" w:rsidP="007534D7">
            <w:pPr>
              <w:spacing w:before="0" w:after="0"/>
              <w:jc w:val="both"/>
              <w:rPr>
                <w:rFonts w:cs="Times New Roman"/>
                <w:b/>
                <w:color w:val="2E2E2E"/>
              </w:rPr>
            </w:pPr>
            <w:r w:rsidRPr="00725A44">
              <w:rPr>
                <w:rFonts w:cs="Times New Roman"/>
                <w:color w:val="2E2E2E"/>
              </w:rPr>
              <w:t>IL-7</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6A743D9D" w14:textId="1F0AEBCD" w:rsidR="00F37648" w:rsidRDefault="00A52753" w:rsidP="007534D7">
            <w:pPr>
              <w:spacing w:before="0" w:after="0"/>
              <w:jc w:val="both"/>
              <w:rPr>
                <w:rFonts w:cs="Times New Roman"/>
                <w:b/>
                <w:color w:val="000000" w:themeColor="text1"/>
              </w:rPr>
            </w:pPr>
            <w:r>
              <w:rPr>
                <w:rFonts w:cs="Times New Roman"/>
                <w:color w:val="000000" w:themeColor="text1"/>
              </w:rPr>
              <w:t>T cell growth factor</w:t>
            </w:r>
          </w:p>
        </w:tc>
      </w:tr>
      <w:tr w:rsidR="00F37648" w:rsidRPr="00260758" w14:paraId="6CCB9C04"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498D0A0B" w14:textId="77777777" w:rsidR="00F37648" w:rsidRPr="00725A44" w:rsidRDefault="00F37648" w:rsidP="007534D7">
            <w:pPr>
              <w:spacing w:before="0" w:after="0"/>
              <w:jc w:val="both"/>
              <w:rPr>
                <w:rFonts w:cs="Times New Roman"/>
                <w:b/>
                <w:color w:val="2E2E2E"/>
              </w:rPr>
            </w:pPr>
            <w:r>
              <w:rPr>
                <w:rFonts w:cs="Times New Roman"/>
                <w:color w:val="2E2E2E"/>
              </w:rPr>
              <w:t>R</w:t>
            </w:r>
            <w:r w:rsidRPr="00725A44">
              <w:rPr>
                <w:rFonts w:cs="Times New Roman"/>
                <w:color w:val="2E2E2E"/>
              </w:rPr>
              <w:t xml:space="preserve">egulated on </w:t>
            </w:r>
            <w:r>
              <w:rPr>
                <w:rFonts w:cs="Times New Roman"/>
                <w:color w:val="2E2E2E"/>
              </w:rPr>
              <w:t>a</w:t>
            </w:r>
            <w:r w:rsidRPr="00725A44">
              <w:rPr>
                <w:rFonts w:cs="Times New Roman"/>
                <w:color w:val="2E2E2E"/>
              </w:rPr>
              <w:t xml:space="preserve">ctivation </w:t>
            </w:r>
            <w:r>
              <w:rPr>
                <w:rFonts w:cs="Times New Roman"/>
                <w:color w:val="2E2E2E"/>
              </w:rPr>
              <w:t>n</w:t>
            </w:r>
            <w:r w:rsidRPr="00725A44">
              <w:rPr>
                <w:rFonts w:cs="Times New Roman"/>
                <w:color w:val="2E2E2E"/>
              </w:rPr>
              <w:t xml:space="preserve">ormal T cell </w:t>
            </w:r>
            <w:r>
              <w:rPr>
                <w:rFonts w:cs="Times New Roman"/>
                <w:color w:val="2E2E2E"/>
              </w:rPr>
              <w:t>e</w:t>
            </w:r>
            <w:r w:rsidRPr="00725A44">
              <w:rPr>
                <w:rFonts w:cs="Times New Roman"/>
                <w:color w:val="2E2E2E"/>
              </w:rPr>
              <w:t xml:space="preserve">xpressed and </w:t>
            </w:r>
            <w:r>
              <w:rPr>
                <w:rFonts w:cs="Times New Roman"/>
                <w:color w:val="2E2E2E"/>
              </w:rPr>
              <w:t>s</w:t>
            </w:r>
            <w:r w:rsidRPr="00725A44">
              <w:rPr>
                <w:rFonts w:cs="Times New Roman"/>
                <w:color w:val="2E2E2E"/>
              </w:rPr>
              <w:t>ecreted (RANTES)</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42C72462" w14:textId="77777777" w:rsidR="00F37648" w:rsidRDefault="00F37648" w:rsidP="007534D7">
            <w:pPr>
              <w:spacing w:before="0" w:after="0"/>
              <w:jc w:val="both"/>
              <w:rPr>
                <w:rFonts w:cs="Times New Roman"/>
                <w:b/>
                <w:color w:val="000000" w:themeColor="text1"/>
              </w:rPr>
            </w:pPr>
            <w:r>
              <w:rPr>
                <w:rFonts w:cs="Times New Roman"/>
                <w:color w:val="000000" w:themeColor="text1"/>
              </w:rPr>
              <w:t>Chemokine</w:t>
            </w:r>
          </w:p>
        </w:tc>
      </w:tr>
      <w:tr w:rsidR="00F37648" w:rsidRPr="00260758" w14:paraId="5AA382D3"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5A2D2C2E" w14:textId="77777777" w:rsidR="00F37648" w:rsidRPr="00725A44" w:rsidRDefault="00F37648" w:rsidP="007534D7">
            <w:pPr>
              <w:spacing w:before="0" w:after="0"/>
              <w:jc w:val="both"/>
              <w:rPr>
                <w:rFonts w:cs="Times New Roman"/>
                <w:b/>
                <w:color w:val="2E2E2E"/>
              </w:rPr>
            </w:pPr>
            <w:r>
              <w:rPr>
                <w:rFonts w:cs="Times New Roman"/>
                <w:color w:val="2E2E2E"/>
              </w:rPr>
              <w:t>G</w:t>
            </w:r>
            <w:r w:rsidRPr="00725A44">
              <w:rPr>
                <w:rFonts w:cs="Times New Roman"/>
                <w:color w:val="2E2E2E"/>
              </w:rPr>
              <w:t>rowth-related oncogene/keratinocyte derived chemokine (GRO-KC)</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1204BBC0" w14:textId="77777777" w:rsidR="00F37648" w:rsidRDefault="00F37648" w:rsidP="007534D7">
            <w:pPr>
              <w:spacing w:before="0" w:after="0"/>
              <w:jc w:val="both"/>
              <w:rPr>
                <w:rFonts w:cs="Times New Roman"/>
                <w:b/>
                <w:color w:val="000000" w:themeColor="text1"/>
              </w:rPr>
            </w:pPr>
            <w:r>
              <w:rPr>
                <w:rFonts w:cs="Times New Roman"/>
                <w:color w:val="000000" w:themeColor="text1"/>
              </w:rPr>
              <w:t>Chemokine</w:t>
            </w:r>
          </w:p>
        </w:tc>
      </w:tr>
      <w:tr w:rsidR="00F37648" w:rsidRPr="00260758" w14:paraId="776CCCB6"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4DDEBCD5" w14:textId="77777777" w:rsidR="00F37648" w:rsidRDefault="00F37648" w:rsidP="007534D7">
            <w:pPr>
              <w:spacing w:before="0" w:after="0"/>
              <w:jc w:val="both"/>
              <w:rPr>
                <w:rFonts w:cs="Times New Roman"/>
                <w:b/>
                <w:color w:val="2E2E2E"/>
              </w:rPr>
            </w:pPr>
            <w:r w:rsidRPr="00725A44">
              <w:rPr>
                <w:rFonts w:cs="Times New Roman"/>
                <w:color w:val="2E2E2E"/>
              </w:rPr>
              <w:t>Granulocyte-macrophage colony-stimulating factor (GM-CSF)</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74FF0B98" w14:textId="77777777" w:rsidR="00F37648" w:rsidRDefault="00F37648" w:rsidP="007534D7">
            <w:pPr>
              <w:spacing w:before="0" w:after="0"/>
              <w:jc w:val="left"/>
              <w:rPr>
                <w:rFonts w:cs="Times New Roman"/>
                <w:b/>
                <w:color w:val="000000" w:themeColor="text1"/>
              </w:rPr>
            </w:pPr>
            <w:r>
              <w:rPr>
                <w:rFonts w:cs="Times New Roman"/>
                <w:color w:val="000000" w:themeColor="text1"/>
              </w:rPr>
              <w:t>Growth factor/colony stimulating factors</w:t>
            </w:r>
          </w:p>
        </w:tc>
      </w:tr>
      <w:tr w:rsidR="00F37648" w:rsidRPr="00260758" w14:paraId="44A91681"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3F6641F" w14:textId="77777777" w:rsidR="00F37648" w:rsidRDefault="00F37648" w:rsidP="007534D7">
            <w:pPr>
              <w:spacing w:before="0" w:after="0"/>
              <w:jc w:val="both"/>
              <w:rPr>
                <w:rFonts w:cs="Times New Roman"/>
                <w:b/>
                <w:color w:val="2E2E2E"/>
              </w:rPr>
            </w:pPr>
            <w:r w:rsidRPr="00725A44">
              <w:rPr>
                <w:rFonts w:cs="Times New Roman"/>
              </w:rPr>
              <w:t>Macrophage colony-stimulating factor (</w:t>
            </w:r>
            <w:proofErr w:type="spellStart"/>
            <w:r w:rsidRPr="00725A44">
              <w:rPr>
                <w:rFonts w:cs="Times New Roman"/>
              </w:rPr>
              <w:t>mCSF</w:t>
            </w:r>
            <w:proofErr w:type="spellEnd"/>
            <w:r w:rsidRPr="00725A44">
              <w:rPr>
                <w:rFonts w:cs="Times New Roman"/>
              </w:rPr>
              <w:t>)</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3E6BB26F" w14:textId="77777777" w:rsidR="00F37648" w:rsidRDefault="00F37648" w:rsidP="007534D7">
            <w:pPr>
              <w:spacing w:before="0" w:after="0"/>
              <w:jc w:val="left"/>
              <w:rPr>
                <w:rFonts w:cs="Times New Roman"/>
                <w:b/>
                <w:color w:val="000000" w:themeColor="text1"/>
              </w:rPr>
            </w:pPr>
            <w:r>
              <w:rPr>
                <w:rFonts w:cs="Times New Roman"/>
                <w:color w:val="000000" w:themeColor="text1"/>
              </w:rPr>
              <w:t>Growth factor/colony stimulating factors</w:t>
            </w:r>
          </w:p>
        </w:tc>
      </w:tr>
      <w:tr w:rsidR="00F37648" w:rsidRPr="00260758" w14:paraId="0E9C500C"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5D125F6" w14:textId="77777777" w:rsidR="00F37648" w:rsidRPr="00725A44" w:rsidRDefault="00F37648" w:rsidP="007534D7">
            <w:pPr>
              <w:spacing w:before="0" w:after="0"/>
              <w:jc w:val="both"/>
              <w:rPr>
                <w:rFonts w:cs="Times New Roman"/>
                <w:b/>
              </w:rPr>
            </w:pPr>
            <w:r>
              <w:rPr>
                <w:rFonts w:cs="Times New Roman"/>
                <w:color w:val="2E2E2E"/>
              </w:rPr>
              <w:t>V</w:t>
            </w:r>
            <w:r w:rsidRPr="00725A44">
              <w:rPr>
                <w:rFonts w:cs="Times New Roman"/>
                <w:color w:val="2E2E2E"/>
              </w:rPr>
              <w:t>ascular endothelial growth factor (VEGF)</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63AA12B3" w14:textId="77777777" w:rsidR="00F37648" w:rsidRDefault="00F37648" w:rsidP="007534D7">
            <w:pPr>
              <w:spacing w:before="0" w:after="0"/>
              <w:jc w:val="left"/>
              <w:rPr>
                <w:rFonts w:cs="Times New Roman"/>
                <w:b/>
                <w:color w:val="000000" w:themeColor="text1"/>
              </w:rPr>
            </w:pPr>
            <w:r>
              <w:rPr>
                <w:rFonts w:cs="Times New Roman"/>
                <w:color w:val="000000" w:themeColor="text1"/>
              </w:rPr>
              <w:t>Growth factor/colony stimulating factors</w:t>
            </w:r>
          </w:p>
        </w:tc>
      </w:tr>
      <w:tr w:rsidR="00F37648" w:rsidRPr="00260758" w14:paraId="1F3B0211" w14:textId="77777777" w:rsidTr="007534D7">
        <w:tc>
          <w:tcPr>
            <w:tcW w:w="5946"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1DB788DF" w14:textId="77777777" w:rsidR="00F37648" w:rsidRPr="00725A44" w:rsidRDefault="00F37648" w:rsidP="007534D7">
            <w:pPr>
              <w:spacing w:before="0" w:after="0"/>
              <w:jc w:val="both"/>
              <w:rPr>
                <w:rFonts w:cs="Times New Roman"/>
                <w:b/>
              </w:rPr>
            </w:pPr>
            <w:r w:rsidRPr="00725A44">
              <w:rPr>
                <w:rFonts w:cs="Times New Roman"/>
                <w:color w:val="2E2E2E"/>
              </w:rPr>
              <w:t>IL-12p70</w:t>
            </w:r>
          </w:p>
        </w:tc>
        <w:tc>
          <w:tcPr>
            <w:tcW w:w="306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tcPr>
          <w:p w14:paraId="250A8271" w14:textId="77777777" w:rsidR="00F37648" w:rsidRDefault="00F37648" w:rsidP="007534D7">
            <w:pPr>
              <w:spacing w:before="0" w:after="0"/>
              <w:jc w:val="both"/>
              <w:rPr>
                <w:rFonts w:cs="Times New Roman"/>
                <w:b/>
                <w:color w:val="000000" w:themeColor="text1"/>
              </w:rPr>
            </w:pPr>
            <w:r>
              <w:rPr>
                <w:rFonts w:cs="Times New Roman"/>
                <w:color w:val="000000" w:themeColor="text1"/>
              </w:rPr>
              <w:t>Adaptive immunity</w:t>
            </w:r>
          </w:p>
        </w:tc>
      </w:tr>
      <w:tr w:rsidR="00F37648" w14:paraId="7A3AF7D2" w14:textId="77777777" w:rsidTr="007534D7">
        <w:trPr>
          <w:trHeight w:val="53"/>
        </w:trPr>
        <w:tc>
          <w:tcPr>
            <w:tcW w:w="5946" w:type="dxa"/>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35CB17EC" w14:textId="77777777" w:rsidR="00F37648" w:rsidRPr="00260758" w:rsidRDefault="00F37648" w:rsidP="007534D7">
            <w:pPr>
              <w:spacing w:before="0" w:after="0"/>
              <w:jc w:val="both"/>
              <w:rPr>
                <w:rFonts w:cs="Times New Roman"/>
                <w:b/>
                <w:color w:val="000000" w:themeColor="text1"/>
              </w:rPr>
            </w:pPr>
          </w:p>
        </w:tc>
        <w:tc>
          <w:tcPr>
            <w:tcW w:w="3064" w:type="dxa"/>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4B619917" w14:textId="77777777" w:rsidR="00F37648" w:rsidRPr="00456A0F" w:rsidRDefault="00F37648" w:rsidP="007534D7">
            <w:pPr>
              <w:spacing w:before="0" w:after="0"/>
              <w:jc w:val="both"/>
              <w:rPr>
                <w:rFonts w:cs="Times New Roman"/>
                <w:b/>
                <w:color w:val="000000" w:themeColor="text1"/>
              </w:rPr>
            </w:pPr>
          </w:p>
        </w:tc>
      </w:tr>
    </w:tbl>
    <w:p w14:paraId="600436E6" w14:textId="77777777" w:rsidR="00207E58" w:rsidRDefault="00207E58" w:rsidP="00260758">
      <w:pPr>
        <w:keepNext/>
        <w:keepLines/>
        <w:spacing w:after="0" w:line="276" w:lineRule="auto"/>
        <w:jc w:val="left"/>
        <w:outlineLvl w:val="0"/>
        <w:rPr>
          <w:rFonts w:eastAsiaTheme="majorEastAsia" w:cs="Times New Roman"/>
          <w:b/>
          <w:bCs/>
          <w:color w:val="000000" w:themeColor="text1"/>
        </w:rPr>
      </w:pPr>
    </w:p>
    <w:p w14:paraId="6066269C" w14:textId="1FAD2733" w:rsidR="0001185C" w:rsidRDefault="0001185C" w:rsidP="00B1733F">
      <w:pPr>
        <w:spacing w:before="0" w:after="0"/>
        <w:jc w:val="both"/>
        <w:rPr>
          <w:rFonts w:eastAsiaTheme="majorEastAsia" w:cstheme="majorBidi"/>
          <w:bCs/>
          <w:i/>
          <w:iCs/>
          <w:color w:val="000000" w:themeColor="text1"/>
        </w:rPr>
      </w:pPr>
      <w:r>
        <w:rPr>
          <w:rFonts w:eastAsiaTheme="majorEastAsia" w:cstheme="majorBidi"/>
          <w:bCs/>
          <w:i/>
          <w:iCs/>
          <w:color w:val="000000" w:themeColor="text1"/>
        </w:rPr>
        <w:t>Supplementary Methods vi: Microbiome Analysis</w:t>
      </w:r>
    </w:p>
    <w:p w14:paraId="2D3ACF90" w14:textId="3133B6AF" w:rsidR="00731E0C" w:rsidRPr="00F97C90" w:rsidRDefault="00731E0C" w:rsidP="00731E0C">
      <w:pPr>
        <w:spacing w:before="0" w:after="0"/>
        <w:jc w:val="both"/>
        <w:rPr>
          <w:rFonts w:cs="Times New Roman"/>
          <w:b/>
          <w:bCs/>
          <w:iCs/>
          <w:color w:val="000000" w:themeColor="text1"/>
        </w:rPr>
      </w:pPr>
      <w:r w:rsidRPr="00F97C90">
        <w:rPr>
          <w:rFonts w:cs="Times New Roman"/>
          <w:bCs/>
          <w:color w:val="000000" w:themeColor="text1"/>
        </w:rPr>
        <w:t>Sequencing adaptors and low-quality sequences (</w:t>
      </w:r>
      <w:proofErr w:type="spellStart"/>
      <w:r w:rsidRPr="00F97C90">
        <w:rPr>
          <w:rFonts w:cs="Times New Roman"/>
          <w:bCs/>
          <w:color w:val="000000" w:themeColor="text1"/>
        </w:rPr>
        <w:t>phred</w:t>
      </w:r>
      <w:proofErr w:type="spellEnd"/>
      <w:r w:rsidRPr="00F97C90">
        <w:rPr>
          <w:rFonts w:cs="Times New Roman"/>
          <w:bCs/>
          <w:color w:val="000000" w:themeColor="text1"/>
        </w:rPr>
        <w:t xml:space="preserve"> quality ³ &gt;20) were trimmed using </w:t>
      </w:r>
      <w:proofErr w:type="spellStart"/>
      <w:r w:rsidRPr="00F97C90">
        <w:rPr>
          <w:rFonts w:cs="Times New Roman"/>
          <w:bCs/>
          <w:color w:val="000000" w:themeColor="text1"/>
        </w:rPr>
        <w:t>fastp</w:t>
      </w:r>
      <w:proofErr w:type="spellEnd"/>
      <w:r w:rsidRPr="00F97C90">
        <w:rPr>
          <w:rFonts w:cs="Times New Roman"/>
          <w:bCs/>
          <w:color w:val="000000" w:themeColor="text1"/>
        </w:rPr>
        <w:t xml:space="preserve"> v0.20.0 </w:t>
      </w:r>
      <w:r w:rsidRPr="00F97C90">
        <w:rPr>
          <w:rFonts w:cs="Times New Roman"/>
          <w:b/>
          <w:bCs/>
          <w:color w:val="000000" w:themeColor="text1"/>
        </w:rPr>
        <w:fldChar w:fldCharType="begin"/>
      </w:r>
      <w:r w:rsidR="001F4F4C">
        <w:rPr>
          <w:rFonts w:cs="Times New Roman"/>
          <w:bCs/>
          <w:color w:val="000000" w:themeColor="text1"/>
        </w:rPr>
        <w:instrText xml:space="preserve"> ADDIN ZOTERO_ITEM CSL_CITATION {"citationID":"Iw1r3Da1","properties":{"formattedCitation":"(7)","plainCitation":"(7)","noteIndex":0},"citationItems":[{"id":896,"uris":["http://zotero.org/users/9218094/items/R2633IA2"],"itemData":{"id":896,"type":"article-journal","abstract":"A large amount of sequencing data is generated and processed every day with the continuous evolution of sequencing technology and the expansion of sequencing applications. One consequence of such sequencing data explosion is the increasing cost and complexity of data processing. The preprocessing of FASTQ data, which means removing adapter contamination, filtering low-quality reads, and correcting wrongly represented bases, is an indispensable but resource intensive part of sequencing data analysis. Therefore, although a lot of software applications have been developed to solve this problem, bioinformatics scientists and engineers are still pursuing faster, simpler, and more energy-efficient software. Several years ago, the author developed fastp, which is an ultrafast all-in-one FASTQ data preprocessor with many modern features. This software has been approved by many bioinformatics users and has been continuously maintained and updated. Since the first publication on fastp, it has been greatly improved, making it even faster and more powerful. For instance, the duplication evaluation module has been improved, and a new deduplication module has been added. This study aimed to introduce the new features of fastp and demonstrate how it was designed and implemented.","container-title":"iMeta","DOI":"10.1002/imt2.107","ISSN":"2770-596X","issue":"2","language":"en","license":"© 2023 The Authors. iMeta published by John Wiley &amp; Sons Australia, Ltd on behalf of iMeta Science.","note":"_eprint: https://onlinelibrary.wiley.com/doi/pdf/10.1002/imt2.107","page":"e107","source":"Wiley Online Library","title":"Ultrafast one-pass FASTQ data preprocessing, quality control, and deduplication using fastp","volume":"2","author":[{"family":"Chen","given":"Shifu"}],"issued":{"date-parts":[["2023"]]}}}],"schema":"https://github.com/citation-style-language/schema/raw/master/csl-citation.json"} </w:instrText>
      </w:r>
      <w:r w:rsidRPr="00F97C90">
        <w:rPr>
          <w:rFonts w:cs="Times New Roman"/>
          <w:b/>
          <w:bCs/>
          <w:color w:val="000000" w:themeColor="text1"/>
        </w:rPr>
        <w:fldChar w:fldCharType="separate"/>
      </w:r>
      <w:r w:rsidR="001F4F4C">
        <w:rPr>
          <w:rFonts w:cs="Times New Roman"/>
          <w:bCs/>
          <w:color w:val="000000" w:themeColor="text1"/>
        </w:rPr>
        <w:t>(7)</w:t>
      </w:r>
      <w:r w:rsidRPr="00F97C90">
        <w:rPr>
          <w:rFonts w:cs="Times New Roman"/>
          <w:b/>
          <w:bCs/>
          <w:color w:val="000000" w:themeColor="text1"/>
        </w:rPr>
        <w:fldChar w:fldCharType="end"/>
      </w:r>
      <w:r w:rsidRPr="00F97C90">
        <w:rPr>
          <w:rFonts w:cs="Times New Roman"/>
          <w:bCs/>
          <w:color w:val="000000" w:themeColor="text1"/>
        </w:rPr>
        <w:t xml:space="preserve">. </w:t>
      </w:r>
      <w:proofErr w:type="spellStart"/>
      <w:r w:rsidRPr="00F97C90">
        <w:rPr>
          <w:rFonts w:cs="Times New Roman"/>
          <w:bCs/>
          <w:color w:val="000000" w:themeColor="text1"/>
        </w:rPr>
        <w:t>PolyG</w:t>
      </w:r>
      <w:proofErr w:type="spellEnd"/>
      <w:r w:rsidRPr="00F97C90">
        <w:rPr>
          <w:rFonts w:cs="Times New Roman"/>
          <w:bCs/>
          <w:color w:val="000000" w:themeColor="text1"/>
        </w:rPr>
        <w:t xml:space="preserve"> tail trimming and base correction by overlap analysis was also performed using </w:t>
      </w:r>
      <w:proofErr w:type="spellStart"/>
      <w:r w:rsidRPr="00F97C90">
        <w:rPr>
          <w:rFonts w:cs="Times New Roman"/>
          <w:bCs/>
          <w:color w:val="000000" w:themeColor="text1"/>
        </w:rPr>
        <w:t>fastp</w:t>
      </w:r>
      <w:proofErr w:type="spellEnd"/>
      <w:r w:rsidRPr="00F97C90">
        <w:rPr>
          <w:rFonts w:cs="Times New Roman"/>
          <w:bCs/>
          <w:color w:val="000000" w:themeColor="text1"/>
        </w:rPr>
        <w:t xml:space="preserve"> with options --</w:t>
      </w:r>
      <w:proofErr w:type="spellStart"/>
      <w:r w:rsidRPr="00F97C90">
        <w:rPr>
          <w:rFonts w:cs="Times New Roman"/>
          <w:bCs/>
          <w:color w:val="000000" w:themeColor="text1"/>
        </w:rPr>
        <w:t>trim_poly_g</w:t>
      </w:r>
      <w:proofErr w:type="spellEnd"/>
      <w:r w:rsidRPr="00F97C90">
        <w:rPr>
          <w:rFonts w:cs="Times New Roman"/>
          <w:bCs/>
          <w:color w:val="000000" w:themeColor="text1"/>
        </w:rPr>
        <w:t xml:space="preserve"> and --correction, respectively. Tr Sequencing adaptors and low-quality sequences (</w:t>
      </w:r>
      <w:proofErr w:type="spellStart"/>
      <w:r w:rsidRPr="00F97C90">
        <w:rPr>
          <w:rFonts w:cs="Times New Roman"/>
          <w:bCs/>
          <w:color w:val="000000" w:themeColor="text1"/>
        </w:rPr>
        <w:t>phred</w:t>
      </w:r>
      <w:proofErr w:type="spellEnd"/>
      <w:r w:rsidRPr="00F97C90">
        <w:rPr>
          <w:rFonts w:cs="Times New Roman"/>
          <w:bCs/>
          <w:color w:val="000000" w:themeColor="text1"/>
        </w:rPr>
        <w:t xml:space="preserve"> quality ³ &gt;20) were trimmed using </w:t>
      </w:r>
      <w:proofErr w:type="spellStart"/>
      <w:r w:rsidRPr="00F97C90">
        <w:rPr>
          <w:rFonts w:cs="Times New Roman"/>
          <w:bCs/>
          <w:color w:val="000000" w:themeColor="text1"/>
        </w:rPr>
        <w:t>fastp</w:t>
      </w:r>
      <w:proofErr w:type="spellEnd"/>
      <w:r w:rsidRPr="00F97C90">
        <w:rPr>
          <w:rFonts w:cs="Times New Roman"/>
          <w:bCs/>
          <w:color w:val="000000" w:themeColor="text1"/>
        </w:rPr>
        <w:t xml:space="preserve"> v0.20.0 </w:t>
      </w:r>
      <w:r w:rsidRPr="00F97C90">
        <w:rPr>
          <w:rFonts w:cs="Times New Roman"/>
          <w:b/>
          <w:bCs/>
          <w:color w:val="000000" w:themeColor="text1"/>
        </w:rPr>
        <w:fldChar w:fldCharType="begin"/>
      </w:r>
      <w:r w:rsidR="001F4F4C">
        <w:rPr>
          <w:rFonts w:cs="Times New Roman"/>
          <w:bCs/>
          <w:color w:val="000000" w:themeColor="text1"/>
        </w:rPr>
        <w:instrText xml:space="preserve"> ADDIN ZOTERO_ITEM CSL_CITATION {"citationID":"gJH6ugcJ","properties":{"formattedCitation":"(7)","plainCitation":"(7)","noteIndex":0},"citationItems":[{"id":896,"uris":["http://zotero.org/users/9218094/items/R2633IA2"],"itemData":{"id":896,"type":"article-journal","abstract":"A large amount of sequencing data is generated and processed every day with the continuous evolution of sequencing technology and the expansion of sequencing applications. One consequence of such sequencing data explosion is the increasing cost and complexity of data processing. The preprocessing of FASTQ data, which means removing adapter contamination, filtering low-quality reads, and correcting wrongly represented bases, is an indispensable but resource intensive part of sequencing data analysis. Therefore, although a lot of software applications have been developed to solve this problem, bioinformatics scientists and engineers are still pursuing faster, simpler, and more energy-efficient software. Several years ago, the author developed fastp, which is an ultrafast all-in-one FASTQ data preprocessor with many modern features. This software has been approved by many bioinformatics users and has been continuously maintained and updated. Since the first publication on fastp, it has been greatly improved, making it even faster and more powerful. For instance, the duplication evaluation module has been improved, and a new deduplication module has been added. This study aimed to introduce the new features of fastp and demonstrate how it was designed and implemented.","container-title":"iMeta","DOI":"10.1002/imt2.107","ISSN":"2770-596X","issue":"2","language":"en","license":"© 2023 The Authors. iMeta published by John Wiley &amp; Sons Australia, Ltd on behalf of iMeta Science.","note":"_eprint: https://onlinelibrary.wiley.com/doi/pdf/10.1002/imt2.107","page":"e107","source":"Wiley Online Library","title":"Ultrafast one-pass FASTQ data preprocessing, quality control, and deduplication using fastp","volume":"2","author":[{"family":"Chen","given":"Shifu"}],"issued":{"date-parts":[["2023"]]}}}],"schema":"https://github.com/citation-style-language/schema/raw/master/csl-citation.json"} </w:instrText>
      </w:r>
      <w:r w:rsidRPr="00F97C90">
        <w:rPr>
          <w:rFonts w:cs="Times New Roman"/>
          <w:b/>
          <w:bCs/>
          <w:color w:val="000000" w:themeColor="text1"/>
        </w:rPr>
        <w:fldChar w:fldCharType="separate"/>
      </w:r>
      <w:r w:rsidR="001F4F4C">
        <w:rPr>
          <w:rFonts w:cs="Times New Roman"/>
          <w:bCs/>
          <w:color w:val="000000" w:themeColor="text1"/>
        </w:rPr>
        <w:t>(7)</w:t>
      </w:r>
      <w:r w:rsidRPr="00F97C90">
        <w:rPr>
          <w:rFonts w:cs="Times New Roman"/>
          <w:b/>
          <w:bCs/>
          <w:color w:val="000000" w:themeColor="text1"/>
        </w:rPr>
        <w:fldChar w:fldCharType="end"/>
      </w:r>
      <w:r w:rsidRPr="00F97C90">
        <w:rPr>
          <w:rFonts w:cs="Times New Roman"/>
          <w:bCs/>
          <w:color w:val="000000" w:themeColor="text1"/>
        </w:rPr>
        <w:t>.</w:t>
      </w:r>
      <w:proofErr w:type="spellStart"/>
      <w:r w:rsidRPr="00F97C90">
        <w:rPr>
          <w:rFonts w:cs="Times New Roman"/>
          <w:bCs/>
          <w:color w:val="000000" w:themeColor="text1"/>
        </w:rPr>
        <w:t>immed</w:t>
      </w:r>
      <w:proofErr w:type="spellEnd"/>
      <w:r w:rsidRPr="00F97C90">
        <w:rPr>
          <w:rFonts w:cs="Times New Roman"/>
          <w:bCs/>
          <w:color w:val="000000" w:themeColor="text1"/>
        </w:rPr>
        <w:t xml:space="preserve"> reads were mapped to the rat genome (GRCr8) using bowtie2 v2.5.2 </w:t>
      </w:r>
      <w:r w:rsidRPr="00F97C90">
        <w:rPr>
          <w:rFonts w:cs="Times New Roman"/>
          <w:b/>
          <w:bCs/>
          <w:color w:val="000000" w:themeColor="text1"/>
        </w:rPr>
        <w:fldChar w:fldCharType="begin"/>
      </w:r>
      <w:r w:rsidR="001F4F4C">
        <w:rPr>
          <w:rFonts w:cs="Times New Roman"/>
          <w:bCs/>
          <w:color w:val="000000" w:themeColor="text1"/>
        </w:rPr>
        <w:instrText xml:space="preserve"> ADDIN ZOTERO_ITEM CSL_CITATION {"citationID":"jhzWTQXr","properties":{"formattedCitation":"(8)","plainCitation":"(8)","noteIndex":0},"citationItems":[{"id":885,"uris":["http://zotero.org/users/9218094/items/TQGFRXA3"],"itemData":{"id":885,"type":"article-journal","abstract":"As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accuracy.","container-title":"Nature methods","DOI":"10.1038/nmeth.1923","ISSN":"1548-7091","issue":"4","journalAbbreviation":"Nat Methods","note":"PMID: 22388286\nPMCID: PMC3322381","page":"357-359","source":"PubMed Central","title":"Fast gapped-read alignment with Bowtie 2","volume":"9","author":[{"family":"Langmead","given":"Ben"},{"family":"Salzberg","given":"Steven L"}],"issued":{"date-parts":[["2012",3,4]]}}}],"schema":"https://github.com/citation-style-language/schema/raw/master/csl-citation.json"} </w:instrText>
      </w:r>
      <w:r w:rsidRPr="00F97C90">
        <w:rPr>
          <w:rFonts w:cs="Times New Roman"/>
          <w:b/>
          <w:bCs/>
          <w:color w:val="000000" w:themeColor="text1"/>
        </w:rPr>
        <w:fldChar w:fldCharType="separate"/>
      </w:r>
      <w:r w:rsidR="001F4F4C">
        <w:rPr>
          <w:rFonts w:cs="Times New Roman"/>
          <w:bCs/>
          <w:color w:val="000000" w:themeColor="text1"/>
        </w:rPr>
        <w:t>(8)</w:t>
      </w:r>
      <w:r w:rsidRPr="00F97C90">
        <w:rPr>
          <w:rFonts w:cs="Times New Roman"/>
          <w:b/>
          <w:bCs/>
          <w:color w:val="000000" w:themeColor="text1"/>
        </w:rPr>
        <w:fldChar w:fldCharType="end"/>
      </w:r>
      <w:r w:rsidRPr="00F97C90">
        <w:rPr>
          <w:rFonts w:cs="Times New Roman"/>
          <w:bCs/>
          <w:color w:val="000000" w:themeColor="text1"/>
        </w:rPr>
        <w:t xml:space="preserve"> and the unmapped paired-end reads were extracted using </w:t>
      </w:r>
      <w:proofErr w:type="spellStart"/>
      <w:r w:rsidRPr="00F97C90">
        <w:rPr>
          <w:rFonts w:cs="Times New Roman"/>
          <w:bCs/>
          <w:color w:val="000000" w:themeColor="text1"/>
        </w:rPr>
        <w:t>samtools</w:t>
      </w:r>
      <w:proofErr w:type="spellEnd"/>
      <w:r w:rsidRPr="00F97C90">
        <w:rPr>
          <w:rFonts w:cs="Times New Roman"/>
          <w:bCs/>
          <w:color w:val="000000" w:themeColor="text1"/>
        </w:rPr>
        <w:t xml:space="preserve"> v1.19.2 </w:t>
      </w:r>
      <w:r w:rsidRPr="00F97C90">
        <w:rPr>
          <w:rFonts w:cs="Times New Roman"/>
          <w:b/>
          <w:bCs/>
          <w:color w:val="000000" w:themeColor="text1"/>
        </w:rPr>
        <w:fldChar w:fldCharType="begin"/>
      </w:r>
      <w:r w:rsidR="001F4F4C">
        <w:rPr>
          <w:rFonts w:cs="Times New Roman"/>
          <w:bCs/>
          <w:color w:val="000000" w:themeColor="text1"/>
        </w:rPr>
        <w:instrText xml:space="preserve"> ADDIN ZOTERO_ITEM CSL_CITATION {"citationID":"OiezilJx","properties":{"formattedCitation":"(9)","plainCitation":"(9)","noteIndex":0},"citationItems":[{"id":894,"uris":["http://zotero.org/users/9218094/items/B7W9CSVR"],"itemData":{"id":894,"type":"article-journal","abstract":"SUMMARY: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alignments.\nAVAILABILITY: http://samtools.sourceforge.net.","container-title":"Bioinformatics (Oxford, England)","DOI":"10.1093/bioinformatics/btp352","ISSN":"1367-4811","issue":"16","journalAbbreviation":"Bioinformatics","language":"eng","note":"PMID: 19505943\nPMCID: PMC2723002","page":"2078-2079","source":"PubMed","title":"The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Pr="00F97C90">
        <w:rPr>
          <w:rFonts w:cs="Times New Roman"/>
          <w:b/>
          <w:bCs/>
          <w:color w:val="000000" w:themeColor="text1"/>
        </w:rPr>
        <w:fldChar w:fldCharType="separate"/>
      </w:r>
      <w:r w:rsidR="001F4F4C">
        <w:rPr>
          <w:rFonts w:cs="Times New Roman"/>
          <w:bCs/>
          <w:color w:val="000000" w:themeColor="text1"/>
        </w:rPr>
        <w:t>(9)</w:t>
      </w:r>
      <w:r w:rsidRPr="00F97C90">
        <w:rPr>
          <w:rFonts w:cs="Times New Roman"/>
          <w:b/>
          <w:bCs/>
          <w:color w:val="000000" w:themeColor="text1"/>
        </w:rPr>
        <w:fldChar w:fldCharType="end"/>
      </w:r>
      <w:r w:rsidRPr="00F97C90">
        <w:rPr>
          <w:rFonts w:cs="Times New Roman"/>
          <w:bCs/>
          <w:color w:val="000000" w:themeColor="text1"/>
        </w:rPr>
        <w:t xml:space="preserve">. Cleaned non-host reads were used in taxonomic and function profiling. </w:t>
      </w:r>
    </w:p>
    <w:p w14:paraId="44399277" w14:textId="11D6AB0C" w:rsidR="00731E0C" w:rsidRDefault="00731E0C" w:rsidP="00731E0C">
      <w:pPr>
        <w:spacing w:before="0" w:after="0"/>
        <w:ind w:firstLine="720"/>
        <w:jc w:val="both"/>
        <w:rPr>
          <w:rFonts w:cs="Times New Roman"/>
          <w:bCs/>
          <w:iCs/>
          <w:color w:val="000000" w:themeColor="text1"/>
        </w:rPr>
      </w:pPr>
      <w:r w:rsidRPr="00F97C90">
        <w:rPr>
          <w:rFonts w:cs="Times New Roman"/>
          <w:bCs/>
          <w:iCs/>
          <w:color w:val="000000" w:themeColor="text1"/>
        </w:rPr>
        <w:t xml:space="preserve">Functional profiling was conducted with </w:t>
      </w:r>
      <w:proofErr w:type="spellStart"/>
      <w:r w:rsidRPr="00F97C90">
        <w:rPr>
          <w:rFonts w:cs="Times New Roman"/>
          <w:bCs/>
          <w:iCs/>
          <w:color w:val="000000" w:themeColor="text1"/>
        </w:rPr>
        <w:t>HUMAnN</w:t>
      </w:r>
      <w:proofErr w:type="spellEnd"/>
      <w:r w:rsidRPr="00F97C90">
        <w:rPr>
          <w:rFonts w:cs="Times New Roman"/>
          <w:bCs/>
          <w:iCs/>
          <w:color w:val="000000" w:themeColor="text1"/>
        </w:rPr>
        <w:t xml:space="preserve"> 3.0 </w:t>
      </w:r>
      <w:r w:rsidRPr="00F97C90">
        <w:rPr>
          <w:rFonts w:cs="Times New Roman"/>
          <w:b/>
          <w:bCs/>
          <w:iCs/>
          <w:color w:val="000000" w:themeColor="text1"/>
        </w:rPr>
        <w:fldChar w:fldCharType="begin"/>
      </w:r>
      <w:r w:rsidR="001F4F4C">
        <w:rPr>
          <w:rFonts w:cs="Times New Roman"/>
          <w:bCs/>
          <w:iCs/>
          <w:color w:val="000000" w:themeColor="text1"/>
        </w:rPr>
        <w:instrText xml:space="preserve"> ADDIN ZOTERO_ITEM CSL_CITATION {"citationID":"gmqd35Od","properties":{"formattedCitation":"(10)","plainCitation":"(10)","noteIndex":0},"citationItems":[{"id":"kTDCv1Hi/7rPx3q9Q","uris":["http://zotero.org/users/9218094/items/KFKGLJ8H"],"itemData":{"id":1768,"type":"article-journal","abstract":"Culture-independent analyses of microbial communities have progressed dramatically in the last decade, particularly due to advances in methods for biological profiling via shotgun metagenomics. Opportunities for improvement continue to accelerate, with greater access to multi-omics, microbial reference genomes, and strain-level diversity. To leverage these, we present bioBakery 3, a set of integrated, improved methods for taxonomic, strain-level, functional, and phylogenetic profiling of metagenomes newly developed to build on the largest set of reference sequences now available. Compared to current alternatives, MetaPhlAn 3 increases the accuracy of taxonomic profiling, and HUMAnN 3 improves that of functional potential and activity. These methods detected novel disease-microbiome links in applications to CRC (1262 metagenomes) and IBD (1635 metagenomes and 817 metatranscriptomes). Strain-level profiling of an additional 4077 metagenomes with StrainPhlAn 3 and PanPhlAn 3 unraveled the phylogenetic and functional structure of the common gut microbe Ruminococcus bromii, previously described by only 15 isolate genomes. With open-source implementations and cloud-deployable reproducible workflows, the bioBakery 3 platform can help researchers deepen the resolution, scale, and accuracy of multi-omic profiling for microbial community studies.","container-title":"eLife","DOI":"10.7554/eLife.65088","ISSN":"2050-084X","journalAbbreviation":"Elife","language":"eng","note":"PMID: 33944776\nPMCID: PMC8096432","page":"e65088","source":"PubMed","title":"Integrating taxonomic, functional, and strain-level profiling of diverse microbial communities with bioBakery 3","volume":"10","author":[{"family":"Beghini","given":"Francesco"},{"family":"McIver","given":"Lauren J."},{"family":"Blanco-Míguez","given":"Aitor"},{"family":"Dubois","given":"Leonard"},{"family":"Asnicar","given":"Francesco"},{"family":"Maharjan","given":"Sagun"},{"family":"Mailyan","given":"Ana"},{"family":"Manghi","given":"Paolo"},{"family":"Scholz","given":"Matthias"},{"family":"Thomas","given":"Andrew Maltez"},{"family":"Valles-Colomer","given":"Mireia"},{"family":"Weingart","given":"George"},{"family":"Zhang","given":"Yancong"},{"family":"Zolfo","given":"Moreno"},{"family":"Huttenhower","given":"Curtis"},{"family":"Franzosa","given":"Eric A."},{"family":"Segata","given":"Nicola"}],"issued":{"date-parts":[["2021",5,4]]}}}],"schema":"https://github.com/citation-style-language/schema/raw/master/csl-citation.json"} </w:instrText>
      </w:r>
      <w:r w:rsidRPr="00F97C90">
        <w:rPr>
          <w:rFonts w:cs="Times New Roman"/>
          <w:b/>
          <w:bCs/>
          <w:iCs/>
          <w:color w:val="000000" w:themeColor="text1"/>
        </w:rPr>
        <w:fldChar w:fldCharType="separate"/>
      </w:r>
      <w:r w:rsidR="001F4F4C">
        <w:rPr>
          <w:rFonts w:cs="Times New Roman"/>
          <w:bCs/>
          <w:color w:val="000000" w:themeColor="text1"/>
        </w:rPr>
        <w:t>(10)</w:t>
      </w:r>
      <w:r w:rsidRPr="00F97C90">
        <w:rPr>
          <w:rFonts w:cs="Times New Roman"/>
          <w:b/>
          <w:bCs/>
          <w:iCs/>
          <w:color w:val="000000" w:themeColor="text1"/>
        </w:rPr>
        <w:fldChar w:fldCharType="end"/>
      </w:r>
      <w:r w:rsidRPr="00F97C90">
        <w:rPr>
          <w:rFonts w:cs="Times New Roman"/>
          <w:bCs/>
          <w:iCs/>
          <w:color w:val="000000" w:themeColor="text1"/>
        </w:rPr>
        <w:t xml:space="preserve"> using default parameters. </w:t>
      </w:r>
      <w:proofErr w:type="spellStart"/>
      <w:r w:rsidRPr="00F97C90">
        <w:rPr>
          <w:rFonts w:cs="Times New Roman"/>
          <w:bCs/>
          <w:iCs/>
          <w:color w:val="000000" w:themeColor="text1"/>
        </w:rPr>
        <w:t>QC’ed</w:t>
      </w:r>
      <w:proofErr w:type="spellEnd"/>
      <w:r w:rsidRPr="00F97C90">
        <w:rPr>
          <w:rFonts w:cs="Times New Roman"/>
          <w:bCs/>
          <w:iCs/>
          <w:color w:val="000000" w:themeColor="text1"/>
        </w:rPr>
        <w:t xml:space="preserve"> reads were mapped to UniRef90 gene families and </w:t>
      </w:r>
      <w:proofErr w:type="spellStart"/>
      <w:r w:rsidRPr="00F97C90">
        <w:rPr>
          <w:rFonts w:cs="Times New Roman"/>
          <w:bCs/>
          <w:iCs/>
          <w:color w:val="000000" w:themeColor="text1"/>
        </w:rPr>
        <w:t>MetaCyc</w:t>
      </w:r>
      <w:proofErr w:type="spellEnd"/>
      <w:r w:rsidRPr="00F97C90">
        <w:rPr>
          <w:rFonts w:cs="Times New Roman"/>
          <w:bCs/>
          <w:iCs/>
          <w:color w:val="000000" w:themeColor="text1"/>
        </w:rPr>
        <w:t xml:space="preserve"> metabolic pathways. UniRef90 gene-families were regrouped into KEGG </w:t>
      </w:r>
      <w:proofErr w:type="spellStart"/>
      <w:r w:rsidRPr="00F97C90">
        <w:rPr>
          <w:rFonts w:cs="Times New Roman"/>
          <w:bCs/>
          <w:iCs/>
          <w:color w:val="000000" w:themeColor="text1"/>
        </w:rPr>
        <w:t>orthology</w:t>
      </w:r>
      <w:proofErr w:type="spellEnd"/>
      <w:r w:rsidRPr="00F97C90">
        <w:rPr>
          <w:rFonts w:cs="Times New Roman"/>
          <w:bCs/>
          <w:iCs/>
          <w:color w:val="000000" w:themeColor="text1"/>
        </w:rPr>
        <w:t xml:space="preserve"> (KO) groups using the command ‘</w:t>
      </w:r>
      <w:proofErr w:type="spellStart"/>
      <w:r w:rsidRPr="00F97C90">
        <w:rPr>
          <w:rFonts w:cs="Times New Roman"/>
          <w:bCs/>
          <w:iCs/>
          <w:color w:val="000000" w:themeColor="text1"/>
        </w:rPr>
        <w:t>humann_regroup_table</w:t>
      </w:r>
      <w:proofErr w:type="spellEnd"/>
      <w:r w:rsidRPr="00F97C90">
        <w:rPr>
          <w:rFonts w:cs="Times New Roman"/>
          <w:bCs/>
          <w:iCs/>
          <w:color w:val="000000" w:themeColor="text1"/>
        </w:rPr>
        <w:t>’. All functional annotations were normalized using the command “</w:t>
      </w:r>
      <w:proofErr w:type="spellStart"/>
      <w:r w:rsidRPr="00F97C90">
        <w:rPr>
          <w:rFonts w:cs="Times New Roman"/>
          <w:bCs/>
          <w:iCs/>
          <w:color w:val="000000" w:themeColor="text1"/>
        </w:rPr>
        <w:t>humann_renorm_table</w:t>
      </w:r>
      <w:proofErr w:type="spellEnd"/>
      <w:r w:rsidRPr="00F97C90">
        <w:rPr>
          <w:rFonts w:cs="Times New Roman"/>
          <w:bCs/>
          <w:iCs/>
          <w:color w:val="000000" w:themeColor="text1"/>
        </w:rPr>
        <w:t xml:space="preserve">” to copies per million (--units </w:t>
      </w:r>
      <w:proofErr w:type="spellStart"/>
      <w:r w:rsidRPr="00F97C90">
        <w:rPr>
          <w:rFonts w:cs="Times New Roman"/>
          <w:bCs/>
          <w:iCs/>
          <w:color w:val="000000" w:themeColor="text1"/>
        </w:rPr>
        <w:t>cpm</w:t>
      </w:r>
      <w:proofErr w:type="spellEnd"/>
      <w:r w:rsidRPr="00F97C90">
        <w:rPr>
          <w:rFonts w:cs="Times New Roman"/>
          <w:bCs/>
          <w:iCs/>
          <w:color w:val="000000" w:themeColor="text1"/>
        </w:rPr>
        <w:t xml:space="preserve">). To establish if the butyrate treatment was supplementing existing butyrate levels, or replacing diminished or </w:t>
      </w:r>
      <w:r w:rsidRPr="00F97C90">
        <w:rPr>
          <w:rFonts w:cs="Times New Roman"/>
          <w:bCs/>
          <w:iCs/>
          <w:color w:val="000000" w:themeColor="text1"/>
        </w:rPr>
        <w:lastRenderedPageBreak/>
        <w:t xml:space="preserve">disrupted butyrate production, we evaluated the distribution of genes involved in the four known butyrate pathways: Acetyl-CoA, 4-aminobutyrate/Succinate, </w:t>
      </w:r>
      <w:proofErr w:type="spellStart"/>
      <w:r w:rsidRPr="00F97C90">
        <w:rPr>
          <w:rFonts w:cs="Times New Roman"/>
          <w:bCs/>
          <w:iCs/>
          <w:color w:val="000000" w:themeColor="text1"/>
        </w:rPr>
        <w:t>glutarate</w:t>
      </w:r>
      <w:proofErr w:type="spellEnd"/>
      <w:r w:rsidRPr="00F97C90">
        <w:rPr>
          <w:rFonts w:cs="Times New Roman"/>
          <w:bCs/>
          <w:iCs/>
          <w:color w:val="000000" w:themeColor="text1"/>
        </w:rPr>
        <w:t xml:space="preserve"> and lysine.</w:t>
      </w:r>
    </w:p>
    <w:p w14:paraId="2E3D76C9" w14:textId="77777777" w:rsidR="006509E7" w:rsidRPr="00F97C90" w:rsidRDefault="006509E7" w:rsidP="00731E0C">
      <w:pPr>
        <w:spacing w:before="0" w:after="0"/>
        <w:ind w:firstLine="720"/>
        <w:jc w:val="both"/>
        <w:rPr>
          <w:rFonts w:cs="Times New Roman"/>
          <w:b/>
          <w:bCs/>
          <w:iCs/>
          <w:color w:val="000000" w:themeColor="text1"/>
        </w:rPr>
      </w:pPr>
    </w:p>
    <w:p w14:paraId="2EDC5BD2" w14:textId="5597DBAD" w:rsidR="0001185C" w:rsidRDefault="000E5EA2" w:rsidP="00B1733F">
      <w:pPr>
        <w:spacing w:before="0" w:after="0"/>
        <w:jc w:val="both"/>
        <w:rPr>
          <w:rFonts w:eastAsiaTheme="majorEastAsia" w:cstheme="majorBidi"/>
          <w:bCs/>
          <w:i/>
          <w:iCs/>
          <w:color w:val="000000" w:themeColor="text1"/>
        </w:rPr>
      </w:pPr>
      <w:r>
        <w:rPr>
          <w:rFonts w:eastAsiaTheme="majorEastAsia" w:cstheme="majorBidi"/>
          <w:bCs/>
          <w:i/>
          <w:iCs/>
          <w:color w:val="000000" w:themeColor="text1"/>
        </w:rPr>
        <w:t xml:space="preserve">Supplementary Methods vii: </w:t>
      </w:r>
      <w:r w:rsidR="005E67AD">
        <w:rPr>
          <w:rFonts w:eastAsiaTheme="majorEastAsia" w:cstheme="majorBidi"/>
          <w:bCs/>
          <w:i/>
          <w:iCs/>
          <w:color w:val="000000" w:themeColor="text1"/>
        </w:rPr>
        <w:t>SCFA Quantification</w:t>
      </w:r>
    </w:p>
    <w:p w14:paraId="3967893E" w14:textId="7475718E" w:rsidR="005E67AD" w:rsidRDefault="008109EC" w:rsidP="00B1733F">
      <w:pPr>
        <w:spacing w:before="0" w:after="0"/>
        <w:jc w:val="both"/>
        <w:rPr>
          <w:rFonts w:eastAsiaTheme="majorEastAsia" w:cstheme="majorBidi"/>
          <w:bCs/>
          <w:i/>
          <w:iCs/>
          <w:color w:val="000000" w:themeColor="text1"/>
        </w:rPr>
      </w:pPr>
      <w:r w:rsidRPr="00F97C90">
        <w:rPr>
          <w:rFonts w:cs="Times New Roman"/>
          <w:bCs/>
          <w:iCs/>
          <w:color w:val="000000" w:themeColor="text1"/>
        </w:rPr>
        <w:t xml:space="preserve">SCFA quantification was performed with LC-MS on the </w:t>
      </w:r>
      <w:proofErr w:type="spellStart"/>
      <w:r w:rsidRPr="00F97C90">
        <w:rPr>
          <w:rFonts w:cs="Times New Roman"/>
          <w:bCs/>
          <w:iCs/>
          <w:color w:val="000000" w:themeColor="text1"/>
        </w:rPr>
        <w:t>QExactive</w:t>
      </w:r>
      <w:proofErr w:type="spellEnd"/>
      <w:r w:rsidRPr="00F97C90">
        <w:rPr>
          <w:rFonts w:cs="Times New Roman"/>
          <w:bCs/>
          <w:iCs/>
          <w:color w:val="000000" w:themeColor="text1"/>
        </w:rPr>
        <w:t xml:space="preserve"> (Thermo Scientific) Mass Spectrometer using the Agilent C18 1.9 m, 100 x 2.1 mm column at Monash Institute of Pharmaceutical Sciences and Monash Proteomics and Metabolomics Platform (MPMP) MIPS node (Monash University, Melbourne, Australia). </w:t>
      </w:r>
      <w:r>
        <w:rPr>
          <w:rFonts w:cs="Times New Roman"/>
          <w:bCs/>
          <w:iCs/>
          <w:color w:val="000000" w:themeColor="text1"/>
        </w:rPr>
        <w:t xml:space="preserve"> </w:t>
      </w:r>
      <w:r w:rsidR="006509E7" w:rsidRPr="00F97C90">
        <w:rPr>
          <w:rFonts w:cs="Times New Roman"/>
          <w:bCs/>
          <w:iCs/>
          <w:color w:val="000000" w:themeColor="text1"/>
        </w:rPr>
        <w:t xml:space="preserve">Samples, spiked Quality control (QC) samples, and calibrants were extracted with acetonitrile and derivatized using 3-NPH. Isotopically labelled internal standards for SCFAs were derivatized using 13C6-3-NPH </w:t>
      </w:r>
      <w:r w:rsidR="006509E7" w:rsidRPr="00F97C90">
        <w:rPr>
          <w:rFonts w:cs="Times New Roman"/>
          <w:b/>
          <w:bCs/>
          <w:iCs/>
          <w:color w:val="000000" w:themeColor="text1"/>
        </w:rPr>
        <w:fldChar w:fldCharType="begin"/>
      </w:r>
      <w:r w:rsidR="001F4F4C">
        <w:rPr>
          <w:rFonts w:cs="Times New Roman"/>
          <w:bCs/>
          <w:iCs/>
          <w:color w:val="000000" w:themeColor="text1"/>
        </w:rPr>
        <w:instrText xml:space="preserve"> ADDIN ZOTERO_ITEM CSL_CITATION {"citationID":"qRXiDZrY","properties":{"formattedCitation":"(11)","plainCitation":"(11)","noteIndex":0},"citationItems":[{"id":2261,"uris":["http://zotero.org/users/9218094/items/DCCNKH9K"],"itemData":{"id":2261,"type":"article-journal","abstract":"Short-chain fatty acids (SCFAs) are produced by anaerobic gut microbiota in the large bowel. Qualitative and quantitative measurements of SCFAs in the intestinal tract and the fecal samples are important to understand the complex interplay between diet, gut microbiota and host metabolism homeostasis. To develop a new LC-MS/MS method for sensitive and reliable analysis of SCFAs in human fecal samples, 3-nitrophenylhydrazine (3NPH) was employed for pre-analytical derivatization to convert ten C2–C6 SCFAs to their 3-nitrophenylhydrazones under a single set of optimized reaction conditions and without the need of reaction quenching. The derivatives showed excellent in-solution chemical stability. They were separated on a reversed-phase C18 column and quantitated by negative-ion electrospray ionization – multiple-reaction monitoring (MRM)/MS. To achieve accurate quantitation, the stable isotope-labeled versions of the derivatives were synthesized in a single reaction vessel from 13C6-3NPH, and were used as internal standard to compensate for the matrix effects in ESI. Method validation showed on-column limits of detection and quantitation over the range from low to high femtomoles for the ten SCFAs, and the intra-day and inter-day precision for determination of nine of the ten SCFAs in human fecal samples was ≤8.8% (n=6). The quantitation accuracy ranged from 93.1% to 108.4% (CVs≤4.6%, n=6). This method was used to determine the SCFA concentrations and compositions in six human fecal samples. One of the six samples, which was collected from a clinically diagnosed type 2 diabetes patient showed a significantly high molar ratio of branch-chain SCFAs to straight-chain SCFAs than the others. In summary, this work provides a new LC-MS/MS method for precise and accurate quantitation of SCFAs in human feces.","container-title":"Analytica Chimica Acta","DOI":"10.1016/j.aca.2014.11.015","ISSN":"0003-2670","journalAbbreviation":"Analytica Chimica Acta","page":"86-94","source":"ScienceDirect","title":"An isotope-labeled chemical derivatization method for the quantitation of short-chain fatty acids in human feces by liquid chromatography–tandem mass spectrometry","volume":"854","author":[{"family":"Han","given":"Jun"},{"family":"Lin","given":"Karen"},{"family":"Sequeira","given":"Carita"},{"family":"Borchers","given":"Christoph H."}],"issued":{"date-parts":[["2015",1,7]]}}}],"schema":"https://github.com/citation-style-language/schema/raw/master/csl-citation.json"} </w:instrText>
      </w:r>
      <w:r w:rsidR="006509E7" w:rsidRPr="00F97C90">
        <w:rPr>
          <w:rFonts w:cs="Times New Roman"/>
          <w:b/>
          <w:bCs/>
          <w:iCs/>
          <w:color w:val="000000" w:themeColor="text1"/>
        </w:rPr>
        <w:fldChar w:fldCharType="separate"/>
      </w:r>
      <w:r w:rsidR="001F4F4C">
        <w:rPr>
          <w:rFonts w:cs="Times New Roman"/>
          <w:bCs/>
          <w:color w:val="000000" w:themeColor="text1"/>
        </w:rPr>
        <w:t>(11)</w:t>
      </w:r>
      <w:r w:rsidR="006509E7" w:rsidRPr="00F97C90">
        <w:rPr>
          <w:rFonts w:cs="Times New Roman"/>
          <w:b/>
          <w:bCs/>
          <w:iCs/>
          <w:color w:val="000000" w:themeColor="text1"/>
        </w:rPr>
        <w:fldChar w:fldCharType="end"/>
      </w:r>
      <w:r w:rsidR="006509E7" w:rsidRPr="00F97C90">
        <w:rPr>
          <w:rFonts w:cs="Times New Roman"/>
          <w:bCs/>
          <w:iCs/>
          <w:color w:val="000000" w:themeColor="text1"/>
        </w:rPr>
        <w:t xml:space="preserve">.  Six SCFA derivatives were quantified: acetic (AA), propionic (PA), butyric (BA), valeric (VA), </w:t>
      </w:r>
      <w:proofErr w:type="spellStart"/>
      <w:r w:rsidR="006509E7" w:rsidRPr="00F97C90">
        <w:rPr>
          <w:rFonts w:cs="Times New Roman"/>
          <w:bCs/>
          <w:iCs/>
          <w:color w:val="000000" w:themeColor="text1"/>
        </w:rPr>
        <w:t>isobutyric</w:t>
      </w:r>
      <w:proofErr w:type="spellEnd"/>
      <w:r w:rsidR="006509E7" w:rsidRPr="00F97C90">
        <w:rPr>
          <w:rFonts w:cs="Times New Roman"/>
          <w:bCs/>
          <w:iCs/>
          <w:color w:val="000000" w:themeColor="text1"/>
        </w:rPr>
        <w:t xml:space="preserve"> (IBA) and isovaleric (IVA) acids (free acid form). Standard curve dilutions were prepared in 50% acetonitrile and spiked with internal standards.</w:t>
      </w:r>
    </w:p>
    <w:p w14:paraId="092AA67B" w14:textId="0B30B45D" w:rsidR="00B1733F" w:rsidRPr="00671C37" w:rsidRDefault="00B1733F" w:rsidP="00B1733F">
      <w:pPr>
        <w:spacing w:before="0" w:after="0"/>
        <w:jc w:val="both"/>
        <w:rPr>
          <w:rFonts w:cs="Times New Roman"/>
          <w:bCs/>
          <w:i/>
          <w:iCs/>
        </w:rPr>
      </w:pPr>
      <w:r>
        <w:rPr>
          <w:rFonts w:eastAsiaTheme="majorEastAsia" w:cstheme="majorBidi"/>
          <w:bCs/>
          <w:i/>
          <w:iCs/>
          <w:color w:val="000000" w:themeColor="text1"/>
        </w:rPr>
        <w:t xml:space="preserve">Supplementary Methods </w:t>
      </w:r>
      <w:r w:rsidR="00731C2A">
        <w:rPr>
          <w:rFonts w:eastAsiaTheme="majorEastAsia" w:cstheme="majorBidi"/>
          <w:bCs/>
          <w:i/>
          <w:iCs/>
          <w:color w:val="000000" w:themeColor="text1"/>
        </w:rPr>
        <w:t>v</w:t>
      </w:r>
      <w:r w:rsidR="006509E7">
        <w:rPr>
          <w:rFonts w:eastAsiaTheme="majorEastAsia" w:cstheme="majorBidi"/>
          <w:bCs/>
          <w:i/>
          <w:iCs/>
          <w:color w:val="000000" w:themeColor="text1"/>
        </w:rPr>
        <w:t>ii</w:t>
      </w:r>
      <w:r w:rsidR="00731C2A">
        <w:rPr>
          <w:rFonts w:eastAsiaTheme="majorEastAsia" w:cstheme="majorBidi"/>
          <w:bCs/>
          <w:i/>
          <w:iCs/>
          <w:color w:val="000000" w:themeColor="text1"/>
        </w:rPr>
        <w:t>i</w:t>
      </w:r>
      <w:r>
        <w:rPr>
          <w:rFonts w:eastAsiaTheme="majorEastAsia" w:cstheme="majorBidi"/>
          <w:bCs/>
          <w:i/>
          <w:iCs/>
          <w:color w:val="000000" w:themeColor="text1"/>
        </w:rPr>
        <w:t>: I</w:t>
      </w:r>
      <w:r w:rsidRPr="00385A01">
        <w:rPr>
          <w:rFonts w:cs="Times New Roman"/>
          <w:bCs/>
          <w:i/>
        </w:rPr>
        <w:t>n</w:t>
      </w:r>
      <w:r w:rsidR="008A521B">
        <w:rPr>
          <w:rFonts w:cs="Times New Roman"/>
          <w:bCs/>
          <w:i/>
        </w:rPr>
        <w:t xml:space="preserve"> V</w:t>
      </w:r>
      <w:r w:rsidRPr="00385A01">
        <w:rPr>
          <w:rFonts w:cs="Times New Roman"/>
          <w:bCs/>
          <w:i/>
        </w:rPr>
        <w:t>ivo</w:t>
      </w:r>
      <w:r w:rsidRPr="00385A01">
        <w:rPr>
          <w:rFonts w:cs="Times New Roman"/>
          <w:bCs/>
          <w:i/>
          <w:iCs/>
        </w:rPr>
        <w:t xml:space="preserve"> </w:t>
      </w:r>
      <w:r w:rsidR="008A521B">
        <w:rPr>
          <w:rFonts w:cs="Times New Roman"/>
          <w:bCs/>
          <w:i/>
          <w:iCs/>
        </w:rPr>
        <w:t>I</w:t>
      </w:r>
      <w:r w:rsidRPr="00385A01">
        <w:rPr>
          <w:rFonts w:cs="Times New Roman"/>
          <w:bCs/>
          <w:i/>
          <w:iCs/>
        </w:rPr>
        <w:t xml:space="preserve">ntestinal </w:t>
      </w:r>
      <w:r w:rsidR="008A521B">
        <w:rPr>
          <w:rFonts w:cs="Times New Roman"/>
          <w:bCs/>
          <w:i/>
          <w:iCs/>
        </w:rPr>
        <w:t>P</w:t>
      </w:r>
      <w:r w:rsidRPr="00385A01">
        <w:rPr>
          <w:rFonts w:cs="Times New Roman"/>
          <w:bCs/>
          <w:i/>
          <w:iCs/>
        </w:rPr>
        <w:t xml:space="preserve">ermeability </w:t>
      </w:r>
    </w:p>
    <w:p w14:paraId="44416153" w14:textId="77777777" w:rsidR="00B1733F" w:rsidRPr="00A10410" w:rsidRDefault="00B1733F" w:rsidP="00B1733F">
      <w:pPr>
        <w:spacing w:after="0"/>
        <w:jc w:val="both"/>
        <w:rPr>
          <w:rFonts w:cs="Times New Roman"/>
          <w:b/>
        </w:rPr>
      </w:pPr>
      <w:r w:rsidRPr="00A10410">
        <w:rPr>
          <w:rFonts w:eastAsiaTheme="minorEastAsia"/>
          <w:bCs/>
          <w:i/>
          <w:color w:val="000000" w:themeColor="text1"/>
          <w:spacing w:val="15"/>
        </w:rPr>
        <w:t>Animals</w:t>
      </w:r>
    </w:p>
    <w:p w14:paraId="1B3F802D" w14:textId="449E946C" w:rsidR="00B1733F" w:rsidRDefault="00B1733F" w:rsidP="00B1733F">
      <w:pPr>
        <w:spacing w:after="0"/>
        <w:ind w:firstLine="720"/>
        <w:jc w:val="both"/>
        <w:rPr>
          <w:rFonts w:cs="Times New Roman"/>
        </w:rPr>
      </w:pPr>
      <w:r w:rsidRPr="00A10410">
        <w:rPr>
          <w:rFonts w:cs="Times New Roman"/>
          <w:i/>
          <w:iCs/>
        </w:rPr>
        <w:t>Dams</w:t>
      </w:r>
      <w:r>
        <w:rPr>
          <w:rFonts w:cs="Times New Roman"/>
          <w:i/>
          <w:iCs/>
        </w:rPr>
        <w:t xml:space="preserve">: </w:t>
      </w:r>
      <w:r>
        <w:rPr>
          <w:rFonts w:cs="Times New Roman"/>
        </w:rPr>
        <w:t xml:space="preserve">39 female and 4 male Sprague Dawley rats </w:t>
      </w:r>
      <w:r w:rsidRPr="00A10410">
        <w:rPr>
          <w:rFonts w:cs="Times New Roman"/>
        </w:rPr>
        <w:t>were purchased from Animal Resource Centre, Perth, Australia</w:t>
      </w:r>
      <w:r>
        <w:rPr>
          <w:rFonts w:cs="Times New Roman"/>
        </w:rPr>
        <w:t xml:space="preserve">. </w:t>
      </w:r>
      <w:r w:rsidRPr="000122AC">
        <w:rPr>
          <w:bCs/>
        </w:rPr>
        <w:t>All animals</w:t>
      </w:r>
      <w:r w:rsidRPr="000122AC">
        <w:rPr>
          <w:rFonts w:cs="Times New Roman"/>
        </w:rPr>
        <w:t xml:space="preserve"> were maintained on a 12-hour day/night light cycle (lights on at 0700h) in a temperature</w:t>
      </w:r>
      <w:r>
        <w:rPr>
          <w:rFonts w:cs="Times New Roman"/>
        </w:rPr>
        <w:t>-</w:t>
      </w:r>
      <w:r w:rsidRPr="000122AC">
        <w:rPr>
          <w:rFonts w:cs="Times New Roman"/>
        </w:rPr>
        <w:t xml:space="preserve"> and humidity</w:t>
      </w:r>
      <w:r>
        <w:rPr>
          <w:rFonts w:cs="Times New Roman"/>
        </w:rPr>
        <w:t>-controlled</w:t>
      </w:r>
      <w:r w:rsidRPr="000122AC">
        <w:rPr>
          <w:rFonts w:cs="Times New Roman"/>
        </w:rPr>
        <w:t xml:space="preserve"> colony room (22°C±1) with </w:t>
      </w:r>
      <w:r w:rsidRPr="000122AC">
        <w:rPr>
          <w:rFonts w:cs="Times New Roman"/>
          <w:i/>
          <w:iCs/>
        </w:rPr>
        <w:t>ad libitum</w:t>
      </w:r>
      <w:r w:rsidRPr="000122AC">
        <w:rPr>
          <w:rFonts w:cs="Times New Roman"/>
        </w:rPr>
        <w:t xml:space="preserve"> access to irradiated rat and mouse diets SF00-100 (Specialty Feeds, Western Australia, Australia) and water unless otherwise specified. </w:t>
      </w:r>
      <w:r>
        <w:rPr>
          <w:rFonts w:cs="Times New Roman"/>
        </w:rPr>
        <w:t xml:space="preserve">Following a minimum of one week habituation to the facility breeding began, where two females were housed with one male. Following pairing females were swabbed twice daily (between 0800h and 1000h, and 1600h and 1800h) until sperm was sighted or a week elapsed. The day sperm was sighted was </w:t>
      </w:r>
      <w:r>
        <w:rPr>
          <w:rFonts w:cs="Times New Roman"/>
        </w:rPr>
        <w:lastRenderedPageBreak/>
        <w:t xml:space="preserve">designated GD0, and dams were separated and single housed until giving birth, as previously described </w:t>
      </w:r>
      <w:r>
        <w:rPr>
          <w:rFonts w:cs="Times New Roman"/>
        </w:rPr>
        <w:fldChar w:fldCharType="begin"/>
      </w:r>
      <w:r w:rsidR="001F4F4C">
        <w:rPr>
          <w:rFonts w:cs="Times New Roman"/>
        </w:rPr>
        <w:instrText xml:space="preserve"> ADDIN ZOTERO_ITEM CSL_CITATION {"citationID":"MFULGLSD","properties":{"formattedCitation":"(12)","plainCitation":"(12)","noteIndex":0},"citationItems":[{"id":1867,"uris":["http://zotero.org/users/9218094/items/KME6CBYH"],"itemData":{"id":1867,"type":"article-journal","container-title":"Frontiers in Behavioral Neuroscience","DOI":"10.3389/fnbeh.2025.1570951","ISSN":"1662-5153","journalAbbreviation":"Front. Behav. Neurosci.","language":"English","note":"publisher: Frontiers","page":"1570951","source":"www.frontiersin.org","title":"Prenatal methadone exposure produces functional and molecular alterations in the basolateral amygdala and decreased voluntary ethanol intake in female, but not male offspring","volume":"19","author":[{"family":"Gamble","given":"Meredith E."},{"family":"Montero","given":"Michelle"},{"family":"Silberstein","given":"Dana N."},{"family":"Deak","given":"Terrence"},{"family":"Varlinskaya","given":"Elena I."},{"family":"Diaz","given":"Marvin R."}],"issued":{"date-parts":[["2025",4,15]]}}}],"schema":"https://github.com/citation-style-language/schema/raw/master/csl-citation.json"} </w:instrText>
      </w:r>
      <w:r>
        <w:rPr>
          <w:rFonts w:cs="Times New Roman"/>
        </w:rPr>
        <w:fldChar w:fldCharType="separate"/>
      </w:r>
      <w:r w:rsidR="001F4F4C">
        <w:rPr>
          <w:rFonts w:cs="Times New Roman"/>
        </w:rPr>
        <w:t>(12)</w:t>
      </w:r>
      <w:r>
        <w:rPr>
          <w:rFonts w:cs="Times New Roman"/>
        </w:rPr>
        <w:fldChar w:fldCharType="end"/>
      </w:r>
      <w:r>
        <w:rPr>
          <w:rFonts w:cs="Times New Roman"/>
        </w:rPr>
        <w:t xml:space="preserve">. </w:t>
      </w:r>
      <w:r w:rsidRPr="000122AC">
        <w:rPr>
          <w:rFonts w:cs="Times New Roman"/>
        </w:rPr>
        <w:t xml:space="preserve">All dams gave birth within 24 hours of GD22 (designated postnatal day 0 [P0]). </w:t>
      </w:r>
    </w:p>
    <w:p w14:paraId="6E24FBB6" w14:textId="77777777" w:rsidR="00B1733F" w:rsidRPr="00671C37" w:rsidRDefault="00B1733F" w:rsidP="00B1733F">
      <w:pPr>
        <w:spacing w:after="0"/>
        <w:ind w:firstLine="720"/>
        <w:jc w:val="both"/>
        <w:rPr>
          <w:bCs/>
        </w:rPr>
      </w:pPr>
      <w:r w:rsidRPr="00073983">
        <w:rPr>
          <w:bCs/>
          <w:i/>
          <w:iCs/>
        </w:rPr>
        <w:t xml:space="preserve">Pups: </w:t>
      </w:r>
      <w:r w:rsidRPr="00073983">
        <w:rPr>
          <w:bCs/>
        </w:rPr>
        <w:t xml:space="preserve">On P0 litter sizes were standardized to 10 pups (5 </w:t>
      </w:r>
      <w:r>
        <w:rPr>
          <w:bCs/>
        </w:rPr>
        <w:t>fe</w:t>
      </w:r>
      <w:r w:rsidRPr="00073983">
        <w:rPr>
          <w:bCs/>
        </w:rPr>
        <w:t xml:space="preserve">male, 5 </w:t>
      </w:r>
      <w:proofErr w:type="gramStart"/>
      <w:r w:rsidRPr="00073983">
        <w:rPr>
          <w:bCs/>
        </w:rPr>
        <w:t>male</w:t>
      </w:r>
      <w:proofErr w:type="gramEnd"/>
      <w:r w:rsidRPr="00073983">
        <w:rPr>
          <w:bCs/>
        </w:rPr>
        <w:t xml:space="preserve"> where possible).        </w:t>
      </w:r>
    </w:p>
    <w:p w14:paraId="1BD96C41" w14:textId="77777777" w:rsidR="00B1733F" w:rsidRPr="00073983" w:rsidRDefault="00B1733F" w:rsidP="00B1733F">
      <w:pPr>
        <w:spacing w:after="0"/>
        <w:jc w:val="both"/>
        <w:rPr>
          <w:rFonts w:cs="Times New Roman"/>
          <w:i/>
          <w:iCs/>
        </w:rPr>
      </w:pPr>
      <w:r w:rsidRPr="00073983">
        <w:rPr>
          <w:rFonts w:cs="Times New Roman"/>
          <w:i/>
          <w:iCs/>
        </w:rPr>
        <w:t>Drugs</w:t>
      </w:r>
    </w:p>
    <w:p w14:paraId="7F1ACC41" w14:textId="77777777" w:rsidR="00B1733F" w:rsidRDefault="00B1733F" w:rsidP="00B1733F">
      <w:pPr>
        <w:spacing w:after="0"/>
        <w:ind w:firstLine="720"/>
        <w:jc w:val="both"/>
        <w:rPr>
          <w:rFonts w:cs="Times New Roman"/>
          <w:bCs/>
          <w:color w:val="000000"/>
          <w:shd w:val="clear" w:color="auto" w:fill="FFFFFF"/>
        </w:rPr>
      </w:pPr>
      <w:r w:rsidRPr="00B13CC3">
        <w:rPr>
          <w:rFonts w:cs="Times New Roman"/>
          <w:bCs/>
          <w:color w:val="000000"/>
          <w:shd w:val="clear" w:color="auto" w:fill="FFFFFF"/>
        </w:rPr>
        <w:t>Methadone hydrochloride (National Institute of Measurement, North Ryde, Australia)</w:t>
      </w:r>
      <w:r>
        <w:rPr>
          <w:rFonts w:cs="Times New Roman"/>
          <w:bCs/>
          <w:color w:val="000000"/>
          <w:shd w:val="clear" w:color="auto" w:fill="FFFFFF"/>
        </w:rPr>
        <w:t xml:space="preserve"> was administered identically to the procedure described in the main text. </w:t>
      </w:r>
    </w:p>
    <w:p w14:paraId="421AE73A" w14:textId="4A853338" w:rsidR="00B1733F" w:rsidRDefault="00B1733F" w:rsidP="00B1733F">
      <w:pPr>
        <w:spacing w:after="0"/>
        <w:ind w:firstLine="720"/>
        <w:jc w:val="both"/>
        <w:rPr>
          <w:rFonts w:cs="Times New Roman"/>
          <w:bCs/>
        </w:rPr>
      </w:pPr>
      <w:r>
        <w:rPr>
          <w:rFonts w:cs="Times New Roman"/>
          <w:bCs/>
        </w:rPr>
        <w:t>1.5</w:t>
      </w:r>
      <w:r w:rsidRPr="00073983">
        <w:rPr>
          <w:rFonts w:cs="Times New Roman"/>
          <w:bCs/>
        </w:rPr>
        <w:t xml:space="preserve">% w/v sodium butyrate </w:t>
      </w:r>
      <w:r w:rsidRPr="00073983">
        <w:rPr>
          <w:rFonts w:cs="Times New Roman"/>
          <w:bCs/>
          <w:color w:val="000000" w:themeColor="text1"/>
        </w:rPr>
        <w:t>(Sigma-Aldrich, Missouri, USA) was administered via drinking water (</w:t>
      </w:r>
      <w:r w:rsidRPr="00073983">
        <w:rPr>
          <w:rFonts w:cs="Times New Roman"/>
          <w:bCs/>
        </w:rPr>
        <w:t>refreshed every 48-72 hours) across GD10-P1</w:t>
      </w:r>
      <w:r>
        <w:rPr>
          <w:rFonts w:cs="Times New Roman"/>
          <w:bCs/>
        </w:rPr>
        <w:t xml:space="preserve">0 to mimic human prenatal development. </w:t>
      </w:r>
      <w:r w:rsidRPr="00073983">
        <w:rPr>
          <w:rFonts w:cs="Times New Roman"/>
          <w:bCs/>
        </w:rPr>
        <w:t xml:space="preserve">This concentration is known to be tolerated by rats and result in increased </w:t>
      </w:r>
      <w:r w:rsidR="008A521B" w:rsidRPr="00073983">
        <w:rPr>
          <w:rFonts w:cs="Times New Roman"/>
          <w:bCs/>
        </w:rPr>
        <w:t>fecal</w:t>
      </w:r>
      <w:r w:rsidRPr="00073983">
        <w:rPr>
          <w:rFonts w:cs="Times New Roman"/>
          <w:bCs/>
        </w:rPr>
        <w:t xml:space="preserve"> levels of butyric acid</w:t>
      </w:r>
      <w:r>
        <w:rPr>
          <w:rFonts w:cs="Times New Roman"/>
          <w:bCs/>
        </w:rPr>
        <w:t xml:space="preserve"> </w:t>
      </w:r>
      <w:r w:rsidRPr="00073983">
        <w:rPr>
          <w:rFonts w:cs="Times New Roman"/>
          <w:bCs/>
        </w:rPr>
        <w:fldChar w:fldCharType="begin"/>
      </w:r>
      <w:r w:rsidR="001F4F4C">
        <w:rPr>
          <w:rFonts w:cs="Times New Roman"/>
          <w:bCs/>
        </w:rPr>
        <w:instrText xml:space="preserve"> ADDIN ZOTERO_ITEM CSL_CITATION {"citationID":"WbeDiFpy","properties":{"formattedCitation":"(13)","plainCitation":"(13)","noteIndex":0},"citationItems":[{"id":387,"uris":["http://zotero.org/users/9218094/items/W8DUKWVW"],"itemData":{"id":387,"type":"article-journal","container-title":"Gastroenterology","DOI":"10.5555/uri:pii:0016508586906281","ISSN":"0016-5085","issue":"3","note":"publisher: Elsevier","page":"596-602","title":"Effects of differing concentrations of sodium butyrate on 1,2-dimethylhydrazine-induced rat intestinal neoplasia","volume":"91","author":[{"family":"Freeman","given":"Hugh J."}],"issued":{"date-parts":[["1986",9,1]]}}}],"schema":"https://github.com/citation-style-language/schema/raw/master/csl-citation.json"} </w:instrText>
      </w:r>
      <w:r w:rsidRPr="00073983">
        <w:rPr>
          <w:rFonts w:cs="Times New Roman"/>
          <w:bCs/>
        </w:rPr>
        <w:fldChar w:fldCharType="separate"/>
      </w:r>
      <w:r w:rsidR="001F4F4C">
        <w:rPr>
          <w:rFonts w:cs="Times New Roman"/>
        </w:rPr>
        <w:t>(13)</w:t>
      </w:r>
      <w:r w:rsidRPr="00073983">
        <w:rPr>
          <w:rFonts w:cs="Times New Roman"/>
          <w:bCs/>
        </w:rPr>
        <w:fldChar w:fldCharType="end"/>
      </w:r>
      <w:r>
        <w:rPr>
          <w:rFonts w:cs="Times New Roman"/>
          <w:bCs/>
        </w:rPr>
        <w:t xml:space="preserve">, with lower levels administered during gestation and lactation known to result in increased plasma levels of butyrate in pups </w:t>
      </w:r>
      <w:r>
        <w:rPr>
          <w:rFonts w:cs="Times New Roman"/>
          <w:bCs/>
        </w:rPr>
        <w:fldChar w:fldCharType="begin"/>
      </w:r>
      <w:r w:rsidR="001F4F4C">
        <w:rPr>
          <w:rFonts w:cs="Times New Roman"/>
          <w:bCs/>
        </w:rPr>
        <w:instrText xml:space="preserve"> ADDIN ZOTERO_ITEM CSL_CITATION {"citationID":"TbWlGKrh","properties":{"formattedCitation":"(14)","plainCitation":"(14)","noteIndex":0},"citationItems":[{"id":1869,"uris":["http://zotero.org/users/9218094/items/TKSI7FXA"],"itemData":{"id":1869,"type":"article-journal","abstract":"Several studies indicate a relationship between maternal gut microbiota alteration and increased risk of autism spectrum disorders (ASD) in offspring. The possibility of compensating for such metabolic dysfunction at a very early stage of disease via maternal treatment has not been enough explored. Here, we examined in BTBR mouse model of ASD the effect of maternal treatment with the gut microbial metabolite butyrate (BUT) on the behavioral and synaptic plasticity deficits in juvenile and adult offspring. We show that BUT treatment of BTBR dams rescues the social and partially the repetitive behavior deficits in the offspring. In addition, maternal BUT implementation prevents the cerebellar cortex hypertrophy as well as the Purkinje cells firing and long-term synaptic plasticity deficits in BTBR mice. Our results demonstrate, for the first time, that maternal BUT treatment can improve ASD-like symptoms in offspring thus providing new directions for the early treatment of neurodevelopmental disorders.","container-title":"Biomedicine &amp; Pharmacotherapy","DOI":"10.1016/j.biopha.2022.113870","ISSN":"0753-3322","journalAbbreviation":"Biomedicine &amp; Pharmacotherapy","page":"113870","source":"ScienceDirect","title":"Maternal treatment with sodium butyrate reduces the development of autism-like traits in mice offspring","volume":"156","author":[{"family":"Cristiano","given":"Claudia"},{"family":"Hoxha","given":"Eriola"},{"family":"Lippiello","given":"Pellegrino"},{"family":"Balbo","given":"Ilaria"},{"family":"Russo","given":"Roberto"},{"family":"Tempia","given":"Filippo"},{"family":"Miniaci","given":"Maria Concetta"}],"issued":{"date-parts":[["2022",12,1]]}}}],"schema":"https://github.com/citation-style-language/schema/raw/master/csl-citation.json"} </w:instrText>
      </w:r>
      <w:r>
        <w:rPr>
          <w:rFonts w:cs="Times New Roman"/>
          <w:bCs/>
        </w:rPr>
        <w:fldChar w:fldCharType="separate"/>
      </w:r>
      <w:r w:rsidR="001F4F4C">
        <w:rPr>
          <w:rFonts w:cs="Times New Roman"/>
        </w:rPr>
        <w:t>(14)</w:t>
      </w:r>
      <w:r>
        <w:rPr>
          <w:rFonts w:cs="Times New Roman"/>
          <w:bCs/>
        </w:rPr>
        <w:fldChar w:fldCharType="end"/>
      </w:r>
      <w:r>
        <w:rPr>
          <w:rFonts w:cs="Times New Roman"/>
          <w:bCs/>
        </w:rPr>
        <w:t xml:space="preserve">. </w:t>
      </w:r>
    </w:p>
    <w:p w14:paraId="1D25819A" w14:textId="77777777" w:rsidR="00B1733F" w:rsidRDefault="00B1733F" w:rsidP="00B1733F">
      <w:pPr>
        <w:spacing w:after="0"/>
        <w:jc w:val="both"/>
        <w:rPr>
          <w:rFonts w:cs="Times New Roman"/>
          <w:b/>
          <w:bCs/>
        </w:rPr>
      </w:pPr>
      <w:r w:rsidRPr="003A6DE9">
        <w:rPr>
          <w:rFonts w:cs="Times New Roman"/>
          <w:b/>
          <w:bCs/>
        </w:rPr>
        <w:t>Procedures</w:t>
      </w:r>
    </w:p>
    <w:p w14:paraId="42E9A924" w14:textId="77777777" w:rsidR="00B1733F" w:rsidRPr="00991385" w:rsidRDefault="00B1733F" w:rsidP="00B1733F">
      <w:pPr>
        <w:spacing w:after="0"/>
        <w:jc w:val="both"/>
        <w:rPr>
          <w:rFonts w:cs="Times New Roman"/>
          <w:i/>
          <w:iCs/>
        </w:rPr>
      </w:pPr>
      <w:r>
        <w:rPr>
          <w:rFonts w:cs="Times New Roman"/>
          <w:i/>
          <w:iCs/>
        </w:rPr>
        <w:t>Dams</w:t>
      </w:r>
    </w:p>
    <w:p w14:paraId="190AACC3" w14:textId="7706E9A2" w:rsidR="00B1733F" w:rsidRDefault="00B1733F" w:rsidP="00B1733F">
      <w:pPr>
        <w:spacing w:after="0"/>
        <w:ind w:firstLine="720"/>
        <w:jc w:val="both"/>
        <w:rPr>
          <w:rFonts w:cs="Times New Roman"/>
          <w:bCs/>
        </w:rPr>
      </w:pPr>
      <w:r w:rsidRPr="003A6DE9">
        <w:rPr>
          <w:rFonts w:cs="Times New Roman"/>
          <w:bCs/>
        </w:rPr>
        <w:t>On GD</w:t>
      </w:r>
      <w:r>
        <w:rPr>
          <w:rFonts w:cs="Times New Roman"/>
          <w:bCs/>
        </w:rPr>
        <w:t>9</w:t>
      </w:r>
      <w:r w:rsidRPr="003A6DE9">
        <w:rPr>
          <w:rFonts w:cs="Times New Roman"/>
          <w:bCs/>
        </w:rPr>
        <w:t xml:space="preserve"> dams were randomly allocated to one of </w:t>
      </w:r>
      <w:r>
        <w:rPr>
          <w:rFonts w:cs="Times New Roman"/>
          <w:bCs/>
        </w:rPr>
        <w:t>three</w:t>
      </w:r>
      <w:r w:rsidRPr="003A6DE9">
        <w:rPr>
          <w:rFonts w:cs="Times New Roman"/>
          <w:bCs/>
        </w:rPr>
        <w:t xml:space="preserve"> experimental conditions: sham surgery/water (Sham</w:t>
      </w:r>
      <w:r>
        <w:rPr>
          <w:rFonts w:cs="Times New Roman"/>
          <w:bCs/>
        </w:rPr>
        <w:t>/Veh</w:t>
      </w:r>
      <w:r w:rsidRPr="003A6DE9">
        <w:rPr>
          <w:rFonts w:cs="Times New Roman"/>
          <w:bCs/>
        </w:rPr>
        <w:t>), methadone pump/water (Met</w:t>
      </w:r>
      <w:r>
        <w:rPr>
          <w:rFonts w:cs="Times New Roman"/>
          <w:bCs/>
        </w:rPr>
        <w:t>/Veh</w:t>
      </w:r>
      <w:r w:rsidRPr="003A6DE9">
        <w:rPr>
          <w:rFonts w:cs="Times New Roman"/>
          <w:bCs/>
        </w:rPr>
        <w:t xml:space="preserve">), </w:t>
      </w:r>
      <w:r>
        <w:rPr>
          <w:rFonts w:cs="Times New Roman"/>
          <w:bCs/>
        </w:rPr>
        <w:t>methadone pump</w:t>
      </w:r>
      <w:r w:rsidRPr="003A6DE9">
        <w:rPr>
          <w:rFonts w:cs="Times New Roman"/>
          <w:bCs/>
        </w:rPr>
        <w:t>/</w:t>
      </w:r>
      <w:r>
        <w:rPr>
          <w:rFonts w:cs="Times New Roman"/>
          <w:bCs/>
        </w:rPr>
        <w:t>s</w:t>
      </w:r>
      <w:r w:rsidRPr="003A6DE9">
        <w:rPr>
          <w:rFonts w:cs="Times New Roman"/>
          <w:bCs/>
        </w:rPr>
        <w:t>odium butyrate</w:t>
      </w:r>
      <w:r>
        <w:rPr>
          <w:rFonts w:cs="Times New Roman"/>
          <w:bCs/>
        </w:rPr>
        <w:t xml:space="preserve"> (Met/NaB)</w:t>
      </w:r>
      <w:r w:rsidRPr="003A6DE9">
        <w:rPr>
          <w:rFonts w:cs="Times New Roman"/>
          <w:bCs/>
        </w:rPr>
        <w:t>.</w:t>
      </w:r>
      <w:r>
        <w:rPr>
          <w:rFonts w:cs="Times New Roman"/>
          <w:bCs/>
        </w:rPr>
        <w:t xml:space="preserve"> When pregnancy was not detected by GD9, dams were allocated to Sham and underwent sham surgery on P3 only.</w:t>
      </w:r>
      <w:r w:rsidRPr="003A6DE9">
        <w:rPr>
          <w:rFonts w:cs="Times New Roman"/>
          <w:bCs/>
        </w:rPr>
        <w:t xml:space="preserve"> </w:t>
      </w:r>
      <w:r>
        <w:rPr>
          <w:rFonts w:cs="Times New Roman"/>
          <w:bCs/>
        </w:rPr>
        <w:t xml:space="preserve">Final dam group allocations were Sham/Veh=11, Met/Veh=17, Met/NaB=9. </w:t>
      </w:r>
    </w:p>
    <w:p w14:paraId="499270C8" w14:textId="77777777" w:rsidR="00B1733F" w:rsidRDefault="00B1733F" w:rsidP="00B1733F">
      <w:pPr>
        <w:spacing w:after="0"/>
        <w:jc w:val="both"/>
        <w:rPr>
          <w:rFonts w:cs="Times New Roman"/>
          <w:bCs/>
          <w:i/>
          <w:iCs/>
        </w:rPr>
      </w:pPr>
      <w:r>
        <w:rPr>
          <w:rFonts w:cs="Times New Roman"/>
          <w:bCs/>
          <w:i/>
          <w:iCs/>
        </w:rPr>
        <w:t>Pups</w:t>
      </w:r>
    </w:p>
    <w:p w14:paraId="11FD8E7D" w14:textId="77777777" w:rsidR="00B1733F" w:rsidRPr="00671C37" w:rsidRDefault="00B1733F" w:rsidP="00B1733F">
      <w:pPr>
        <w:spacing w:after="0"/>
        <w:jc w:val="both"/>
        <w:rPr>
          <w:rFonts w:cs="Times New Roman"/>
          <w:bCs/>
          <w:color w:val="EE0000"/>
        </w:rPr>
      </w:pPr>
      <w:r>
        <w:rPr>
          <w:rFonts w:cs="Times New Roman"/>
          <w:bCs/>
        </w:rPr>
        <w:tab/>
        <w:t xml:space="preserve">One male and one female pup from each litter underwent assessment in vivo assessment of gut permeability as described in the main text. </w:t>
      </w:r>
    </w:p>
    <w:p w14:paraId="7DC1B879" w14:textId="7F4B89C8" w:rsidR="004C2A1D" w:rsidRDefault="004C2A1D" w:rsidP="00B1733F">
      <w:pPr>
        <w:jc w:val="left"/>
        <w:rPr>
          <w:rFonts w:cs="Times New Roman"/>
          <w:i/>
          <w:iCs/>
        </w:rPr>
      </w:pPr>
      <w:bookmarkStart w:id="2" w:name="_Surgery"/>
      <w:bookmarkStart w:id="3" w:name="_Hlk211353336"/>
      <w:bookmarkEnd w:id="2"/>
      <w:r>
        <w:rPr>
          <w:rFonts w:cs="Times New Roman"/>
          <w:i/>
          <w:iCs/>
        </w:rPr>
        <w:lastRenderedPageBreak/>
        <w:t xml:space="preserve">Supplementary Method </w:t>
      </w:r>
      <w:r w:rsidR="007B14F6">
        <w:rPr>
          <w:rFonts w:cs="Times New Roman"/>
          <w:i/>
          <w:iCs/>
        </w:rPr>
        <w:t>ix</w:t>
      </w:r>
      <w:r>
        <w:rPr>
          <w:rFonts w:cs="Times New Roman"/>
          <w:i/>
          <w:iCs/>
        </w:rPr>
        <w:t xml:space="preserve">: </w:t>
      </w:r>
      <w:r w:rsidR="008A521B">
        <w:rPr>
          <w:rFonts w:cs="Times New Roman"/>
          <w:i/>
          <w:iCs/>
        </w:rPr>
        <w:t>M</w:t>
      </w:r>
      <w:r>
        <w:rPr>
          <w:rFonts w:cs="Times New Roman"/>
          <w:i/>
          <w:iCs/>
        </w:rPr>
        <w:t>orphological</w:t>
      </w:r>
      <w:r w:rsidR="008A521B">
        <w:rPr>
          <w:rFonts w:cs="Times New Roman"/>
          <w:i/>
          <w:iCs/>
        </w:rPr>
        <w:t xml:space="preserve"> A</w:t>
      </w:r>
      <w:r>
        <w:rPr>
          <w:rFonts w:cs="Times New Roman"/>
          <w:i/>
          <w:iCs/>
        </w:rPr>
        <w:t xml:space="preserve">nalysis of </w:t>
      </w:r>
      <w:r w:rsidR="008A521B">
        <w:rPr>
          <w:rFonts w:cs="Times New Roman"/>
          <w:i/>
          <w:iCs/>
        </w:rPr>
        <w:t>M</w:t>
      </w:r>
      <w:r>
        <w:rPr>
          <w:rFonts w:cs="Times New Roman"/>
          <w:i/>
          <w:iCs/>
        </w:rPr>
        <w:t xml:space="preserve">icroglia in the </w:t>
      </w:r>
      <w:r w:rsidR="008A521B">
        <w:rPr>
          <w:rFonts w:cs="Times New Roman"/>
          <w:i/>
          <w:iCs/>
        </w:rPr>
        <w:t>D</w:t>
      </w:r>
      <w:r>
        <w:rPr>
          <w:rFonts w:cs="Times New Roman"/>
          <w:i/>
          <w:iCs/>
        </w:rPr>
        <w:t xml:space="preserve">entate </w:t>
      </w:r>
      <w:r w:rsidR="008A521B">
        <w:rPr>
          <w:rFonts w:cs="Times New Roman"/>
          <w:i/>
          <w:iCs/>
        </w:rPr>
        <w:t>G</w:t>
      </w:r>
      <w:r>
        <w:rPr>
          <w:rFonts w:cs="Times New Roman"/>
          <w:i/>
          <w:iCs/>
        </w:rPr>
        <w:t>yrus</w:t>
      </w:r>
      <w:r w:rsidR="00460CED">
        <w:rPr>
          <w:rFonts w:cs="Times New Roman"/>
          <w:i/>
          <w:iCs/>
        </w:rPr>
        <w:t xml:space="preserve"> at P21</w:t>
      </w:r>
    </w:p>
    <w:p w14:paraId="40F1E53E" w14:textId="3CEDE0D5" w:rsidR="004C2A1D" w:rsidRDefault="004C2A1D" w:rsidP="00B1733F">
      <w:pPr>
        <w:jc w:val="left"/>
        <w:rPr>
          <w:rFonts w:cs="Times New Roman"/>
          <w:bCs/>
        </w:rPr>
      </w:pPr>
      <w:r>
        <w:rPr>
          <w:rFonts w:cs="Times New Roman"/>
        </w:rPr>
        <w:tab/>
        <w:t>To assess the impact of drug exposure on microglial morphology further analysis was performed on the image</w:t>
      </w:r>
      <w:r w:rsidR="00E90787">
        <w:rPr>
          <w:rFonts w:cs="Times New Roman"/>
        </w:rPr>
        <w:t>s</w:t>
      </w:r>
      <w:r>
        <w:rPr>
          <w:rFonts w:cs="Times New Roman"/>
        </w:rPr>
        <w:t xml:space="preserve"> acquired </w:t>
      </w:r>
      <w:r w:rsidR="00E90787">
        <w:rPr>
          <w:rFonts w:cs="Times New Roman"/>
        </w:rPr>
        <w:t>from</w:t>
      </w:r>
      <w:r>
        <w:rPr>
          <w:rFonts w:cs="Times New Roman"/>
        </w:rPr>
        <w:t xml:space="preserve"> the dentate gyrus</w:t>
      </w:r>
      <w:r w:rsidR="00E90787">
        <w:rPr>
          <w:rFonts w:cs="Times New Roman"/>
        </w:rPr>
        <w:t xml:space="preserve"> </w:t>
      </w:r>
      <w:r>
        <w:rPr>
          <w:rFonts w:cs="Times New Roman"/>
        </w:rPr>
        <w:t>(</w:t>
      </w:r>
      <w:r w:rsidRPr="00F67154">
        <w:rPr>
          <w:bCs/>
        </w:rPr>
        <w:t>Supplementary Methods F</w:t>
      </w:r>
      <w:r w:rsidRPr="00F67154">
        <w:rPr>
          <w:rFonts w:cs="Times New Roman"/>
          <w:bCs/>
        </w:rPr>
        <w:t>igure ii</w:t>
      </w:r>
      <w:r>
        <w:rPr>
          <w:rFonts w:cs="Times New Roman"/>
          <w:bCs/>
        </w:rPr>
        <w:t>)</w:t>
      </w:r>
      <w:r w:rsidRPr="00F67154">
        <w:rPr>
          <w:rFonts w:cs="Times New Roman"/>
          <w:bCs/>
        </w:rPr>
        <w:t xml:space="preserve">.   </w:t>
      </w:r>
      <w:r>
        <w:rPr>
          <w:rFonts w:cs="Times New Roman"/>
          <w:bCs/>
        </w:rPr>
        <w:t xml:space="preserve">Images were analyzed in ImageJ </w:t>
      </w:r>
      <w:r w:rsidRPr="00F67154">
        <w:rPr>
          <w:rFonts w:cs="Times New Roman"/>
          <w:bCs/>
        </w:rPr>
        <w:t>(National Institutes of Health, Bethesda, US)</w:t>
      </w:r>
      <w:r>
        <w:rPr>
          <w:rFonts w:cs="Times New Roman"/>
          <w:bCs/>
        </w:rPr>
        <w:t xml:space="preserve"> using the Analyze Skeleton </w:t>
      </w:r>
      <w:r w:rsidR="004056B3">
        <w:rPr>
          <w:rFonts w:cs="Times New Roman"/>
          <w:bCs/>
        </w:rPr>
        <w:fldChar w:fldCharType="begin"/>
      </w:r>
      <w:r w:rsidR="001F4F4C">
        <w:rPr>
          <w:rFonts w:cs="Times New Roman"/>
          <w:bCs/>
        </w:rPr>
        <w:instrText xml:space="preserve"> ADDIN ZOTERO_ITEM CSL_CITATION {"citationID":"ucF3H15s","properties":{"formattedCitation":"(15)","plainCitation":"(15)","noteIndex":0},"citationItems":[{"id":2263,"uris":["http://zotero.org/users/9218094/items/Y8SZYCR9"],"itemData":{"id":2263,"type":"article-journal","abstract":"In this article, we present a novel method for the automatic 3D reconstruction of thick tissue blocks from 2D histological sections. The algorithm completes a high-content (multiscale, multifeature) imaging system for simultaneous morphological and molecular analysis of thick tissue samples. This computer-based system integrates image acquisition, annotation, registration, and three-dimensional reconstruction. We present an experimental validation of this tool using both synthetic and real data. In particular, we present the 3D reconstruction of an entire mouse mammary gland and demonstrate the integration of high-resolution molecular data. Microsc. Res. Tech. 73:1019–1029, 2010. © 2010 Wiley-Liss, Inc.","container-title":"Microscopy Research and Technique","DOI":"10.1002/jemt.20829","ISSN":"1097-0029","issue":"11","language":"en","note":"_eprint: https://analyticalsciencejournals.onlinelibrary.wiley.com/doi/pdf/10.1002/jemt.20829","page":"1019-1029","source":"Wiley Online Library","title":"3D reconstruction of histological sections: Application to mammary gland tissue","title-short":"3D reconstruction of histological sections","volume":"73","author":[{"family":"Arganda-Carreras","given":"Ignacio"},{"family":"Fernández-González","given":"Rodrigo"},{"family":"Muñoz-Barrutia","given":"Arrate"},{"family":"Ortiz-De-Solorzano","given":"Carlos"}],"issued":{"date-parts":[["2010"]]}}}],"schema":"https://github.com/citation-style-language/schema/raw/master/csl-citation.json"} </w:instrText>
      </w:r>
      <w:r w:rsidR="004056B3">
        <w:rPr>
          <w:rFonts w:cs="Times New Roman"/>
          <w:bCs/>
        </w:rPr>
        <w:fldChar w:fldCharType="separate"/>
      </w:r>
      <w:r w:rsidR="001F4F4C">
        <w:rPr>
          <w:rFonts w:cs="Times New Roman"/>
        </w:rPr>
        <w:t>(15)</w:t>
      </w:r>
      <w:r w:rsidR="004056B3">
        <w:rPr>
          <w:rFonts w:cs="Times New Roman"/>
          <w:bCs/>
        </w:rPr>
        <w:fldChar w:fldCharType="end"/>
      </w:r>
      <w:r w:rsidR="004056B3">
        <w:rPr>
          <w:rFonts w:cs="Times New Roman"/>
          <w:bCs/>
        </w:rPr>
        <w:t xml:space="preserve"> </w:t>
      </w:r>
      <w:r>
        <w:rPr>
          <w:rFonts w:cs="Times New Roman"/>
          <w:bCs/>
        </w:rPr>
        <w:t>and Sholl analysis</w:t>
      </w:r>
      <w:r w:rsidR="00E90787">
        <w:rPr>
          <w:rFonts w:cs="Times New Roman"/>
          <w:bCs/>
        </w:rPr>
        <w:t xml:space="preserve"> </w:t>
      </w:r>
      <w:r w:rsidR="00E90787">
        <w:rPr>
          <w:rFonts w:cs="Times New Roman"/>
          <w:bCs/>
        </w:rPr>
        <w:fldChar w:fldCharType="begin"/>
      </w:r>
      <w:r w:rsidR="001F4F4C">
        <w:rPr>
          <w:rFonts w:cs="Times New Roman"/>
          <w:bCs/>
        </w:rPr>
        <w:instrText xml:space="preserve"> ADDIN ZOTERO_ITEM CSL_CITATION {"citationID":"u6ucrv7S","properties":{"formattedCitation":"(16)","plainCitation":"(16)","noteIndex":0},"citationItems":[{"id":2264,"uris":["http://zotero.org/users/9218094/items/XTL3DS77"],"itemData":{"id":2264,"type":"article-journal","container-title":"Nature methods","DOI":"10.1038/nmeth.3125","ISSN":"1548-7091","issue":"10","journalAbbreviation":"Nat Methods","note":"PMID: 25264773\nPMCID: PMC5271921","page":"982-984","source":"PubMed Central","title":"Neuronal morphometry directly from bitmap images","volume":"11","author":[{"family":"Ferreira","given":"Tiago A"},{"family":"Blackman","given":"Arne V"},{"family":"Oyrer","given":"Julia"},{"family":"Jayabal","given":"Sriram"},{"family":"Chung","given":"Andrew J"},{"family":"Watt","given":"Alanna J"},{"family":"Sjöström","given":"P Jesper"},{"family":"Meyel","given":"Donald J","non-dropping-particle":"van"}],"issued":{"date-parts":[["2014",10]]}}}],"schema":"https://github.com/citation-style-language/schema/raw/master/csl-citation.json"} </w:instrText>
      </w:r>
      <w:r w:rsidR="00E90787">
        <w:rPr>
          <w:rFonts w:cs="Times New Roman"/>
          <w:bCs/>
        </w:rPr>
        <w:fldChar w:fldCharType="separate"/>
      </w:r>
      <w:r w:rsidR="001F4F4C">
        <w:rPr>
          <w:rFonts w:cs="Times New Roman"/>
        </w:rPr>
        <w:t>(16)</w:t>
      </w:r>
      <w:r w:rsidR="00E90787">
        <w:rPr>
          <w:rFonts w:cs="Times New Roman"/>
          <w:bCs/>
        </w:rPr>
        <w:fldChar w:fldCharType="end"/>
      </w:r>
      <w:r>
        <w:rPr>
          <w:rFonts w:cs="Times New Roman"/>
          <w:bCs/>
        </w:rPr>
        <w:t xml:space="preserve"> function</w:t>
      </w:r>
      <w:r w:rsidR="00E90787">
        <w:rPr>
          <w:rFonts w:cs="Times New Roman"/>
          <w:bCs/>
        </w:rPr>
        <w:t>s</w:t>
      </w:r>
      <w:r>
        <w:rPr>
          <w:rFonts w:cs="Times New Roman"/>
          <w:bCs/>
        </w:rPr>
        <w:t xml:space="preserve">. </w:t>
      </w:r>
      <w:r w:rsidR="00E90787">
        <w:rPr>
          <w:rFonts w:cs="Times New Roman"/>
          <w:bCs/>
        </w:rPr>
        <w:t>The p</w:t>
      </w:r>
      <w:r w:rsidR="0046604A">
        <w:rPr>
          <w:rFonts w:cs="Times New Roman"/>
          <w:bCs/>
        </w:rPr>
        <w:t>rotocol</w:t>
      </w:r>
      <w:r>
        <w:rPr>
          <w:rFonts w:cs="Times New Roman"/>
          <w:bCs/>
        </w:rPr>
        <w:t xml:space="preserve"> was based on </w:t>
      </w:r>
      <w:r w:rsidR="00E90787">
        <w:rPr>
          <w:rFonts w:cs="Times New Roman"/>
          <w:bCs/>
        </w:rPr>
        <w:t xml:space="preserve">a </w:t>
      </w:r>
      <w:r w:rsidR="004056B3">
        <w:rPr>
          <w:rFonts w:cs="Times New Roman"/>
          <w:bCs/>
        </w:rPr>
        <w:t xml:space="preserve">previously published </w:t>
      </w:r>
      <w:r w:rsidR="008A521B">
        <w:rPr>
          <w:rFonts w:cs="Times New Roman"/>
          <w:bCs/>
        </w:rPr>
        <w:t>work</w:t>
      </w:r>
      <w:r w:rsidR="004056B3">
        <w:rPr>
          <w:rFonts w:cs="Times New Roman"/>
          <w:bCs/>
        </w:rPr>
        <w:t xml:space="preserve"> </w:t>
      </w:r>
      <w:r w:rsidR="004056B3">
        <w:rPr>
          <w:rFonts w:cs="Times New Roman"/>
          <w:bCs/>
        </w:rPr>
        <w:fldChar w:fldCharType="begin"/>
      </w:r>
      <w:r w:rsidR="001F4F4C">
        <w:rPr>
          <w:rFonts w:cs="Times New Roman"/>
          <w:bCs/>
        </w:rPr>
        <w:instrText xml:space="preserve"> ADDIN ZOTERO_ITEM CSL_CITATION {"citationID":"sX2ohvjm","properties":{"formattedCitation":"(17)","plainCitation":"(17)","noteIndex":0},"citationItems":[{"id":2262,"uris":["http://zotero.org/users/9218094/items/MQBB7P5C"],"itemData":{"id":2262,"type":"article-journal","abstract":"Microglia are brain phagocytes that participate in brain homeostasis and\ncontinuously survey their environment for dysfunction, injury, and disease. As\nthe first responders, microglia have important functions to mitigate neuron and\nglia dysfunction, and in this process, they undergo a broad range of morphologic\nchanges. Microglia morphologies can be categorized descriptively or,\nalternatively, can be quantified as a continuous variable for parameters such as\ncell ramification, complexity, and shape. While methods for quantifying\nmicroglia are applied to single cells, few techniques apply to multiple\nmicroglia in an entire photomicrograph. The purpose of this method is to\nquantify multiple and single cells using readily available ImageJ protocols.\nThis protocol is a summary of the steps and ImageJ plugins recommended to\nconvert fluorescence and bright-field photomicrographs into representative\nbinary and skeletonized images and to analyze them using software plugins\nAnalyzeSkeleton (2D/3D) and FracLac for morphology data collection. The outputs\nof these plugins summarize cell morphology in terms of process endpoints,\njunctions, and length as well as complexity, cell shape, and size descriptors.\nThe skeleton analysis protocol described herein is well suited for a regional\nanalysis of multiple microglia within an entire photomicrograph or region of\ninterest (ROI) whereas FracLac provides a complementary individual cell\nanalysis. Combined, the protocol provides an objective, sensitive, and\ncomprehensive assessment tool that can be used to stratify between diverse\nmicroglia morphologies present in the healthy and injured brain.","container-title":"Journal of Visualized Experiments : JoVE","DOI":"10.3791/57648","ISSN":"1940-087X","issue":"136","journalAbbreviation":"J Vis Exp","note":"PMID: 29939190\nPMCID: PMC6103256","page":"57648","source":"PubMed Central","title":"Quantifying Microglia Morphology from Photomicrographs of Immunohistochemistry Prepared Tissue Using ImageJ","author":[{"family":"Young","given":"Kimberly"},{"family":"Morrison","given":"Helena"}],"issued":{"date-parts":[["2018",6,5]]}}}],"schema":"https://github.com/citation-style-language/schema/raw/master/csl-citation.json"} </w:instrText>
      </w:r>
      <w:r w:rsidR="004056B3">
        <w:rPr>
          <w:rFonts w:cs="Times New Roman"/>
          <w:bCs/>
        </w:rPr>
        <w:fldChar w:fldCharType="separate"/>
      </w:r>
      <w:r w:rsidR="001F4F4C">
        <w:rPr>
          <w:rFonts w:cs="Times New Roman"/>
        </w:rPr>
        <w:t>(17)</w:t>
      </w:r>
      <w:r w:rsidR="004056B3">
        <w:rPr>
          <w:rFonts w:cs="Times New Roman"/>
          <w:bCs/>
        </w:rPr>
        <w:fldChar w:fldCharType="end"/>
      </w:r>
      <w:r w:rsidR="004056B3">
        <w:rPr>
          <w:rFonts w:cs="Times New Roman"/>
          <w:bCs/>
        </w:rPr>
        <w:t>. A</w:t>
      </w:r>
      <w:r w:rsidR="0046604A">
        <w:rPr>
          <w:rFonts w:cs="Times New Roman"/>
          <w:bCs/>
        </w:rPr>
        <w:t xml:space="preserve">ll image processing was performed blinded to condition. </w:t>
      </w:r>
    </w:p>
    <w:p w14:paraId="02BBECB3" w14:textId="652CB7D5" w:rsidR="004C2A1D" w:rsidRDefault="004C2A1D" w:rsidP="00B1733F">
      <w:pPr>
        <w:jc w:val="left"/>
        <w:rPr>
          <w:rFonts w:cs="Times New Roman"/>
          <w:bCs/>
        </w:rPr>
      </w:pPr>
      <w:r>
        <w:rPr>
          <w:rFonts w:cs="Times New Roman"/>
          <w:bCs/>
        </w:rPr>
        <w:tab/>
        <w:t xml:space="preserve">For whole image skeleton analysis, images of the </w:t>
      </w:r>
      <w:r w:rsidR="00E90787">
        <w:rPr>
          <w:rFonts w:cs="Times New Roman"/>
          <w:bCs/>
        </w:rPr>
        <w:t>dentate gyrus</w:t>
      </w:r>
      <w:r>
        <w:rPr>
          <w:rFonts w:cs="Times New Roman"/>
          <w:bCs/>
        </w:rPr>
        <w:t xml:space="preserve"> were opened in </w:t>
      </w:r>
      <w:r w:rsidR="0046604A">
        <w:rPr>
          <w:rFonts w:cs="Times New Roman"/>
          <w:bCs/>
        </w:rPr>
        <w:t>ImageJ</w:t>
      </w:r>
      <w:r>
        <w:rPr>
          <w:rFonts w:cs="Times New Roman"/>
          <w:bCs/>
        </w:rPr>
        <w:t xml:space="preserve"> and a manual cell count performed. The images were then duplicated and a macro was run to apply the functions </w:t>
      </w:r>
      <w:r w:rsidR="0046604A">
        <w:rPr>
          <w:rFonts w:cs="Times New Roman"/>
          <w:bCs/>
        </w:rPr>
        <w:t>U</w:t>
      </w:r>
      <w:r>
        <w:rPr>
          <w:rFonts w:cs="Times New Roman"/>
          <w:bCs/>
        </w:rPr>
        <w:t xml:space="preserve">nsharp </w:t>
      </w:r>
      <w:r w:rsidR="0046604A">
        <w:rPr>
          <w:rFonts w:cs="Times New Roman"/>
          <w:bCs/>
        </w:rPr>
        <w:t>M</w:t>
      </w:r>
      <w:r>
        <w:rPr>
          <w:rFonts w:cs="Times New Roman"/>
          <w:bCs/>
        </w:rPr>
        <w:t xml:space="preserve">ask, </w:t>
      </w:r>
      <w:r w:rsidR="0046604A">
        <w:rPr>
          <w:rFonts w:cs="Times New Roman"/>
          <w:bCs/>
        </w:rPr>
        <w:t>D</w:t>
      </w:r>
      <w:r>
        <w:rPr>
          <w:rFonts w:cs="Times New Roman"/>
          <w:bCs/>
        </w:rPr>
        <w:t xml:space="preserve">especkle, transform to 8-bit, threshold “Triangle” applied, Binary close, Skeletonize, and Analyze Skeleton. The output generated was then sorted by the number of branches </w:t>
      </w:r>
      <w:r w:rsidR="00E90787">
        <w:rPr>
          <w:rFonts w:cs="Times New Roman"/>
          <w:bCs/>
        </w:rPr>
        <w:t xml:space="preserve">from </w:t>
      </w:r>
      <w:r>
        <w:rPr>
          <w:rFonts w:cs="Times New Roman"/>
          <w:bCs/>
        </w:rPr>
        <w:t xml:space="preserve">highest to lowest, and only the number of </w:t>
      </w:r>
      <w:r w:rsidR="00E90787">
        <w:rPr>
          <w:rFonts w:cs="Times New Roman"/>
          <w:bCs/>
        </w:rPr>
        <w:t>identified skeletons</w:t>
      </w:r>
      <w:r>
        <w:rPr>
          <w:rFonts w:cs="Times New Roman"/>
          <w:bCs/>
        </w:rPr>
        <w:t xml:space="preserve"> that corresponded to the number of cells manually counted where retained. The values of these </w:t>
      </w:r>
      <w:r w:rsidR="00E90787">
        <w:rPr>
          <w:rFonts w:cs="Times New Roman"/>
          <w:bCs/>
        </w:rPr>
        <w:t>skeletons</w:t>
      </w:r>
      <w:r>
        <w:rPr>
          <w:rFonts w:cs="Times New Roman"/>
          <w:bCs/>
        </w:rPr>
        <w:t xml:space="preserve"> for each outcome from an image were averaged and used for analysis. </w:t>
      </w:r>
    </w:p>
    <w:p w14:paraId="02FE2E3C" w14:textId="68241821" w:rsidR="004C2A1D" w:rsidRDefault="004C2A1D" w:rsidP="00B1733F">
      <w:pPr>
        <w:jc w:val="left"/>
        <w:rPr>
          <w:rFonts w:cs="Times New Roman"/>
          <w:bCs/>
        </w:rPr>
      </w:pPr>
      <w:r>
        <w:rPr>
          <w:rFonts w:cs="Times New Roman"/>
          <w:bCs/>
        </w:rPr>
        <w:tab/>
        <w:t xml:space="preserve">For individual microglia skeleton </w:t>
      </w:r>
      <w:proofErr w:type="gramStart"/>
      <w:r>
        <w:rPr>
          <w:rFonts w:cs="Times New Roman"/>
          <w:bCs/>
        </w:rPr>
        <w:t>analysis</w:t>
      </w:r>
      <w:proofErr w:type="gramEnd"/>
      <w:r>
        <w:rPr>
          <w:rFonts w:cs="Times New Roman"/>
          <w:bCs/>
        </w:rPr>
        <w:t xml:space="preserve"> a macro was run</w:t>
      </w:r>
      <w:r w:rsidR="00E90787">
        <w:rPr>
          <w:rFonts w:cs="Times New Roman"/>
          <w:bCs/>
        </w:rPr>
        <w:t xml:space="preserve"> on a further duplicate</w:t>
      </w:r>
      <w:r>
        <w:rPr>
          <w:rFonts w:cs="Times New Roman"/>
          <w:bCs/>
        </w:rPr>
        <w:t xml:space="preserve"> </w:t>
      </w:r>
      <w:r w:rsidR="0046604A">
        <w:rPr>
          <w:rFonts w:cs="Times New Roman"/>
          <w:bCs/>
        </w:rPr>
        <w:t>to apply the functions Unsharp Mask, Despeckle, transform to 8-bit, threshold “Triangle” applied</w:t>
      </w:r>
      <w:r w:rsidR="00E90787">
        <w:rPr>
          <w:rFonts w:cs="Times New Roman"/>
          <w:bCs/>
        </w:rPr>
        <w:t xml:space="preserve"> and</w:t>
      </w:r>
      <w:r w:rsidR="0046604A">
        <w:rPr>
          <w:rFonts w:cs="Times New Roman"/>
          <w:bCs/>
        </w:rPr>
        <w:t xml:space="preserve"> Binary close. Seven microglia from this processed image were then selected randomly and</w:t>
      </w:r>
      <w:r w:rsidR="008A521B">
        <w:rPr>
          <w:rFonts w:cs="Times New Roman"/>
          <w:bCs/>
        </w:rPr>
        <w:t>,</w:t>
      </w:r>
      <w:r w:rsidR="0046604A">
        <w:rPr>
          <w:rFonts w:cs="Times New Roman"/>
          <w:bCs/>
        </w:rPr>
        <w:t xml:space="preserve"> using the original image as a </w:t>
      </w:r>
      <w:r w:rsidR="00E90787">
        <w:rPr>
          <w:rFonts w:cs="Times New Roman"/>
          <w:bCs/>
        </w:rPr>
        <w:t>reference</w:t>
      </w:r>
      <w:r w:rsidR="0046604A">
        <w:rPr>
          <w:rFonts w:cs="Times New Roman"/>
          <w:bCs/>
        </w:rPr>
        <w:t xml:space="preserve">, back ground noise manually removed and microglia processes manually joined. On these individual images the processes Skeletonize and Analyze Skeleton were then run. The output for each outcome from the cells from </w:t>
      </w:r>
      <w:r w:rsidR="00E90787">
        <w:rPr>
          <w:rFonts w:cs="Times New Roman"/>
          <w:bCs/>
        </w:rPr>
        <w:t>an</w:t>
      </w:r>
      <w:r w:rsidR="0046604A">
        <w:rPr>
          <w:rFonts w:cs="Times New Roman"/>
          <w:bCs/>
        </w:rPr>
        <w:t xml:space="preserve"> image was averaged and used for analysis. </w:t>
      </w:r>
    </w:p>
    <w:p w14:paraId="03B6FFE0" w14:textId="2315ADB1" w:rsidR="0046604A" w:rsidRPr="008A521B" w:rsidRDefault="0046604A" w:rsidP="00B1733F">
      <w:pPr>
        <w:jc w:val="left"/>
        <w:rPr>
          <w:rFonts w:cs="Times New Roman"/>
          <w:bCs/>
        </w:rPr>
      </w:pPr>
      <w:r>
        <w:rPr>
          <w:rFonts w:cs="Times New Roman"/>
          <w:bCs/>
        </w:rPr>
        <w:tab/>
        <w:t xml:space="preserve">For Sholl analysis the same individual images were used, prior to the application of Skeletonize and Analyze Skeleton. A radius was drawn from the center of the cell body and </w:t>
      </w:r>
      <w:r>
        <w:rPr>
          <w:rFonts w:cs="Times New Roman"/>
          <w:bCs/>
        </w:rPr>
        <w:lastRenderedPageBreak/>
        <w:t xml:space="preserve">Sholl analysis </w:t>
      </w:r>
      <w:r w:rsidR="00E90787">
        <w:rPr>
          <w:rFonts w:cs="Times New Roman"/>
          <w:bCs/>
        </w:rPr>
        <w:t>run</w:t>
      </w:r>
      <w:r>
        <w:rPr>
          <w:rFonts w:cs="Times New Roman"/>
          <w:bCs/>
        </w:rPr>
        <w:t xml:space="preserve">. The output for each outcome from the cells from </w:t>
      </w:r>
      <w:r w:rsidR="00E90787">
        <w:rPr>
          <w:rFonts w:cs="Times New Roman"/>
          <w:bCs/>
        </w:rPr>
        <w:t>an</w:t>
      </w:r>
      <w:r>
        <w:rPr>
          <w:rFonts w:cs="Times New Roman"/>
          <w:bCs/>
        </w:rPr>
        <w:t xml:space="preserve"> image was averaged and used for analysis. </w:t>
      </w:r>
    </w:p>
    <w:bookmarkEnd w:id="3"/>
    <w:p w14:paraId="20A2E1B0" w14:textId="7D9A6047" w:rsidR="00B86C06" w:rsidRDefault="00B86C06" w:rsidP="00B86C06">
      <w:pPr>
        <w:jc w:val="left"/>
        <w:rPr>
          <w:rFonts w:cs="Times New Roman"/>
          <w:i/>
          <w:iCs/>
        </w:rPr>
      </w:pPr>
      <w:r>
        <w:rPr>
          <w:rFonts w:cs="Times New Roman"/>
          <w:i/>
          <w:iCs/>
        </w:rPr>
        <w:t xml:space="preserve">Supplementary Method x: </w:t>
      </w:r>
      <w:r w:rsidR="007E2E54">
        <w:rPr>
          <w:rFonts w:cs="Times New Roman"/>
          <w:i/>
          <w:iCs/>
        </w:rPr>
        <w:t>Data</w:t>
      </w:r>
      <w:r>
        <w:rPr>
          <w:rFonts w:cs="Times New Roman"/>
          <w:i/>
          <w:iCs/>
        </w:rPr>
        <w:t xml:space="preserve"> analysis</w:t>
      </w:r>
    </w:p>
    <w:p w14:paraId="68678BEC" w14:textId="4A4135CF" w:rsidR="00A62004" w:rsidRDefault="00B86C06" w:rsidP="00B86C06">
      <w:pPr>
        <w:jc w:val="left"/>
        <w:rPr>
          <w:rFonts w:cs="Times New Roman"/>
          <w:bCs/>
          <w:color w:val="000000" w:themeColor="text1"/>
        </w:rPr>
      </w:pPr>
      <w:r>
        <w:rPr>
          <w:rFonts w:cs="Times New Roman"/>
        </w:rPr>
        <w:tab/>
      </w:r>
      <w:r w:rsidR="00977503" w:rsidRPr="00F97C90">
        <w:rPr>
          <w:rFonts w:cs="Times New Roman"/>
          <w:bCs/>
          <w:color w:val="000000" w:themeColor="text1"/>
        </w:rPr>
        <w:t>Intra-litter correlation (ICC) was evaluated for a subset of outcomes by comparing models with and without litter as a random factor. Litter effects were non-significant across measures, indicating negligible within-litter clustering.</w:t>
      </w:r>
    </w:p>
    <w:p w14:paraId="1A9737FF" w14:textId="45297137" w:rsidR="00044476" w:rsidRDefault="00044476" w:rsidP="00B86C06">
      <w:pPr>
        <w:jc w:val="left"/>
        <w:rPr>
          <w:rFonts w:cs="Times New Roman"/>
          <w:bCs/>
          <w:color w:val="000000" w:themeColor="text1"/>
        </w:rPr>
      </w:pPr>
      <w:r w:rsidRPr="00F97C90">
        <w:rPr>
          <w:rFonts w:cs="Times New Roman"/>
          <w:bCs/>
          <w:color w:val="000000" w:themeColor="text1"/>
        </w:rPr>
        <w:t xml:space="preserve">The specific n for each outcome is reported in </w:t>
      </w:r>
      <w:r w:rsidRPr="00044476">
        <w:rPr>
          <w:rFonts w:cs="Times New Roman"/>
          <w:color w:val="000000" w:themeColor="text1"/>
        </w:rPr>
        <w:t>each figure</w:t>
      </w:r>
      <w:r w:rsidRPr="00F97C90">
        <w:rPr>
          <w:rFonts w:cs="Times New Roman"/>
          <w:bCs/>
          <w:color w:val="000000" w:themeColor="text1"/>
        </w:rPr>
        <w:t xml:space="preserve"> legend. Scoring of the histological analysis </w:t>
      </w:r>
      <w:r w:rsidRPr="00044476">
        <w:rPr>
          <w:rFonts w:cs="Times New Roman"/>
          <w:bCs/>
          <w:color w:val="000000" w:themeColor="text1"/>
        </w:rPr>
        <w:t>was performed</w:t>
      </w:r>
      <w:r w:rsidRPr="00F97C90">
        <w:rPr>
          <w:rFonts w:cs="Times New Roman"/>
          <w:bCs/>
          <w:color w:val="000000" w:themeColor="text1"/>
        </w:rPr>
        <w:t xml:space="preserve"> by a blinded observer, while maternal care scoring was not blinded due to detectable differences between groups (e.g. the presence of a minipump, odor of NaB). Serum data was log-transformed before analysis.</w:t>
      </w:r>
    </w:p>
    <w:p w14:paraId="045B176A" w14:textId="71765CF0" w:rsidR="00FA1D7C" w:rsidRDefault="00FA1D7C" w:rsidP="00B86C06">
      <w:pPr>
        <w:jc w:val="left"/>
        <w:rPr>
          <w:rFonts w:cs="Times New Roman"/>
          <w:i/>
          <w:iCs/>
        </w:rPr>
      </w:pPr>
      <w:r w:rsidRPr="00F97C90">
        <w:rPr>
          <w:rFonts w:cs="Times New Roman"/>
          <w:bCs/>
          <w:color w:val="000000" w:themeColor="text1"/>
        </w:rPr>
        <w:t>For all analyses assumptions of normality and equal variances were evaluated (Levene’s test: all p &gt; 0.05) and α=0.05. Partial eta squared (</w:t>
      </w:r>
      <w:r w:rsidRPr="00F97C90">
        <w:rPr>
          <w:rFonts w:cs="Times New Roman"/>
          <w:bCs/>
          <w:color w:val="000000" w:themeColor="text1"/>
          <w:shd w:val="clear" w:color="auto" w:fill="FFFFFF"/>
        </w:rPr>
        <w:t>η</w:t>
      </w:r>
      <w:r w:rsidRPr="00F97C90">
        <w:rPr>
          <w:rFonts w:cs="Times New Roman"/>
          <w:bCs/>
          <w:color w:val="000000" w:themeColor="text1"/>
          <w:shd w:val="clear" w:color="auto" w:fill="FFFFFF"/>
          <w:vertAlign w:val="subscript"/>
        </w:rPr>
        <w:t>p</w:t>
      </w:r>
      <w:r w:rsidRPr="00F97C90">
        <w:rPr>
          <w:rFonts w:cs="Times New Roman"/>
          <w:bCs/>
          <w:color w:val="000000" w:themeColor="text1"/>
          <w:shd w:val="clear" w:color="auto" w:fill="FFFFFF"/>
          <w:vertAlign w:val="superscript"/>
        </w:rPr>
        <w:t>2</w:t>
      </w:r>
      <w:r w:rsidRPr="00F97C90">
        <w:rPr>
          <w:rFonts w:cs="Times New Roman"/>
          <w:bCs/>
          <w:color w:val="000000" w:themeColor="text1"/>
          <w:shd w:val="clear" w:color="auto" w:fill="FFFFFF"/>
        </w:rPr>
        <w:t>)</w:t>
      </w:r>
      <w:r w:rsidRPr="00F97C90">
        <w:rPr>
          <w:rFonts w:cs="Times New Roman"/>
          <w:bCs/>
          <w:color w:val="000000" w:themeColor="text1"/>
        </w:rPr>
        <w:t xml:space="preserve"> values </w:t>
      </w:r>
      <w:r>
        <w:rPr>
          <w:rFonts w:cs="Times New Roman"/>
          <w:bCs/>
          <w:color w:val="000000" w:themeColor="text1"/>
        </w:rPr>
        <w:t>a</w:t>
      </w:r>
      <w:r w:rsidRPr="00F97C90">
        <w:rPr>
          <w:rFonts w:cs="Times New Roman"/>
          <w:bCs/>
          <w:color w:val="000000" w:themeColor="text1"/>
        </w:rPr>
        <w:t xml:space="preserve">re reported as a measure of effect size, where a </w:t>
      </w:r>
      <w:r w:rsidRPr="00F97C90">
        <w:rPr>
          <w:rFonts w:cs="Times New Roman"/>
          <w:bCs/>
          <w:color w:val="000000" w:themeColor="text1"/>
          <w:shd w:val="clear" w:color="auto" w:fill="FFFFFF"/>
        </w:rPr>
        <w:t>η</w:t>
      </w:r>
      <w:r w:rsidRPr="00F97C90">
        <w:rPr>
          <w:rFonts w:cs="Times New Roman"/>
          <w:bCs/>
          <w:color w:val="000000" w:themeColor="text1"/>
          <w:shd w:val="clear" w:color="auto" w:fill="FFFFFF"/>
          <w:vertAlign w:val="subscript"/>
        </w:rPr>
        <w:t>p</w:t>
      </w:r>
      <w:r w:rsidRPr="00F97C90">
        <w:rPr>
          <w:rFonts w:cs="Times New Roman"/>
          <w:bCs/>
          <w:color w:val="000000" w:themeColor="text1"/>
          <w:shd w:val="clear" w:color="auto" w:fill="FFFFFF"/>
          <w:vertAlign w:val="superscript"/>
        </w:rPr>
        <w:t xml:space="preserve">2 </w:t>
      </w:r>
      <w:r w:rsidRPr="00F97C90">
        <w:rPr>
          <w:rFonts w:cs="Times New Roman"/>
          <w:bCs/>
          <w:color w:val="000000" w:themeColor="text1"/>
        </w:rPr>
        <w:t>of 0.14 was considered a large effect size. Data were graphed using GraphPad Prism10.</w:t>
      </w:r>
    </w:p>
    <w:p w14:paraId="610FC78B" w14:textId="523222A2" w:rsidR="001B01FF" w:rsidRPr="00A62004" w:rsidRDefault="001B01FF" w:rsidP="00947C06">
      <w:pPr>
        <w:jc w:val="left"/>
        <w:rPr>
          <w:b/>
          <w:bCs/>
        </w:rPr>
      </w:pPr>
      <w:r w:rsidRPr="00A62004">
        <w:rPr>
          <w:b/>
          <w:bCs/>
        </w:rPr>
        <w:t>References</w:t>
      </w:r>
    </w:p>
    <w:p w14:paraId="15A848BF" w14:textId="77777777" w:rsidR="001F4F4C" w:rsidRPr="001F4F4C" w:rsidRDefault="001B01FF" w:rsidP="001F4F4C">
      <w:pPr>
        <w:pStyle w:val="Bibliography"/>
        <w:jc w:val="left"/>
        <w:rPr>
          <w:rFonts w:cs="Times New Roman"/>
          <w:lang w:val="en-GB"/>
        </w:rPr>
      </w:pPr>
      <w:r w:rsidRPr="00AF5836">
        <w:rPr>
          <w:bCs/>
        </w:rPr>
        <w:fldChar w:fldCharType="begin"/>
      </w:r>
      <w:r w:rsidR="001F4F4C">
        <w:rPr>
          <w:bCs/>
        </w:rPr>
        <w:instrText xml:space="preserve"> ADDIN ZOTERO_BIBL {"uncited":[],"omitted":[],"custom":[]} CSL_BIBLIOGRAPHY </w:instrText>
      </w:r>
      <w:r w:rsidRPr="00AF5836">
        <w:rPr>
          <w:bCs/>
        </w:rPr>
        <w:fldChar w:fldCharType="separate"/>
      </w:r>
      <w:r w:rsidR="001F4F4C" w:rsidRPr="001F4F4C">
        <w:rPr>
          <w:rFonts w:cs="Times New Roman"/>
          <w:lang w:val="en-GB"/>
        </w:rPr>
        <w:t>1.</w:t>
      </w:r>
      <w:r w:rsidR="001F4F4C" w:rsidRPr="001F4F4C">
        <w:rPr>
          <w:rFonts w:cs="Times New Roman"/>
          <w:lang w:val="en-GB"/>
        </w:rPr>
        <w:tab/>
        <w:t xml:space="preserve">Myers MM, Brunelli SA, Squire JM, Shindeldecker RD, Hofer MA. Maternal behavior of SHR rats and its relationship to offspring blood pressures. Developmental Psychobiology. 1989;22(1):29–53. </w:t>
      </w:r>
    </w:p>
    <w:p w14:paraId="73FB844D" w14:textId="77777777" w:rsidR="001F4F4C" w:rsidRPr="001F4F4C" w:rsidRDefault="001F4F4C" w:rsidP="001F4F4C">
      <w:pPr>
        <w:pStyle w:val="Bibliography"/>
        <w:jc w:val="left"/>
        <w:rPr>
          <w:rFonts w:cs="Times New Roman"/>
          <w:lang w:val="en-GB"/>
        </w:rPr>
      </w:pPr>
      <w:r w:rsidRPr="001F4F4C">
        <w:rPr>
          <w:rFonts w:cs="Times New Roman"/>
          <w:lang w:val="en-GB"/>
        </w:rPr>
        <w:t>2.</w:t>
      </w:r>
      <w:r w:rsidRPr="001F4F4C">
        <w:rPr>
          <w:rFonts w:cs="Times New Roman"/>
          <w:lang w:val="en-GB"/>
        </w:rPr>
        <w:tab/>
        <w:t xml:space="preserve">Horner AE, Heath CJ, Hvoslef-Eide M, Kent BA, Kim CH, Nilsson SRO, et al. The touchscreen operant platform for testing learning and memory in rats and mice. Nat Protoc. 2013 Oct 1;8(10):1961–84. </w:t>
      </w:r>
    </w:p>
    <w:p w14:paraId="130F71AA" w14:textId="77777777" w:rsidR="001F4F4C" w:rsidRPr="001F4F4C" w:rsidRDefault="001F4F4C" w:rsidP="001F4F4C">
      <w:pPr>
        <w:pStyle w:val="Bibliography"/>
        <w:jc w:val="left"/>
        <w:rPr>
          <w:rFonts w:cs="Times New Roman"/>
          <w:lang w:val="en-GB"/>
        </w:rPr>
      </w:pPr>
      <w:r w:rsidRPr="001F4F4C">
        <w:rPr>
          <w:rFonts w:cs="Times New Roman"/>
          <w:lang w:val="en-GB"/>
        </w:rPr>
        <w:t>3.</w:t>
      </w:r>
      <w:r w:rsidRPr="001F4F4C">
        <w:rPr>
          <w:rFonts w:cs="Times New Roman"/>
          <w:lang w:val="en-GB"/>
        </w:rPr>
        <w:tab/>
        <w:t xml:space="preserve">Oomen CA, Hvoslef-Eide M, Heath CJ, Mar AC, Horner AE, Bussey TJ, et al. The touchscreen operant platform for testing working memory and pattern separation in rats and mice. Nat Protoc. 2013 Oct 1;8(10):2006–21. </w:t>
      </w:r>
    </w:p>
    <w:p w14:paraId="52884B9E" w14:textId="77777777" w:rsidR="001F4F4C" w:rsidRPr="001F4F4C" w:rsidRDefault="001F4F4C" w:rsidP="001F4F4C">
      <w:pPr>
        <w:pStyle w:val="Bibliography"/>
        <w:jc w:val="left"/>
        <w:rPr>
          <w:rFonts w:cs="Times New Roman"/>
          <w:lang w:val="en-GB"/>
        </w:rPr>
      </w:pPr>
      <w:r w:rsidRPr="001F4F4C">
        <w:rPr>
          <w:rFonts w:cs="Times New Roman"/>
          <w:lang w:val="en-GB"/>
        </w:rPr>
        <w:t>4.</w:t>
      </w:r>
      <w:r w:rsidRPr="001F4F4C">
        <w:rPr>
          <w:rFonts w:cs="Times New Roman"/>
          <w:lang w:val="en-GB"/>
        </w:rPr>
        <w:tab/>
        <w:t xml:space="preserve">Campden Instruments. 89545-1R- Trial-Unique Nonmatching-to-Location Learning (TUNL) Task for Rat Touch Screen Systems, 5x3 mask and ABET I. Lafayette Instruments C.; 2011. </w:t>
      </w:r>
    </w:p>
    <w:p w14:paraId="51C9C377" w14:textId="77777777" w:rsidR="001F4F4C" w:rsidRPr="001F4F4C" w:rsidRDefault="001F4F4C" w:rsidP="001F4F4C">
      <w:pPr>
        <w:pStyle w:val="Bibliography"/>
        <w:jc w:val="left"/>
        <w:rPr>
          <w:rFonts w:cs="Times New Roman"/>
          <w:lang w:val="en-GB"/>
        </w:rPr>
      </w:pPr>
      <w:r w:rsidRPr="001F4F4C">
        <w:rPr>
          <w:rFonts w:cs="Times New Roman"/>
          <w:lang w:val="en-GB"/>
        </w:rPr>
        <w:lastRenderedPageBreak/>
        <w:t>5.</w:t>
      </w:r>
      <w:r w:rsidRPr="001F4F4C">
        <w:rPr>
          <w:rFonts w:cs="Times New Roman"/>
          <w:lang w:val="en-GB"/>
        </w:rPr>
        <w:tab/>
        <w:t xml:space="preserve">Paxinos G, Watson C. The Rat Brain in Stereotaxic Coordinates. Elsevier; 2007. 456 p. </w:t>
      </w:r>
    </w:p>
    <w:p w14:paraId="445C889E" w14:textId="77777777" w:rsidR="001F4F4C" w:rsidRPr="001F4F4C" w:rsidRDefault="001F4F4C" w:rsidP="001F4F4C">
      <w:pPr>
        <w:pStyle w:val="Bibliography"/>
        <w:jc w:val="left"/>
        <w:rPr>
          <w:rFonts w:cs="Times New Roman"/>
          <w:lang w:val="en-GB"/>
        </w:rPr>
      </w:pPr>
      <w:r w:rsidRPr="001F4F4C">
        <w:rPr>
          <w:rFonts w:cs="Times New Roman"/>
          <w:lang w:val="en-GB"/>
        </w:rPr>
        <w:t>6.</w:t>
      </w:r>
      <w:r w:rsidRPr="001F4F4C">
        <w:rPr>
          <w:rFonts w:cs="Times New Roman"/>
          <w:lang w:val="en-GB"/>
        </w:rPr>
        <w:tab/>
        <w:t xml:space="preserve">Breen E, Tan W, Khan A. The Statistical Value of Raw Fluorescence Signal in Luminex xMAP Based Multiplex Immunoassays. Scientific reports. 2016 May 31;6:26996. </w:t>
      </w:r>
    </w:p>
    <w:p w14:paraId="2CF1EDD1" w14:textId="77777777" w:rsidR="001F4F4C" w:rsidRPr="001F4F4C" w:rsidRDefault="001F4F4C" w:rsidP="001F4F4C">
      <w:pPr>
        <w:pStyle w:val="Bibliography"/>
        <w:jc w:val="left"/>
        <w:rPr>
          <w:rFonts w:cs="Times New Roman"/>
          <w:lang w:val="en-GB"/>
        </w:rPr>
      </w:pPr>
      <w:r w:rsidRPr="001F4F4C">
        <w:rPr>
          <w:rFonts w:cs="Times New Roman"/>
          <w:lang w:val="en-GB"/>
        </w:rPr>
        <w:t>7.</w:t>
      </w:r>
      <w:r w:rsidRPr="001F4F4C">
        <w:rPr>
          <w:rFonts w:cs="Times New Roman"/>
          <w:lang w:val="en-GB"/>
        </w:rPr>
        <w:tab/>
        <w:t xml:space="preserve">Chen S. Ultrafast one-pass FASTQ data preprocessing, quality control, and deduplication using fastp. iMeta. 2023;2(2):e107. </w:t>
      </w:r>
    </w:p>
    <w:p w14:paraId="583D2B4A" w14:textId="77777777" w:rsidR="001F4F4C" w:rsidRPr="001F4F4C" w:rsidRDefault="001F4F4C" w:rsidP="001F4F4C">
      <w:pPr>
        <w:pStyle w:val="Bibliography"/>
        <w:jc w:val="left"/>
        <w:rPr>
          <w:rFonts w:cs="Times New Roman"/>
          <w:lang w:val="en-GB"/>
        </w:rPr>
      </w:pPr>
      <w:r w:rsidRPr="001F4F4C">
        <w:rPr>
          <w:rFonts w:cs="Times New Roman"/>
          <w:lang w:val="en-GB"/>
        </w:rPr>
        <w:t>8.</w:t>
      </w:r>
      <w:r w:rsidRPr="001F4F4C">
        <w:rPr>
          <w:rFonts w:cs="Times New Roman"/>
          <w:lang w:val="en-GB"/>
        </w:rPr>
        <w:tab/>
        <w:t xml:space="preserve">Langmead B, Salzberg SL. Fast gapped-read alignment with Bowtie 2. Nat Methods. 2012 Mar 4;9(4):357–9. </w:t>
      </w:r>
    </w:p>
    <w:p w14:paraId="3DB290D9" w14:textId="77777777" w:rsidR="001F4F4C" w:rsidRPr="001F4F4C" w:rsidRDefault="001F4F4C" w:rsidP="001F4F4C">
      <w:pPr>
        <w:pStyle w:val="Bibliography"/>
        <w:jc w:val="left"/>
        <w:rPr>
          <w:rFonts w:cs="Times New Roman"/>
          <w:lang w:val="en-GB"/>
        </w:rPr>
      </w:pPr>
      <w:r w:rsidRPr="001F4F4C">
        <w:rPr>
          <w:rFonts w:cs="Times New Roman"/>
          <w:lang w:val="en-GB"/>
        </w:rPr>
        <w:t>9.</w:t>
      </w:r>
      <w:r w:rsidRPr="001F4F4C">
        <w:rPr>
          <w:rFonts w:cs="Times New Roman"/>
          <w:lang w:val="en-GB"/>
        </w:rPr>
        <w:tab/>
        <w:t xml:space="preserve">Li H, Handsaker B, Wysoker A, Fennell T, Ruan J, Homer N, et al. The Sequence Alignment/Map format and SAMtools. Bioinformatics. 2009 Aug 15;25(16):2078–9. </w:t>
      </w:r>
    </w:p>
    <w:p w14:paraId="066B9BF1" w14:textId="77777777" w:rsidR="001F4F4C" w:rsidRPr="001F4F4C" w:rsidRDefault="001F4F4C" w:rsidP="001F4F4C">
      <w:pPr>
        <w:pStyle w:val="Bibliography"/>
        <w:jc w:val="left"/>
        <w:rPr>
          <w:rFonts w:cs="Times New Roman"/>
          <w:lang w:val="en-GB"/>
        </w:rPr>
      </w:pPr>
      <w:r w:rsidRPr="001F4F4C">
        <w:rPr>
          <w:rFonts w:cs="Times New Roman"/>
          <w:lang w:val="en-GB"/>
        </w:rPr>
        <w:t>10.</w:t>
      </w:r>
      <w:r w:rsidRPr="001F4F4C">
        <w:rPr>
          <w:rFonts w:cs="Times New Roman"/>
          <w:lang w:val="en-GB"/>
        </w:rPr>
        <w:tab/>
        <w:t xml:space="preserve">Beghini F, McIver LJ, Blanco-Míguez A, Dubois L, Asnicar F, Maharjan S, et al. Integrating taxonomic, functional, and strain-level profiling of diverse microbial communities with bioBakery 3. Elife. 2021 May 4;10:e65088. </w:t>
      </w:r>
    </w:p>
    <w:p w14:paraId="694A2E7C" w14:textId="77777777" w:rsidR="001F4F4C" w:rsidRPr="001F4F4C" w:rsidRDefault="001F4F4C" w:rsidP="001F4F4C">
      <w:pPr>
        <w:pStyle w:val="Bibliography"/>
        <w:jc w:val="left"/>
        <w:rPr>
          <w:rFonts w:cs="Times New Roman"/>
          <w:lang w:val="en-GB"/>
        </w:rPr>
      </w:pPr>
      <w:r w:rsidRPr="001F4F4C">
        <w:rPr>
          <w:rFonts w:cs="Times New Roman"/>
          <w:lang w:val="en-GB"/>
        </w:rPr>
        <w:t>11.</w:t>
      </w:r>
      <w:r w:rsidRPr="001F4F4C">
        <w:rPr>
          <w:rFonts w:cs="Times New Roman"/>
          <w:lang w:val="en-GB"/>
        </w:rPr>
        <w:tab/>
        <w:t xml:space="preserve">Han J, Lin K, Sequeira C, Borchers CH. An isotope-labeled chemical derivatization method for the quantitation of short-chain fatty acids in human feces by liquid chromatography–tandem mass spectrometry. Analytica Chimica Acta. 2015 Jan 7;854:86–94. </w:t>
      </w:r>
    </w:p>
    <w:p w14:paraId="5DE64541" w14:textId="77777777" w:rsidR="001F4F4C" w:rsidRPr="001F4F4C" w:rsidRDefault="001F4F4C" w:rsidP="001F4F4C">
      <w:pPr>
        <w:pStyle w:val="Bibliography"/>
        <w:jc w:val="left"/>
        <w:rPr>
          <w:rFonts w:cs="Times New Roman"/>
          <w:lang w:val="en-GB"/>
        </w:rPr>
      </w:pPr>
      <w:r w:rsidRPr="001F4F4C">
        <w:rPr>
          <w:rFonts w:cs="Times New Roman"/>
          <w:lang w:val="en-GB"/>
        </w:rPr>
        <w:t>12.</w:t>
      </w:r>
      <w:r w:rsidRPr="001F4F4C">
        <w:rPr>
          <w:rFonts w:cs="Times New Roman"/>
          <w:lang w:val="en-GB"/>
        </w:rPr>
        <w:tab/>
        <w:t xml:space="preserve">Gamble ME, Montero M, Silberstein DN, Deak T, Varlinskaya EI, Diaz MR. Prenatal methadone exposure produces functional and molecular alterations in the basolateral amygdala and decreased voluntary ethanol intake in female, but not male offspring. Front Behav Neurosci. 2025 Apr 15;19:1570951. </w:t>
      </w:r>
    </w:p>
    <w:p w14:paraId="65FBB244" w14:textId="77777777" w:rsidR="001F4F4C" w:rsidRPr="001F4F4C" w:rsidRDefault="001F4F4C" w:rsidP="001F4F4C">
      <w:pPr>
        <w:pStyle w:val="Bibliography"/>
        <w:jc w:val="left"/>
        <w:rPr>
          <w:rFonts w:cs="Times New Roman"/>
          <w:lang w:val="en-GB"/>
        </w:rPr>
      </w:pPr>
      <w:r w:rsidRPr="001F4F4C">
        <w:rPr>
          <w:rFonts w:cs="Times New Roman"/>
          <w:lang w:val="en-GB"/>
        </w:rPr>
        <w:t>13.</w:t>
      </w:r>
      <w:r w:rsidRPr="001F4F4C">
        <w:rPr>
          <w:rFonts w:cs="Times New Roman"/>
          <w:lang w:val="en-GB"/>
        </w:rPr>
        <w:tab/>
        <w:t xml:space="preserve">Freeman HJ. Effects of differing concentrations of sodium butyrate on 1,2-dimethylhydrazine-induced rat intestinal neoplasia. Gastroenterology. 1986 Sep 1;91(3):596–602. </w:t>
      </w:r>
    </w:p>
    <w:p w14:paraId="03F2CAE0" w14:textId="77777777" w:rsidR="001F4F4C" w:rsidRPr="001F4F4C" w:rsidRDefault="001F4F4C" w:rsidP="001F4F4C">
      <w:pPr>
        <w:pStyle w:val="Bibliography"/>
        <w:jc w:val="left"/>
        <w:rPr>
          <w:rFonts w:cs="Times New Roman"/>
          <w:lang w:val="en-GB"/>
        </w:rPr>
      </w:pPr>
      <w:r w:rsidRPr="001F4F4C">
        <w:rPr>
          <w:rFonts w:cs="Times New Roman"/>
          <w:lang w:val="en-GB"/>
        </w:rPr>
        <w:t>14.</w:t>
      </w:r>
      <w:r w:rsidRPr="001F4F4C">
        <w:rPr>
          <w:rFonts w:cs="Times New Roman"/>
          <w:lang w:val="en-GB"/>
        </w:rPr>
        <w:tab/>
        <w:t xml:space="preserve">Cristiano C, Hoxha E, Lippiello P, Balbo I, Russo R, Tempia F, et al. Maternal treatment with sodium butyrate reduces the development of autism-like traits in mice offspring. Biomedicine &amp; Pharmacotherapy. 2022 Dec 1;156:113870. </w:t>
      </w:r>
    </w:p>
    <w:p w14:paraId="145DA3A2" w14:textId="77777777" w:rsidR="001F4F4C" w:rsidRPr="001F4F4C" w:rsidRDefault="001F4F4C" w:rsidP="001F4F4C">
      <w:pPr>
        <w:pStyle w:val="Bibliography"/>
        <w:jc w:val="left"/>
        <w:rPr>
          <w:rFonts w:cs="Times New Roman"/>
          <w:lang w:val="en-GB"/>
        </w:rPr>
      </w:pPr>
      <w:r w:rsidRPr="001F4F4C">
        <w:rPr>
          <w:rFonts w:cs="Times New Roman"/>
          <w:lang w:val="en-GB"/>
        </w:rPr>
        <w:t>15.</w:t>
      </w:r>
      <w:r w:rsidRPr="001F4F4C">
        <w:rPr>
          <w:rFonts w:cs="Times New Roman"/>
          <w:lang w:val="en-GB"/>
        </w:rPr>
        <w:tab/>
        <w:t xml:space="preserve">Arganda-Carreras I, Fernández-González R, Muñoz-Barrutia A, Ortiz-De-Solorzano C. 3D reconstruction of histological sections: Application to mammary gland tissue. Microscopy Research and Technique. 2010;73(11):1019–29. </w:t>
      </w:r>
    </w:p>
    <w:p w14:paraId="675B306D" w14:textId="77777777" w:rsidR="001F4F4C" w:rsidRPr="001F4F4C" w:rsidRDefault="001F4F4C" w:rsidP="001F4F4C">
      <w:pPr>
        <w:pStyle w:val="Bibliography"/>
        <w:jc w:val="left"/>
        <w:rPr>
          <w:rFonts w:cs="Times New Roman"/>
          <w:lang w:val="en-GB"/>
        </w:rPr>
      </w:pPr>
      <w:r w:rsidRPr="001F4F4C">
        <w:rPr>
          <w:rFonts w:cs="Times New Roman"/>
          <w:lang w:val="en-GB"/>
        </w:rPr>
        <w:t>16.</w:t>
      </w:r>
      <w:r w:rsidRPr="001F4F4C">
        <w:rPr>
          <w:rFonts w:cs="Times New Roman"/>
          <w:lang w:val="en-GB"/>
        </w:rPr>
        <w:tab/>
        <w:t xml:space="preserve">Ferreira TA, Blackman AV, Oyrer J, Jayabal S, Chung AJ, Watt AJ, et al. Neuronal morphometry directly from bitmap images. Nat Methods. 2014 Oct;11(10):982–4. </w:t>
      </w:r>
    </w:p>
    <w:p w14:paraId="305DB6BE" w14:textId="77777777" w:rsidR="001F4F4C" w:rsidRPr="001F4F4C" w:rsidRDefault="001F4F4C" w:rsidP="001F4F4C">
      <w:pPr>
        <w:pStyle w:val="Bibliography"/>
        <w:jc w:val="left"/>
        <w:rPr>
          <w:rFonts w:cs="Times New Roman"/>
          <w:lang w:val="en-GB"/>
        </w:rPr>
      </w:pPr>
      <w:r w:rsidRPr="001F4F4C">
        <w:rPr>
          <w:rFonts w:cs="Times New Roman"/>
          <w:lang w:val="en-GB"/>
        </w:rPr>
        <w:t>17.</w:t>
      </w:r>
      <w:r w:rsidRPr="001F4F4C">
        <w:rPr>
          <w:rFonts w:cs="Times New Roman"/>
          <w:lang w:val="en-GB"/>
        </w:rPr>
        <w:tab/>
        <w:t xml:space="preserve">Young K, Morrison H. Quantifying Microglia Morphology from Photomicrographs of Immunohistochemistry Prepared Tissue Using ImageJ. J Vis Exp. 2018 Jun 5;(136):57648. </w:t>
      </w:r>
    </w:p>
    <w:p w14:paraId="09681B62" w14:textId="002DAB92" w:rsidR="001B01FF" w:rsidRPr="004846B9" w:rsidRDefault="001B01FF" w:rsidP="00947C06">
      <w:pPr>
        <w:jc w:val="left"/>
      </w:pPr>
      <w:r w:rsidRPr="00AF5836">
        <w:rPr>
          <w:bCs/>
        </w:rPr>
        <w:fldChar w:fldCharType="end"/>
      </w:r>
    </w:p>
    <w:sectPr w:rsidR="001B01FF" w:rsidRPr="004846B9" w:rsidSect="00A6200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3440" w14:textId="77777777" w:rsidR="00423B52" w:rsidRDefault="00423B52" w:rsidP="002C6D41">
      <w:pPr>
        <w:spacing w:before="0" w:after="0" w:line="240" w:lineRule="auto"/>
      </w:pPr>
      <w:r>
        <w:separator/>
      </w:r>
    </w:p>
  </w:endnote>
  <w:endnote w:type="continuationSeparator" w:id="0">
    <w:p w14:paraId="3760C7CD" w14:textId="77777777" w:rsidR="00423B52" w:rsidRDefault="00423B52" w:rsidP="002C6D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4728" w14:textId="77777777" w:rsidR="00423B52" w:rsidRDefault="00423B52" w:rsidP="002C6D41">
      <w:pPr>
        <w:spacing w:before="0" w:after="0" w:line="240" w:lineRule="auto"/>
      </w:pPr>
      <w:r>
        <w:separator/>
      </w:r>
    </w:p>
  </w:footnote>
  <w:footnote w:type="continuationSeparator" w:id="0">
    <w:p w14:paraId="644936C1" w14:textId="77777777" w:rsidR="00423B52" w:rsidRDefault="00423B52" w:rsidP="002C6D4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61FB"/>
    <w:multiLevelType w:val="hybridMultilevel"/>
    <w:tmpl w:val="84F2AC64"/>
    <w:lvl w:ilvl="0" w:tplc="C6426FC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ED6C5E"/>
    <w:multiLevelType w:val="hybridMultilevel"/>
    <w:tmpl w:val="B0402D4A"/>
    <w:lvl w:ilvl="0" w:tplc="7C66EBD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1274FF"/>
    <w:multiLevelType w:val="hybridMultilevel"/>
    <w:tmpl w:val="F9C8FB32"/>
    <w:lvl w:ilvl="0" w:tplc="D51E5FF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55"/>
    <w:rsid w:val="0001185C"/>
    <w:rsid w:val="00023A1D"/>
    <w:rsid w:val="00044476"/>
    <w:rsid w:val="00051A8A"/>
    <w:rsid w:val="00051CD1"/>
    <w:rsid w:val="00066E8D"/>
    <w:rsid w:val="00076D55"/>
    <w:rsid w:val="0007796A"/>
    <w:rsid w:val="000C2710"/>
    <w:rsid w:val="000C702F"/>
    <w:rsid w:val="000D23AE"/>
    <w:rsid w:val="000D60B7"/>
    <w:rsid w:val="000D793A"/>
    <w:rsid w:val="000E025C"/>
    <w:rsid w:val="000E5EA2"/>
    <w:rsid w:val="00100817"/>
    <w:rsid w:val="00123DB7"/>
    <w:rsid w:val="00143BC7"/>
    <w:rsid w:val="001740FF"/>
    <w:rsid w:val="001B01FF"/>
    <w:rsid w:val="001E1074"/>
    <w:rsid w:val="001F4F4C"/>
    <w:rsid w:val="001F7739"/>
    <w:rsid w:val="00207E58"/>
    <w:rsid w:val="00250C16"/>
    <w:rsid w:val="00260758"/>
    <w:rsid w:val="002B2A4B"/>
    <w:rsid w:val="002C0B54"/>
    <w:rsid w:val="002C45CF"/>
    <w:rsid w:val="002C6D41"/>
    <w:rsid w:val="002D1226"/>
    <w:rsid w:val="002D6CF8"/>
    <w:rsid w:val="002D787C"/>
    <w:rsid w:val="002E4671"/>
    <w:rsid w:val="00322279"/>
    <w:rsid w:val="00330CEF"/>
    <w:rsid w:val="00334214"/>
    <w:rsid w:val="00345A18"/>
    <w:rsid w:val="00347133"/>
    <w:rsid w:val="003644EB"/>
    <w:rsid w:val="003852BB"/>
    <w:rsid w:val="003A6F6A"/>
    <w:rsid w:val="003B681B"/>
    <w:rsid w:val="003C29D5"/>
    <w:rsid w:val="003D2310"/>
    <w:rsid w:val="003F2B93"/>
    <w:rsid w:val="004056B3"/>
    <w:rsid w:val="00410279"/>
    <w:rsid w:val="00410EBC"/>
    <w:rsid w:val="004118E0"/>
    <w:rsid w:val="0042040D"/>
    <w:rsid w:val="00422D65"/>
    <w:rsid w:val="00423B52"/>
    <w:rsid w:val="0043006C"/>
    <w:rsid w:val="00432743"/>
    <w:rsid w:val="00460CED"/>
    <w:rsid w:val="00462C79"/>
    <w:rsid w:val="00462E2F"/>
    <w:rsid w:val="0046604A"/>
    <w:rsid w:val="004B374D"/>
    <w:rsid w:val="004C0FFD"/>
    <w:rsid w:val="004C2A1D"/>
    <w:rsid w:val="00502F2E"/>
    <w:rsid w:val="00540541"/>
    <w:rsid w:val="005435EA"/>
    <w:rsid w:val="00544B7F"/>
    <w:rsid w:val="00546EB5"/>
    <w:rsid w:val="00552C78"/>
    <w:rsid w:val="00553218"/>
    <w:rsid w:val="00581227"/>
    <w:rsid w:val="005A37C0"/>
    <w:rsid w:val="005A6A95"/>
    <w:rsid w:val="005C690A"/>
    <w:rsid w:val="005E55C0"/>
    <w:rsid w:val="005E67AD"/>
    <w:rsid w:val="0062276F"/>
    <w:rsid w:val="00631060"/>
    <w:rsid w:val="00645E59"/>
    <w:rsid w:val="006509E7"/>
    <w:rsid w:val="00667CCA"/>
    <w:rsid w:val="00671C37"/>
    <w:rsid w:val="00697CE9"/>
    <w:rsid w:val="006A48D9"/>
    <w:rsid w:val="006B44E5"/>
    <w:rsid w:val="006C624D"/>
    <w:rsid w:val="006C67A1"/>
    <w:rsid w:val="006C71E4"/>
    <w:rsid w:val="006D1489"/>
    <w:rsid w:val="006E4807"/>
    <w:rsid w:val="006F694B"/>
    <w:rsid w:val="00726006"/>
    <w:rsid w:val="00731C2A"/>
    <w:rsid w:val="00731E0C"/>
    <w:rsid w:val="007340B6"/>
    <w:rsid w:val="00736D3B"/>
    <w:rsid w:val="0073793A"/>
    <w:rsid w:val="007604CF"/>
    <w:rsid w:val="00775446"/>
    <w:rsid w:val="007B14F6"/>
    <w:rsid w:val="007C2772"/>
    <w:rsid w:val="007C703B"/>
    <w:rsid w:val="007D467F"/>
    <w:rsid w:val="007E25E5"/>
    <w:rsid w:val="007E2E54"/>
    <w:rsid w:val="007E4759"/>
    <w:rsid w:val="007F14D8"/>
    <w:rsid w:val="00803381"/>
    <w:rsid w:val="008056B1"/>
    <w:rsid w:val="008109EC"/>
    <w:rsid w:val="00812F69"/>
    <w:rsid w:val="00825425"/>
    <w:rsid w:val="00842AB0"/>
    <w:rsid w:val="0085002C"/>
    <w:rsid w:val="00855491"/>
    <w:rsid w:val="008743EC"/>
    <w:rsid w:val="00893525"/>
    <w:rsid w:val="008A2BFB"/>
    <w:rsid w:val="008A521B"/>
    <w:rsid w:val="008B4243"/>
    <w:rsid w:val="008C7CA5"/>
    <w:rsid w:val="008E2C23"/>
    <w:rsid w:val="008E3D5E"/>
    <w:rsid w:val="008E42BF"/>
    <w:rsid w:val="008F2AE9"/>
    <w:rsid w:val="00937013"/>
    <w:rsid w:val="00947C06"/>
    <w:rsid w:val="0095608A"/>
    <w:rsid w:val="00967703"/>
    <w:rsid w:val="00977503"/>
    <w:rsid w:val="009A3455"/>
    <w:rsid w:val="009B4230"/>
    <w:rsid w:val="009B637B"/>
    <w:rsid w:val="009D5B42"/>
    <w:rsid w:val="00A3681D"/>
    <w:rsid w:val="00A5043D"/>
    <w:rsid w:val="00A52753"/>
    <w:rsid w:val="00A54A72"/>
    <w:rsid w:val="00A55392"/>
    <w:rsid w:val="00A62004"/>
    <w:rsid w:val="00A66026"/>
    <w:rsid w:val="00A9015D"/>
    <w:rsid w:val="00A93DCD"/>
    <w:rsid w:val="00A96625"/>
    <w:rsid w:val="00AA2C28"/>
    <w:rsid w:val="00AA5BAA"/>
    <w:rsid w:val="00AA5D4B"/>
    <w:rsid w:val="00AC39C9"/>
    <w:rsid w:val="00AD47E3"/>
    <w:rsid w:val="00AF2CF7"/>
    <w:rsid w:val="00AF5836"/>
    <w:rsid w:val="00B1733F"/>
    <w:rsid w:val="00B43B9E"/>
    <w:rsid w:val="00B84668"/>
    <w:rsid w:val="00B86C06"/>
    <w:rsid w:val="00B926D0"/>
    <w:rsid w:val="00B95FD0"/>
    <w:rsid w:val="00BA211D"/>
    <w:rsid w:val="00BB6F5E"/>
    <w:rsid w:val="00BD1888"/>
    <w:rsid w:val="00BE2BA7"/>
    <w:rsid w:val="00BE398D"/>
    <w:rsid w:val="00BE4803"/>
    <w:rsid w:val="00BE499A"/>
    <w:rsid w:val="00BF20F8"/>
    <w:rsid w:val="00C07220"/>
    <w:rsid w:val="00C30BB1"/>
    <w:rsid w:val="00C36FCE"/>
    <w:rsid w:val="00C47DCB"/>
    <w:rsid w:val="00C55F60"/>
    <w:rsid w:val="00C5743F"/>
    <w:rsid w:val="00C81082"/>
    <w:rsid w:val="00C84767"/>
    <w:rsid w:val="00CA3329"/>
    <w:rsid w:val="00D01212"/>
    <w:rsid w:val="00D02551"/>
    <w:rsid w:val="00D23B5F"/>
    <w:rsid w:val="00D46B48"/>
    <w:rsid w:val="00D700D4"/>
    <w:rsid w:val="00D772F2"/>
    <w:rsid w:val="00D82145"/>
    <w:rsid w:val="00D82656"/>
    <w:rsid w:val="00DA2603"/>
    <w:rsid w:val="00DC458C"/>
    <w:rsid w:val="00DD59C5"/>
    <w:rsid w:val="00E046F9"/>
    <w:rsid w:val="00E26758"/>
    <w:rsid w:val="00E456EF"/>
    <w:rsid w:val="00E77C7D"/>
    <w:rsid w:val="00E8741A"/>
    <w:rsid w:val="00E90787"/>
    <w:rsid w:val="00E94B2B"/>
    <w:rsid w:val="00E963F2"/>
    <w:rsid w:val="00EA7FE2"/>
    <w:rsid w:val="00EB08DD"/>
    <w:rsid w:val="00EB7D95"/>
    <w:rsid w:val="00EC5659"/>
    <w:rsid w:val="00EF1754"/>
    <w:rsid w:val="00EF7991"/>
    <w:rsid w:val="00F37648"/>
    <w:rsid w:val="00F508F2"/>
    <w:rsid w:val="00F92514"/>
    <w:rsid w:val="00F9476A"/>
    <w:rsid w:val="00FA1D7C"/>
    <w:rsid w:val="00FB0701"/>
    <w:rsid w:val="00FD57E3"/>
    <w:rsid w:val="00FD7876"/>
    <w:rsid w:val="00FE32AF"/>
    <w:rsid w:val="00FF3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6768"/>
  <w15:chartTrackingRefBased/>
  <w15:docId w15:val="{FAD6C904-1E04-4232-B043-6A7E023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480" w:lineRule="auto"/>
        <w:ind w:firstLine="9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7th"/>
    <w:qFormat/>
    <w:rsid w:val="00AF5836"/>
    <w:pPr>
      <w:spacing w:before="240" w:after="240"/>
      <w:ind w:firstLine="0"/>
      <w:jc w:val="center"/>
    </w:pPr>
    <w:rPr>
      <w:rFonts w:ascii="Times New Roman" w:hAnsi="Times New Roman"/>
      <w:kern w:val="0"/>
      <w:sz w:val="24"/>
      <w:szCs w:val="24"/>
      <w:lang w:val="en-US"/>
      <w14:ligatures w14:val="none"/>
    </w:rPr>
  </w:style>
  <w:style w:type="paragraph" w:styleId="Heading1">
    <w:name w:val="heading 1"/>
    <w:basedOn w:val="Normal"/>
    <w:next w:val="Normal"/>
    <w:link w:val="Heading1Char"/>
    <w:uiPriority w:val="9"/>
    <w:qFormat/>
    <w:rsid w:val="00076D55"/>
    <w:pPr>
      <w:keepNext/>
      <w:keepLines/>
      <w:spacing w:before="360" w:after="80"/>
      <w:ind w:firstLine="964"/>
      <w:jc w:val="left"/>
      <w:outlineLvl w:val="0"/>
    </w:pPr>
    <w:rPr>
      <w:rFonts w:asciiTheme="majorHAnsi" w:eastAsiaTheme="majorEastAsia" w:hAnsiTheme="majorHAnsi" w:cstheme="majorBidi"/>
      <w:b/>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6D55"/>
    <w:pPr>
      <w:keepNext/>
      <w:keepLines/>
      <w:spacing w:before="160" w:after="80"/>
      <w:ind w:firstLine="964"/>
      <w:jc w:val="left"/>
      <w:outlineLvl w:val="1"/>
    </w:pPr>
    <w:rPr>
      <w:rFonts w:asciiTheme="majorHAnsi" w:eastAsiaTheme="majorEastAsia" w:hAnsiTheme="majorHAnsi" w:cstheme="majorBidi"/>
      <w:b/>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6D55"/>
    <w:pPr>
      <w:keepNext/>
      <w:keepLines/>
      <w:spacing w:before="160" w:after="80"/>
      <w:ind w:firstLine="964"/>
      <w:jc w:val="left"/>
      <w:outlineLvl w:val="2"/>
    </w:pPr>
    <w:rPr>
      <w:rFonts w:asciiTheme="minorHAnsi" w:eastAsiaTheme="majorEastAsia" w:hAnsiTheme="minorHAnsi" w:cstheme="majorBidi"/>
      <w:b/>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6D55"/>
    <w:pPr>
      <w:keepNext/>
      <w:keepLines/>
      <w:spacing w:before="80" w:after="40"/>
      <w:ind w:firstLine="964"/>
      <w:jc w:val="left"/>
      <w:outlineLvl w:val="3"/>
    </w:pPr>
    <w:rPr>
      <w:rFonts w:asciiTheme="minorHAnsi" w:eastAsiaTheme="majorEastAsia" w:hAnsiTheme="minorHAnsi" w:cstheme="majorBidi"/>
      <w:b/>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76D55"/>
    <w:pPr>
      <w:keepNext/>
      <w:keepLines/>
      <w:spacing w:before="80" w:after="40"/>
      <w:ind w:firstLine="964"/>
      <w:jc w:val="left"/>
      <w:outlineLvl w:val="4"/>
    </w:pPr>
    <w:rPr>
      <w:rFonts w:asciiTheme="minorHAnsi" w:eastAsiaTheme="majorEastAsia" w:hAnsiTheme="minorHAnsi" w:cstheme="majorBidi"/>
      <w:b/>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76D55"/>
    <w:pPr>
      <w:keepNext/>
      <w:keepLines/>
      <w:spacing w:before="40" w:after="0"/>
      <w:ind w:firstLine="964"/>
      <w:jc w:val="left"/>
      <w:outlineLvl w:val="5"/>
    </w:pPr>
    <w:rPr>
      <w:rFonts w:asciiTheme="minorHAnsi" w:eastAsiaTheme="majorEastAsia" w:hAnsiTheme="minorHAnsi" w:cstheme="majorBidi"/>
      <w:b/>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76D55"/>
    <w:pPr>
      <w:keepNext/>
      <w:keepLines/>
      <w:spacing w:before="40" w:after="0"/>
      <w:ind w:firstLine="964"/>
      <w:jc w:val="left"/>
      <w:outlineLvl w:val="6"/>
    </w:pPr>
    <w:rPr>
      <w:rFonts w:asciiTheme="minorHAnsi" w:eastAsiaTheme="majorEastAsia" w:hAnsiTheme="minorHAnsi" w:cstheme="majorBidi"/>
      <w:b/>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76D55"/>
    <w:pPr>
      <w:keepNext/>
      <w:keepLines/>
      <w:spacing w:before="0" w:after="0"/>
      <w:ind w:firstLine="964"/>
      <w:jc w:val="left"/>
      <w:outlineLvl w:val="7"/>
    </w:pPr>
    <w:rPr>
      <w:rFonts w:asciiTheme="minorHAnsi" w:eastAsiaTheme="majorEastAsia" w:hAnsiTheme="minorHAnsi" w:cstheme="majorBidi"/>
      <w:b/>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76D55"/>
    <w:pPr>
      <w:keepNext/>
      <w:keepLines/>
      <w:spacing w:before="0" w:after="0"/>
      <w:ind w:firstLine="964"/>
      <w:jc w:val="left"/>
      <w:outlineLvl w:val="8"/>
    </w:pPr>
    <w:rPr>
      <w:rFonts w:asciiTheme="minorHAnsi" w:eastAsiaTheme="majorEastAsia" w:hAnsiTheme="minorHAnsi" w:cstheme="majorBidi"/>
      <w:b/>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D55"/>
    <w:rPr>
      <w:rFonts w:eastAsiaTheme="majorEastAsia" w:cstheme="majorBidi"/>
      <w:color w:val="272727" w:themeColor="text1" w:themeTint="D8"/>
    </w:rPr>
  </w:style>
  <w:style w:type="paragraph" w:styleId="Title">
    <w:name w:val="Title"/>
    <w:basedOn w:val="Normal"/>
    <w:next w:val="Normal"/>
    <w:link w:val="TitleChar"/>
    <w:uiPriority w:val="10"/>
    <w:qFormat/>
    <w:rsid w:val="00076D55"/>
    <w:pPr>
      <w:spacing w:before="0" w:after="80" w:line="240" w:lineRule="auto"/>
      <w:ind w:firstLine="964"/>
      <w:contextualSpacing/>
      <w:jc w:val="left"/>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076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D55"/>
    <w:pPr>
      <w:numPr>
        <w:ilvl w:val="1"/>
      </w:numPr>
      <w:spacing w:before="0" w:after="160"/>
      <w:ind w:firstLine="964"/>
      <w:jc w:val="left"/>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6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D55"/>
    <w:pPr>
      <w:spacing w:before="160" w:after="160"/>
      <w:ind w:firstLine="964"/>
    </w:pPr>
    <w:rPr>
      <w:rFonts w:asciiTheme="minorHAnsi" w:hAnsiTheme="minorHAnsi"/>
      <w:b/>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76D55"/>
    <w:rPr>
      <w:i/>
      <w:iCs/>
      <w:color w:val="404040" w:themeColor="text1" w:themeTint="BF"/>
    </w:rPr>
  </w:style>
  <w:style w:type="paragraph" w:styleId="ListParagraph">
    <w:name w:val="List Paragraph"/>
    <w:basedOn w:val="Normal"/>
    <w:uiPriority w:val="34"/>
    <w:qFormat/>
    <w:rsid w:val="00076D55"/>
    <w:pPr>
      <w:spacing w:before="0" w:after="160"/>
      <w:ind w:left="720" w:firstLine="964"/>
      <w:contextualSpacing/>
      <w:jc w:val="left"/>
    </w:pPr>
    <w:rPr>
      <w:rFonts w:asciiTheme="minorHAnsi" w:hAnsiTheme="minorHAnsi"/>
      <w:b/>
      <w:kern w:val="2"/>
      <w:sz w:val="22"/>
      <w:szCs w:val="22"/>
      <w14:ligatures w14:val="standardContextual"/>
    </w:rPr>
  </w:style>
  <w:style w:type="character" w:styleId="IntenseEmphasis">
    <w:name w:val="Intense Emphasis"/>
    <w:basedOn w:val="DefaultParagraphFont"/>
    <w:uiPriority w:val="21"/>
    <w:qFormat/>
    <w:rsid w:val="00076D55"/>
    <w:rPr>
      <w:i/>
      <w:iCs/>
      <w:color w:val="0F4761" w:themeColor="accent1" w:themeShade="BF"/>
    </w:rPr>
  </w:style>
  <w:style w:type="paragraph" w:styleId="IntenseQuote">
    <w:name w:val="Intense Quote"/>
    <w:basedOn w:val="Normal"/>
    <w:next w:val="Normal"/>
    <w:link w:val="IntenseQuoteChar"/>
    <w:uiPriority w:val="30"/>
    <w:qFormat/>
    <w:rsid w:val="00076D55"/>
    <w:pPr>
      <w:pBdr>
        <w:top w:val="single" w:sz="4" w:space="10" w:color="0F4761" w:themeColor="accent1" w:themeShade="BF"/>
        <w:bottom w:val="single" w:sz="4" w:space="10" w:color="0F4761" w:themeColor="accent1" w:themeShade="BF"/>
      </w:pBdr>
      <w:spacing w:before="360" w:after="360"/>
      <w:ind w:left="864" w:right="864" w:firstLine="964"/>
    </w:pPr>
    <w:rPr>
      <w:rFonts w:asciiTheme="minorHAnsi" w:hAnsiTheme="minorHAnsi"/>
      <w:b/>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76D55"/>
    <w:rPr>
      <w:i/>
      <w:iCs/>
      <w:color w:val="0F4761" w:themeColor="accent1" w:themeShade="BF"/>
    </w:rPr>
  </w:style>
  <w:style w:type="character" w:styleId="IntenseReference">
    <w:name w:val="Intense Reference"/>
    <w:basedOn w:val="DefaultParagraphFont"/>
    <w:uiPriority w:val="32"/>
    <w:qFormat/>
    <w:rsid w:val="00076D55"/>
    <w:rPr>
      <w:b/>
      <w:bCs/>
      <w:smallCaps/>
      <w:color w:val="0F4761" w:themeColor="accent1" w:themeShade="BF"/>
      <w:spacing w:val="5"/>
    </w:rPr>
  </w:style>
  <w:style w:type="character" w:styleId="CommentReference">
    <w:name w:val="annotation reference"/>
    <w:basedOn w:val="DefaultParagraphFont"/>
    <w:uiPriority w:val="99"/>
    <w:semiHidden/>
    <w:unhideWhenUsed/>
    <w:rsid w:val="00076D55"/>
    <w:rPr>
      <w:sz w:val="16"/>
      <w:szCs w:val="16"/>
    </w:rPr>
  </w:style>
  <w:style w:type="paragraph" w:styleId="CommentText">
    <w:name w:val="annotation text"/>
    <w:basedOn w:val="Normal"/>
    <w:link w:val="CommentTextChar"/>
    <w:uiPriority w:val="99"/>
    <w:unhideWhenUsed/>
    <w:rsid w:val="00076D55"/>
    <w:pPr>
      <w:spacing w:line="240" w:lineRule="auto"/>
    </w:pPr>
    <w:rPr>
      <w:sz w:val="20"/>
      <w:szCs w:val="20"/>
    </w:rPr>
  </w:style>
  <w:style w:type="character" w:customStyle="1" w:styleId="CommentTextChar">
    <w:name w:val="Comment Text Char"/>
    <w:basedOn w:val="DefaultParagraphFont"/>
    <w:link w:val="CommentText"/>
    <w:uiPriority w:val="99"/>
    <w:rsid w:val="00076D55"/>
    <w:rPr>
      <w:rFonts w:ascii="Times New Roman" w:hAnsi="Times New Roman"/>
      <w:b/>
      <w:kern w:val="0"/>
      <w:sz w:val="20"/>
      <w:szCs w:val="20"/>
      <w14:ligatures w14:val="none"/>
    </w:rPr>
  </w:style>
  <w:style w:type="table" w:styleId="TableGrid">
    <w:name w:val="Table Grid"/>
    <w:basedOn w:val="TableNormal"/>
    <w:uiPriority w:val="39"/>
    <w:rsid w:val="00076D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D4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C6D41"/>
    <w:rPr>
      <w:rFonts w:ascii="Times New Roman" w:hAnsi="Times New Roman"/>
      <w:b/>
      <w:kern w:val="0"/>
      <w:sz w:val="24"/>
      <w:szCs w:val="24"/>
      <w14:ligatures w14:val="none"/>
    </w:rPr>
  </w:style>
  <w:style w:type="paragraph" w:styleId="Footer">
    <w:name w:val="footer"/>
    <w:basedOn w:val="Normal"/>
    <w:link w:val="FooterChar"/>
    <w:uiPriority w:val="99"/>
    <w:unhideWhenUsed/>
    <w:rsid w:val="002C6D4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C6D41"/>
    <w:rPr>
      <w:rFonts w:ascii="Times New Roman" w:hAnsi="Times New Roman"/>
      <w:b/>
      <w:kern w:val="0"/>
      <w:sz w:val="24"/>
      <w:szCs w:val="24"/>
      <w14:ligatures w14:val="none"/>
    </w:rPr>
  </w:style>
  <w:style w:type="table" w:customStyle="1" w:styleId="TableGrid2">
    <w:name w:val="Table Grid2"/>
    <w:basedOn w:val="TableNormal"/>
    <w:next w:val="TableGrid"/>
    <w:uiPriority w:val="39"/>
    <w:rsid w:val="00260758"/>
    <w:pPr>
      <w:spacing w:after="0" w:line="240" w:lineRule="auto"/>
      <w:ind w:firstLine="0"/>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60758"/>
    <w:pPr>
      <w:spacing w:after="0" w:line="240" w:lineRule="auto"/>
      <w:ind w:firstLine="0"/>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60758"/>
    <w:pPr>
      <w:spacing w:after="0" w:line="240" w:lineRule="auto"/>
      <w:ind w:firstLine="0"/>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47E3"/>
    <w:rPr>
      <w:bCs/>
    </w:rPr>
  </w:style>
  <w:style w:type="character" w:customStyle="1" w:styleId="CommentSubjectChar">
    <w:name w:val="Comment Subject Char"/>
    <w:basedOn w:val="CommentTextChar"/>
    <w:link w:val="CommentSubject"/>
    <w:uiPriority w:val="99"/>
    <w:semiHidden/>
    <w:rsid w:val="00AD47E3"/>
    <w:rPr>
      <w:rFonts w:ascii="Times New Roman" w:hAnsi="Times New Roman"/>
      <w:b/>
      <w:bCs/>
      <w:kern w:val="0"/>
      <w:sz w:val="20"/>
      <w:szCs w:val="20"/>
      <w14:ligatures w14:val="none"/>
    </w:rPr>
  </w:style>
  <w:style w:type="paragraph" w:styleId="Revision">
    <w:name w:val="Revision"/>
    <w:hidden/>
    <w:uiPriority w:val="99"/>
    <w:semiHidden/>
    <w:rsid w:val="00BA211D"/>
    <w:pPr>
      <w:spacing w:after="0" w:line="240" w:lineRule="auto"/>
      <w:ind w:firstLine="0"/>
    </w:pPr>
    <w:rPr>
      <w:rFonts w:ascii="Times New Roman" w:hAnsi="Times New Roman"/>
      <w:b/>
      <w:kern w:val="0"/>
      <w:sz w:val="24"/>
      <w:szCs w:val="24"/>
      <w:lang w:val="en-US"/>
      <w14:ligatures w14:val="none"/>
    </w:rPr>
  </w:style>
  <w:style w:type="paragraph" w:styleId="Bibliography">
    <w:name w:val="Bibliography"/>
    <w:basedOn w:val="Normal"/>
    <w:next w:val="Normal"/>
    <w:uiPriority w:val="37"/>
    <w:unhideWhenUsed/>
    <w:rsid w:val="001B01FF"/>
    <w:pPr>
      <w:tabs>
        <w:tab w:val="left" w:pos="264"/>
        <w:tab w:val="left" w:pos="380"/>
      </w:tabs>
      <w:spacing w:line="240" w:lineRule="auto"/>
      <w:ind w:left="384" w:hanging="384"/>
    </w:pPr>
  </w:style>
  <w:style w:type="character" w:customStyle="1" w:styleId="normaltextrun">
    <w:name w:val="normaltextrun"/>
    <w:basedOn w:val="DefaultParagraphFont"/>
    <w:rsid w:val="00671C37"/>
  </w:style>
  <w:style w:type="character" w:styleId="LineNumber">
    <w:name w:val="line number"/>
    <w:basedOn w:val="DefaultParagraphFont"/>
    <w:uiPriority w:val="99"/>
    <w:semiHidden/>
    <w:unhideWhenUsed/>
    <w:rsid w:val="008E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NSW</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Williams</dc:creator>
  <cp:keywords/>
  <dc:description/>
  <cp:lastModifiedBy>Sarah-Jane Leigh</cp:lastModifiedBy>
  <cp:revision>2</cp:revision>
  <cp:lastPrinted>2025-08-15T02:44:00Z</cp:lastPrinted>
  <dcterms:created xsi:type="dcterms:W3CDTF">2026-01-26T23:49:00Z</dcterms:created>
  <dcterms:modified xsi:type="dcterms:W3CDTF">2026-01-26T23:49:00Z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id="kTDCv1Hi"/&gt;&lt;style id="http://www.zotero.org/styles/nlm-citation-sequence" locale="en-GB" hasBibliography="1" bibliographyStyleHasBeenSet="1"/&gt;&lt;prefs&gt;&lt;pref name="fieldType" value="Field"/&gt;&lt;/prefs&gt;</vt:lpwstr>
  </property>
  <property fmtid="{D5CDD505-2E9C-101B-9397-08002B2CF9AE}" pid="3" name="ZOTERO_PREF_2">
    <vt:lpwstr>&lt;/data&gt;</vt:lpwstr>
  </property>
</Properties>
</file>