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F162" w14:textId="7131D803" w:rsidR="004D53C7" w:rsidRPr="00EE7CC8" w:rsidRDefault="00F652F3" w:rsidP="00F652F3">
      <w:pPr>
        <w:pStyle w:val="EndNoteBibliographyTitle"/>
        <w:jc w:val="left"/>
        <w:rPr>
          <w:rFonts w:ascii="Times New Roman" w:hAnsi="Times New Roman" w:cs="Times New Roman"/>
          <w:b/>
          <w:sz w:val="22"/>
          <w:szCs w:val="22"/>
        </w:rPr>
      </w:pPr>
      <w:r w:rsidRPr="00EE7CC8">
        <w:rPr>
          <w:rFonts w:ascii="Times New Roman" w:hAnsi="Times New Roman" w:cs="Times New Roman"/>
          <w:b/>
          <w:sz w:val="22"/>
          <w:szCs w:val="22"/>
        </w:rPr>
        <w:t xml:space="preserve">Supplementary Material </w:t>
      </w:r>
    </w:p>
    <w:p w14:paraId="6B5EFFBE" w14:textId="224B1B45" w:rsidR="00517DFF" w:rsidRDefault="00517DFF" w:rsidP="00656725">
      <w:pPr>
        <w:pStyle w:val="EndNoteBibliographyTitle"/>
        <w:jc w:val="left"/>
        <w:rPr>
          <w:rFonts w:ascii="Times New Roman" w:hAnsi="Times New Roman" w:cs="Times New Roman"/>
          <w:sz w:val="22"/>
          <w:szCs w:val="22"/>
        </w:rPr>
      </w:pPr>
    </w:p>
    <w:p w14:paraId="22455673" w14:textId="77777777" w:rsidR="00173D7A" w:rsidRDefault="00173D7A" w:rsidP="00656725">
      <w:pPr>
        <w:pStyle w:val="EndNoteBibliographyTitle"/>
        <w:jc w:val="left"/>
        <w:rPr>
          <w:rFonts w:ascii="Times New Roman" w:hAnsi="Times New Roman" w:cs="Times New Roman"/>
          <w:sz w:val="22"/>
          <w:szCs w:val="22"/>
        </w:rPr>
      </w:pPr>
    </w:p>
    <w:p w14:paraId="5916767F" w14:textId="6EB148DE" w:rsidR="00281386" w:rsidRPr="00764234" w:rsidRDefault="00173D7A" w:rsidP="00656725">
      <w:pPr>
        <w:pStyle w:val="EndNoteBibliographyTitle"/>
        <w:jc w:val="left"/>
        <w:rPr>
          <w:rFonts w:ascii="Times New Roman" w:hAnsi="Times New Roman" w:cs="Times New Roman"/>
          <w:b/>
          <w:bCs/>
          <w:sz w:val="22"/>
          <w:szCs w:val="22"/>
        </w:rPr>
      </w:pPr>
      <w:r w:rsidRPr="00764234">
        <w:rPr>
          <w:rFonts w:ascii="Times New Roman" w:hAnsi="Times New Roman" w:cs="Times New Roman"/>
          <w:b/>
          <w:bCs/>
          <w:sz w:val="22"/>
          <w:szCs w:val="22"/>
        </w:rPr>
        <w:t>Samples characteristics</w:t>
      </w:r>
    </w:p>
    <w:p w14:paraId="1D76C890" w14:textId="77777777" w:rsidR="00173D7A" w:rsidRDefault="00173D7A" w:rsidP="00656725">
      <w:pPr>
        <w:pStyle w:val="EndNoteBibliographyTitle"/>
        <w:jc w:val="left"/>
        <w:rPr>
          <w:rFonts w:ascii="Times New Roman" w:hAnsi="Times New Roman" w:cs="Times New Roman"/>
          <w:sz w:val="22"/>
          <w:szCs w:val="22"/>
        </w:rPr>
      </w:pPr>
    </w:p>
    <w:p w14:paraId="27B213FC" w14:textId="77777777" w:rsidR="003A673C" w:rsidRPr="00CE32A2" w:rsidRDefault="003A673C" w:rsidP="003A673C">
      <w:pPr>
        <w:spacing w:after="100" w:afterAutospacing="1" w:line="360" w:lineRule="auto"/>
        <w:rPr>
          <w:b/>
          <w:bCs/>
          <w:sz w:val="22"/>
          <w:szCs w:val="22"/>
        </w:rPr>
      </w:pPr>
      <w:r w:rsidRPr="00CE32A2">
        <w:rPr>
          <w:b/>
          <w:bCs/>
          <w:sz w:val="22"/>
          <w:szCs w:val="22"/>
        </w:rPr>
        <w:t xml:space="preserve">Brazilian sample </w:t>
      </w:r>
    </w:p>
    <w:p w14:paraId="75B56B22" w14:textId="01B5A709" w:rsidR="003A673C" w:rsidRPr="00CE32A2" w:rsidRDefault="003A673C" w:rsidP="003A673C">
      <w:pPr>
        <w:spacing w:after="100" w:afterAutospacing="1" w:line="360" w:lineRule="auto"/>
        <w:rPr>
          <w:sz w:val="22"/>
          <w:szCs w:val="22"/>
        </w:rPr>
      </w:pPr>
      <w:r w:rsidRPr="00CE32A2">
        <w:rPr>
          <w:sz w:val="22"/>
          <w:szCs w:val="22"/>
        </w:rPr>
        <w:t>The Brazilian sample consisted of 133 youth self-reports (M</w:t>
      </w:r>
      <w:r>
        <w:rPr>
          <w:sz w:val="22"/>
          <w:szCs w:val="22"/>
        </w:rPr>
        <w:t>ean age</w:t>
      </w:r>
      <w:r w:rsidRPr="00CE32A2">
        <w:rPr>
          <w:sz w:val="22"/>
          <w:szCs w:val="22"/>
        </w:rPr>
        <w:t xml:space="preserve"> = 11.0</w:t>
      </w:r>
      <w:r>
        <w:rPr>
          <w:sz w:val="22"/>
          <w:szCs w:val="22"/>
        </w:rPr>
        <w:t xml:space="preserve"> years</w:t>
      </w:r>
      <w:r w:rsidRPr="00CE32A2">
        <w:rPr>
          <w:sz w:val="22"/>
          <w:szCs w:val="22"/>
        </w:rPr>
        <w:t>, SD = 1.6</w:t>
      </w:r>
      <w:r>
        <w:rPr>
          <w:sz w:val="22"/>
          <w:szCs w:val="22"/>
        </w:rPr>
        <w:t>,</w:t>
      </w:r>
      <w:r w:rsidRPr="00CE32A2">
        <w:rPr>
          <w:sz w:val="22"/>
          <w:szCs w:val="22"/>
        </w:rPr>
        <w:t xml:space="preserve"> range = 8–17; 54.1% female) recruited through convenience sampling from one public and one private school in Aracaju, Sergipe, Northeast Brazil. Public school students were primarily from low socioeconomic backgrounds, whereas private school students were from middle socioeconomic backgrounds, based on school records. All participants completed the ARI during regular class periods after research assistants explained the study objectives and procedures. Beyond age and </w:t>
      </w:r>
      <w:r>
        <w:rPr>
          <w:sz w:val="22"/>
          <w:szCs w:val="22"/>
        </w:rPr>
        <w:t>sex</w:t>
      </w:r>
      <w:r w:rsidRPr="00CE32A2">
        <w:rPr>
          <w:sz w:val="22"/>
          <w:szCs w:val="22"/>
        </w:rPr>
        <w:t xml:space="preserve"> school type was the only demographic variable recorded </w:t>
      </w:r>
      <w:r w:rsidRPr="00CE32A2">
        <w:rPr>
          <w:sz w:val="22"/>
          <w:szCs w:val="22"/>
        </w:rPr>
        <w:fldChar w:fldCharType="begin"/>
      </w:r>
      <w:r w:rsidR="00764234">
        <w:rPr>
          <w:sz w:val="22"/>
          <w:szCs w:val="22"/>
        </w:rPr>
        <w:instrText xml:space="preserve"> ADDIN EN.CITE &lt;EndNote&gt;&lt;Cite&gt;&lt;Author&gt;DeSousa&lt;/Author&gt;&lt;Year&gt;2013&lt;/Year&gt;&lt;RecNum&gt;3308&lt;/RecNum&gt;&lt;DisplayText&gt;[9]&lt;/DisplayText&gt;&lt;record&gt;&lt;rec-number&gt;3308&lt;/rec-number&gt;&lt;foreign-keys&gt;&lt;key app="EN" db-id="50wxdpzd9vd5r7e9t5b595djrfpttrxw9avp" timestamp="1762187665"&gt;3308&lt;/key&gt;&lt;/foreign-keys&gt;&lt;ref-type name="Journal Article"&gt;17&lt;/ref-type&gt;&lt;contributors&gt;&lt;authors&gt;&lt;author&gt;DeSousa, Diogo Araújo&lt;/author&gt;&lt;author&gt;Stringaris, Argyris&lt;/author&gt;&lt;author&gt;Leibenluft, Ellen&lt;/author&gt;&lt;author&gt;Koller, Silvia Helena&lt;/author&gt;&lt;author&gt;Manfro, Gisele Gus&lt;/author&gt;&lt;author&gt;Salum, Giovanni Abrahão&lt;/author&gt;&lt;/authors&gt;&lt;/contributors&gt;&lt;titles&gt;&lt;title&gt;Adaptação transcultural e propriedades psicométricas preliminares do Affective Reactivity Index em jovens brasileiros: implicações para a irritabilidade medida pelo DSM-5&lt;/title&gt;&lt;secondary-title&gt;Trends in Psychiatry and Psychotherapy&lt;/secondary-title&gt;&lt;/titles&gt;&lt;periodical&gt;&lt;full-title&gt;Trends in Psychiatry and Psychotherapy&lt;/full-title&gt;&lt;/periodical&gt;&lt;pages&gt;171-180&lt;/pages&gt;&lt;volume&gt;35&lt;/volume&gt;&lt;number&gt;3&lt;/number&gt;&lt;dates&gt;&lt;year&gt;2013&lt;/year&gt;&lt;/dates&gt;&lt;isbn&gt;2237-6089&lt;/isbn&gt;&lt;urls&gt;&lt;/urls&gt;&lt;/record&gt;&lt;/Cite&gt;&lt;/EndNote&gt;</w:instrText>
      </w:r>
      <w:r w:rsidRPr="00CE32A2">
        <w:rPr>
          <w:sz w:val="22"/>
          <w:szCs w:val="22"/>
        </w:rPr>
        <w:fldChar w:fldCharType="separate"/>
      </w:r>
      <w:r w:rsidR="00764234">
        <w:rPr>
          <w:noProof/>
          <w:sz w:val="22"/>
          <w:szCs w:val="22"/>
        </w:rPr>
        <w:t>[9]</w:t>
      </w:r>
      <w:r w:rsidRPr="00CE32A2">
        <w:rPr>
          <w:sz w:val="22"/>
          <w:szCs w:val="22"/>
        </w:rPr>
        <w:fldChar w:fldCharType="end"/>
      </w:r>
      <w:r w:rsidRPr="00CE32A2">
        <w:rPr>
          <w:sz w:val="22"/>
          <w:szCs w:val="22"/>
        </w:rPr>
        <w:t xml:space="preserve">. This study was approved by the Ethics Committee of the Institute of Psychology of Universidade Federal do Rio Grande do Sul (protocol no. 22264). </w:t>
      </w:r>
      <w:r>
        <w:rPr>
          <w:sz w:val="22"/>
          <w:szCs w:val="22"/>
        </w:rPr>
        <w:t xml:space="preserve"> </w:t>
      </w:r>
      <w:r w:rsidRPr="002D3D0A">
        <w:rPr>
          <w:sz w:val="22"/>
          <w:szCs w:val="22"/>
        </w:rPr>
        <w:t>School approval, parental written informed consent, and youth assent were obtained prior to participation. This study is part of a larger project</w:t>
      </w:r>
      <w:r>
        <w:rPr>
          <w:sz w:val="22"/>
          <w:szCs w:val="22"/>
        </w:rPr>
        <w:t xml:space="preserve"> </w:t>
      </w:r>
      <w:r>
        <w:rPr>
          <w:sz w:val="22"/>
          <w:szCs w:val="22"/>
        </w:rPr>
        <w:fldChar w:fldCharType="begin"/>
      </w:r>
      <w:r w:rsidR="00764234">
        <w:rPr>
          <w:sz w:val="22"/>
          <w:szCs w:val="22"/>
        </w:rPr>
        <w:instrText xml:space="preserve"> ADDIN EN.CITE &lt;EndNote&gt;&lt;Cite&gt;&lt;Author&gt;DeSousa&lt;/Author&gt;&lt;Year&gt;2013&lt;/Year&gt;&lt;RecNum&gt;3764&lt;/RecNum&gt;&lt;DisplayText&gt;[10]&lt;/DisplayText&gt;&lt;record&gt;&lt;rec-number&gt;3764&lt;/rec-number&gt;&lt;foreign-keys&gt;&lt;key app="EN" db-id="50wxdpzd9vd5r7e9t5b595djrfpttrxw9avp" timestamp="1770957331"&gt;3764&lt;/key&gt;&lt;/foreign-keys&gt;&lt;ref-type name="Journal Article"&gt;17&lt;/ref-type&gt;&lt;contributors&gt;&lt;authors&gt;&lt;author&gt;DeSousa, Diogo Araújo&lt;/author&gt;&lt;author&gt;Stringaris, Argyris&lt;/author&gt;&lt;author&gt;Leibenluft, Ellen&lt;/author&gt;&lt;author&gt;Koller, Silvia Helena&lt;/author&gt;&lt;author&gt;Manfro, Gisele Gus&lt;/author&gt;&lt;author&gt;Salum, Giovanni Abrahão&lt;/author&gt;&lt;/authors&gt;&lt;/contributors&gt;&lt;titles&gt;&lt;title&gt;Cross-cultural adaptation and preliminary psychometric properties of the Affective Reactivity Index in Brazilian Youth: implications for DSM-5 measured irritability&lt;/title&gt;&lt;secondary-title&gt;Trends in Psychiatry and Psychotherapy&lt;/secondary-title&gt;&lt;/titles&gt;&lt;periodical&gt;&lt;full-title&gt;Trends in Psychiatry and Psychotherapy&lt;/full-title&gt;&lt;/periodical&gt;&lt;pages&gt;171-180&lt;/pages&gt;&lt;volume&gt;35&lt;/volume&gt;&lt;dates&gt;&lt;year&gt;2013&lt;/year&gt;&lt;/dates&gt;&lt;isbn&gt;2237-6089&lt;/isbn&gt;&lt;urls&gt;&lt;/urls&gt;&lt;/record&gt;&lt;/Cite&gt;&lt;/EndNote&gt;</w:instrText>
      </w:r>
      <w:r>
        <w:rPr>
          <w:sz w:val="22"/>
          <w:szCs w:val="22"/>
        </w:rPr>
        <w:fldChar w:fldCharType="separate"/>
      </w:r>
      <w:r w:rsidR="00764234">
        <w:rPr>
          <w:noProof/>
          <w:sz w:val="22"/>
          <w:szCs w:val="22"/>
        </w:rPr>
        <w:t>[10]</w:t>
      </w:r>
      <w:r>
        <w:rPr>
          <w:sz w:val="22"/>
          <w:szCs w:val="22"/>
        </w:rPr>
        <w:fldChar w:fldCharType="end"/>
      </w:r>
      <w:r>
        <w:rPr>
          <w:sz w:val="22"/>
          <w:szCs w:val="22"/>
        </w:rPr>
        <w:t>.</w:t>
      </w:r>
    </w:p>
    <w:p w14:paraId="4BDBE738" w14:textId="77777777" w:rsidR="003A673C" w:rsidRPr="00CE32A2" w:rsidRDefault="003A673C" w:rsidP="003A673C">
      <w:pPr>
        <w:spacing w:after="100" w:afterAutospacing="1" w:line="360" w:lineRule="auto"/>
        <w:rPr>
          <w:b/>
          <w:bCs/>
          <w:sz w:val="22"/>
          <w:szCs w:val="22"/>
        </w:rPr>
      </w:pPr>
      <w:r w:rsidRPr="00CE32A2">
        <w:rPr>
          <w:b/>
          <w:bCs/>
          <w:sz w:val="22"/>
          <w:szCs w:val="22"/>
        </w:rPr>
        <w:t xml:space="preserve">Chinese sample </w:t>
      </w:r>
    </w:p>
    <w:p w14:paraId="4E423086" w14:textId="6041840D" w:rsidR="003A673C" w:rsidRPr="00CE32A2" w:rsidRDefault="003A673C" w:rsidP="003A673C">
      <w:pPr>
        <w:spacing w:after="100" w:afterAutospacing="1" w:line="360" w:lineRule="auto"/>
        <w:rPr>
          <w:sz w:val="22"/>
          <w:szCs w:val="22"/>
        </w:rPr>
      </w:pPr>
      <w:r w:rsidRPr="00CE32A2">
        <w:rPr>
          <w:sz w:val="22"/>
          <w:szCs w:val="22"/>
        </w:rPr>
        <w:t>The Chinese sample consisted of 395 youth self-reports and 403 caregiver reports (M</w:t>
      </w:r>
      <w:r>
        <w:rPr>
          <w:sz w:val="22"/>
          <w:szCs w:val="22"/>
        </w:rPr>
        <w:t>ean age</w:t>
      </w:r>
      <w:r w:rsidRPr="00CE32A2">
        <w:rPr>
          <w:sz w:val="22"/>
          <w:szCs w:val="22"/>
        </w:rPr>
        <w:t xml:space="preserve"> = 13.4</w:t>
      </w:r>
      <w:r>
        <w:rPr>
          <w:sz w:val="22"/>
          <w:szCs w:val="22"/>
        </w:rPr>
        <w:t xml:space="preserve"> years</w:t>
      </w:r>
      <w:r w:rsidRPr="00CE32A2">
        <w:rPr>
          <w:sz w:val="22"/>
          <w:szCs w:val="22"/>
        </w:rPr>
        <w:t>, SD = 2.5</w:t>
      </w:r>
      <w:r>
        <w:rPr>
          <w:sz w:val="22"/>
          <w:szCs w:val="22"/>
        </w:rPr>
        <w:t>,</w:t>
      </w:r>
      <w:r w:rsidRPr="00CE32A2">
        <w:rPr>
          <w:sz w:val="22"/>
          <w:szCs w:val="22"/>
        </w:rPr>
        <w:t xml:space="preserve"> range = 9–17</w:t>
      </w:r>
      <w:r>
        <w:rPr>
          <w:sz w:val="22"/>
          <w:szCs w:val="22"/>
        </w:rPr>
        <w:t xml:space="preserve">; </w:t>
      </w:r>
      <w:r w:rsidRPr="00CE32A2">
        <w:rPr>
          <w:sz w:val="22"/>
          <w:szCs w:val="22"/>
        </w:rPr>
        <w:t xml:space="preserve">48.1% female). Participants were recruited through convenience sampling from schools in four geographically diverse cities in mainland China as part of a community mental health questionnaire project. The ARI, translated into Simplified Chinese and back-translated with authorization from the original author, was administered online via wjx.cn. </w:t>
      </w:r>
      <w:r w:rsidRPr="00054E2C">
        <w:rPr>
          <w:sz w:val="22"/>
          <w:szCs w:val="22"/>
        </w:rPr>
        <w:t>Caregivers and youth completed the questionnaires online using separate devices (e.g., computers and/or mobile phones) in a back-to-back manner to ensure independent responding.</w:t>
      </w:r>
      <w:r>
        <w:rPr>
          <w:sz w:val="22"/>
          <w:szCs w:val="22"/>
        </w:rPr>
        <w:t xml:space="preserve"> </w:t>
      </w:r>
      <w:r w:rsidRPr="00054E2C">
        <w:rPr>
          <w:sz w:val="22"/>
          <w:szCs w:val="22"/>
        </w:rPr>
        <w:t>The study was approved by the Ethics Committee of the Institute of Psychology, Chinese Academy of Sciences (approval no. H22076). Written informed consent was obtained from all caregivers, and assent was obtained from all youth participants. Given widespread access to internet-connected devices and familiarity with online learning platforms, online participation was feasible and supported compliance.</w:t>
      </w:r>
      <w:r>
        <w:rPr>
          <w:sz w:val="22"/>
          <w:szCs w:val="22"/>
        </w:rPr>
        <w:t xml:space="preserve"> </w:t>
      </w:r>
      <w:r w:rsidRPr="00054E2C">
        <w:rPr>
          <w:sz w:val="22"/>
          <w:szCs w:val="22"/>
        </w:rPr>
        <w:t>Most participants were Han and resided in urban areas, and parents were generally college-educated with middle-range household income levels</w:t>
      </w:r>
      <w:r>
        <w:rPr>
          <w:sz w:val="22"/>
          <w:szCs w:val="22"/>
        </w:rPr>
        <w:t xml:space="preserve"> </w:t>
      </w:r>
      <w:r w:rsidRPr="00CE32A2">
        <w:rPr>
          <w:sz w:val="22"/>
          <w:szCs w:val="22"/>
        </w:rPr>
        <w:t xml:space="preserve"> </w:t>
      </w:r>
      <w:r w:rsidRPr="00CE32A2">
        <w:rPr>
          <w:sz w:val="22"/>
          <w:szCs w:val="22"/>
        </w:rPr>
        <w:fldChar w:fldCharType="begin"/>
      </w:r>
      <w:r w:rsidR="00764234">
        <w:rPr>
          <w:sz w:val="22"/>
          <w:szCs w:val="22"/>
        </w:rPr>
        <w:instrText xml:space="preserve"> ADDIN EN.CITE &lt;EndNote&gt;&lt;Cite&gt;&lt;Author&gt;Lu&lt;/Author&gt;&lt;Year&gt;2024&lt;/Year&gt;&lt;RecNum&gt;3305&lt;/RecNum&gt;&lt;DisplayText&gt;[23]&lt;/DisplayText&gt;&lt;record&gt;&lt;rec-number&gt;3305&lt;/rec-number&gt;&lt;foreign-keys&gt;&lt;key app="EN" db-id="50wxdpzd9vd5r7e9t5b595djrfpttrxw9avp" timestamp="1762187268"&gt;3305&lt;/key&gt;&lt;/foreign-keys&gt;&lt;ref-type name="Journal Article"&gt;17&lt;/ref-type&gt;&lt;contributors&gt;&lt;authors&gt;&lt;author&gt;Lu, Boqing&lt;/author&gt;&lt;author&gt;Fang, Yuan&lt;/author&gt;&lt;author&gt;Cai, Jimin&lt;/author&gt;&lt;author&gt;Chen, Zhiyan&lt;/author&gt;&lt;/authors&gt;&lt;/contributors&gt;&lt;titles&gt;&lt;title&gt;Psychometric Evaluation of the Affective Reactivity Index Among Children and Adolescents in China: A Multi-Method Assessment Approach&lt;/title&gt;&lt;secondary-title&gt;Assessment&lt;/secondary-title&gt;&lt;/titles&gt;&lt;periodical&gt;&lt;full-title&gt;Assessment&lt;/full-title&gt;&lt;/periodical&gt;&lt;pages&gt;1020-1037&lt;/pages&gt;&lt;volume&gt;31&lt;/volume&gt;&lt;number&gt;5&lt;/number&gt;&lt;dates&gt;&lt;year&gt;2024&lt;/year&gt;&lt;/dates&gt;&lt;isbn&gt;1073-1911&lt;/isbn&gt;&lt;urls&gt;&lt;/urls&gt;&lt;/record&gt;&lt;/Cite&gt;&lt;/EndNote&gt;</w:instrText>
      </w:r>
      <w:r w:rsidRPr="00CE32A2">
        <w:rPr>
          <w:sz w:val="22"/>
          <w:szCs w:val="22"/>
        </w:rPr>
        <w:fldChar w:fldCharType="separate"/>
      </w:r>
      <w:r w:rsidR="00764234">
        <w:rPr>
          <w:noProof/>
          <w:sz w:val="22"/>
          <w:szCs w:val="22"/>
        </w:rPr>
        <w:t>[23]</w:t>
      </w:r>
      <w:r w:rsidRPr="00CE32A2">
        <w:rPr>
          <w:sz w:val="22"/>
          <w:szCs w:val="22"/>
        </w:rPr>
        <w:fldChar w:fldCharType="end"/>
      </w:r>
      <w:r w:rsidRPr="00CE32A2">
        <w:rPr>
          <w:sz w:val="22"/>
          <w:szCs w:val="22"/>
        </w:rPr>
        <w:t>.</w:t>
      </w:r>
    </w:p>
    <w:p w14:paraId="5C4C7512" w14:textId="77777777" w:rsidR="003A673C" w:rsidRPr="00CE32A2" w:rsidRDefault="003A673C" w:rsidP="003A673C">
      <w:pPr>
        <w:spacing w:after="100" w:afterAutospacing="1" w:line="360" w:lineRule="auto"/>
        <w:rPr>
          <w:b/>
          <w:bCs/>
          <w:sz w:val="22"/>
          <w:szCs w:val="22"/>
        </w:rPr>
      </w:pPr>
      <w:r w:rsidRPr="00CE32A2">
        <w:rPr>
          <w:b/>
          <w:bCs/>
          <w:sz w:val="22"/>
          <w:szCs w:val="22"/>
        </w:rPr>
        <w:t xml:space="preserve">Japanese sample </w:t>
      </w:r>
    </w:p>
    <w:p w14:paraId="7C341F0F" w14:textId="0CFBF484" w:rsidR="003A673C" w:rsidRPr="00CE32A2" w:rsidRDefault="003A673C" w:rsidP="003A673C">
      <w:pPr>
        <w:spacing w:after="100" w:afterAutospacing="1" w:line="360" w:lineRule="auto"/>
        <w:rPr>
          <w:sz w:val="22"/>
          <w:szCs w:val="22"/>
        </w:rPr>
      </w:pPr>
      <w:r w:rsidRPr="00CE32A2">
        <w:rPr>
          <w:sz w:val="22"/>
          <w:szCs w:val="22"/>
        </w:rPr>
        <w:lastRenderedPageBreak/>
        <w:t xml:space="preserve">The </w:t>
      </w:r>
      <w:r w:rsidRPr="00216FB2">
        <w:rPr>
          <w:sz w:val="22"/>
          <w:szCs w:val="22"/>
        </w:rPr>
        <w:t xml:space="preserve">Japanese sample consisted of 4,800 caregiver reports (Mean age = 47.22  years, SD = </w:t>
      </w:r>
      <w:r w:rsidRPr="0007634C">
        <w:rPr>
          <w:sz w:val="22"/>
          <w:szCs w:val="22"/>
        </w:rPr>
        <w:t>3.95</w:t>
      </w:r>
      <w:r w:rsidRPr="00216FB2">
        <w:rPr>
          <w:sz w:val="22"/>
          <w:szCs w:val="22"/>
        </w:rPr>
        <w:t xml:space="preserve">, range = 39-55; 32% female) collected from parents registered with a national online survey company </w:t>
      </w:r>
      <w:r w:rsidRPr="00216FB2">
        <w:rPr>
          <w:sz w:val="22"/>
          <w:szCs w:val="22"/>
        </w:rPr>
        <w:fldChar w:fldCharType="begin"/>
      </w:r>
      <w:r w:rsidR="00764234">
        <w:rPr>
          <w:sz w:val="22"/>
          <w:szCs w:val="22"/>
        </w:rPr>
        <w:instrText xml:space="preserve"> ADDIN EN.CITE &lt;EndNote&gt;&lt;Cite&gt;&lt;Author&gt;Takahashi&lt;/Author&gt;&lt;Year&gt;2021&lt;/Year&gt;&lt;RecNum&gt;3307&lt;/RecNum&gt;&lt;DisplayText&gt;[33]&lt;/DisplayText&gt;&lt;record&gt;&lt;rec-number&gt;3307&lt;/rec-number&gt;&lt;foreign-keys&gt;&lt;key app="EN" db-id="50wxdpzd9vd5r7e9t5b595djrfpttrxw9avp" timestamp="1762187569"&gt;3307&lt;/key&gt;&lt;/foreign-keys&gt;&lt;ref-type name="Journal Article"&gt;17&lt;/ref-type&gt;&lt;contributors&gt;&lt;authors&gt;&lt;author&gt;Takahashi, Fumito&lt;/author&gt;&lt;author&gt;Honda, Hideo&lt;/author&gt;&lt;/authors&gt;&lt;/contributors&gt;&lt;titles&gt;&lt;title&gt;Prevalence of clinical‐level emotional/behavioral problems in schoolchildren during the coronavirus disease 2019 pandemic in Japan: A prospective cohort study&lt;/title&gt;&lt;secondary-title&gt;JCPP advances&lt;/secondary-title&gt;&lt;/titles&gt;&lt;periodical&gt;&lt;full-title&gt;JCPP advances&lt;/full-title&gt;&lt;/periodical&gt;&lt;pages&gt;e12007&lt;/pages&gt;&lt;volume&gt;1&lt;/volume&gt;&lt;number&gt;1&lt;/number&gt;&lt;dates&gt;&lt;year&gt;2021&lt;/year&gt;&lt;/dates&gt;&lt;isbn&gt;2692-9384&lt;/isbn&gt;&lt;urls&gt;&lt;/urls&gt;&lt;/record&gt;&lt;/Cite&gt;&lt;/EndNote&gt;</w:instrText>
      </w:r>
      <w:r w:rsidRPr="00216FB2">
        <w:rPr>
          <w:sz w:val="22"/>
          <w:szCs w:val="22"/>
        </w:rPr>
        <w:fldChar w:fldCharType="separate"/>
      </w:r>
      <w:r w:rsidR="00764234">
        <w:rPr>
          <w:noProof/>
          <w:sz w:val="22"/>
          <w:szCs w:val="22"/>
        </w:rPr>
        <w:t>[33]</w:t>
      </w:r>
      <w:r w:rsidRPr="00216FB2">
        <w:rPr>
          <w:sz w:val="22"/>
          <w:szCs w:val="22"/>
        </w:rPr>
        <w:fldChar w:fldCharType="end"/>
      </w:r>
      <w:r w:rsidRPr="00216FB2">
        <w:rPr>
          <w:sz w:val="22"/>
          <w:szCs w:val="22"/>
        </w:rPr>
        <w:t xml:space="preserve">. Parents of children in grades 1–12 were invited to complete an online ARI survey. Data were collected in evenly distributed grade-by-sex segments (200 per grade/sex cell). Information on parent education, household income, marital status, and child grade is provided elsewhere </w:t>
      </w:r>
      <w:r w:rsidRPr="00216FB2">
        <w:rPr>
          <w:sz w:val="22"/>
          <w:szCs w:val="22"/>
        </w:rPr>
        <w:fldChar w:fldCharType="begin"/>
      </w:r>
      <w:r w:rsidR="00764234">
        <w:rPr>
          <w:sz w:val="22"/>
          <w:szCs w:val="22"/>
        </w:rPr>
        <w:instrText xml:space="preserve"> ADDIN EN.CITE &lt;EndNote&gt;&lt;Cite&gt;&lt;Author&gt;Takahashi&lt;/Author&gt;&lt;Year&gt;2021&lt;/Year&gt;&lt;RecNum&gt;3765&lt;/RecNum&gt;&lt;DisplayText&gt;[33]&lt;/DisplayText&gt;&lt;record&gt;&lt;rec-number&gt;3765&lt;/rec-number&gt;&lt;foreign-keys&gt;&lt;key app="EN" db-id="50wxdpzd9vd5r7e9t5b595djrfpttrxw9avp" timestamp="1770957393"&gt;3765&lt;/key&gt;&lt;/foreign-keys&gt;&lt;ref-type name="Journal Article"&gt;17&lt;/ref-type&gt;&lt;contributors&gt;&lt;authors&gt;&lt;author&gt;Takahashi, Fumito&lt;/author&gt;&lt;author&gt;Honda, Hideo&lt;/author&gt;&lt;/authors&gt;&lt;/contributors&gt;&lt;titles&gt;&lt;title&gt;Prevalence of clinical‐level emotional/behavioral problems in schoolchildren during the coronavirus disease 2019 pandemic in Japan: A prospective cohort study&lt;/title&gt;&lt;secondary-title&gt;JCPP advances&lt;/secondary-title&gt;&lt;/titles&gt;&lt;periodical&gt;&lt;full-title&gt;JCPP advances&lt;/full-title&gt;&lt;/periodical&gt;&lt;pages&gt;e12007&lt;/pages&gt;&lt;volume&gt;1&lt;/volume&gt;&lt;number&gt;1&lt;/number&gt;&lt;dates&gt;&lt;year&gt;2021&lt;/year&gt;&lt;/dates&gt;&lt;isbn&gt;2692-9384&lt;/isbn&gt;&lt;urls&gt;&lt;/urls&gt;&lt;/record&gt;&lt;/Cite&gt;&lt;/EndNote&gt;</w:instrText>
      </w:r>
      <w:r w:rsidRPr="00216FB2">
        <w:rPr>
          <w:sz w:val="22"/>
          <w:szCs w:val="22"/>
        </w:rPr>
        <w:fldChar w:fldCharType="separate"/>
      </w:r>
      <w:r w:rsidR="00764234">
        <w:rPr>
          <w:noProof/>
          <w:sz w:val="22"/>
          <w:szCs w:val="22"/>
        </w:rPr>
        <w:t>[33]</w:t>
      </w:r>
      <w:r w:rsidRPr="00216FB2">
        <w:rPr>
          <w:sz w:val="22"/>
          <w:szCs w:val="22"/>
        </w:rPr>
        <w:fldChar w:fldCharType="end"/>
      </w:r>
      <w:r w:rsidRPr="00216FB2">
        <w:rPr>
          <w:sz w:val="22"/>
          <w:szCs w:val="22"/>
        </w:rPr>
        <w:t>.</w:t>
      </w:r>
      <w:r w:rsidRPr="00216FB2" w:rsidDel="006E6E47">
        <w:rPr>
          <w:sz w:val="22"/>
          <w:szCs w:val="22"/>
        </w:rPr>
        <w:t xml:space="preserve"> </w:t>
      </w:r>
      <w:r w:rsidRPr="00A07ED3">
        <w:rPr>
          <w:sz w:val="22"/>
          <w:szCs w:val="22"/>
        </w:rPr>
        <w:t>This study received approval from the Shinshu University Ethics Committee on Educational Research prior to data collection (Approval No. 19-33). All participants provided informed consent electronically before completing the survey.</w:t>
      </w:r>
    </w:p>
    <w:p w14:paraId="76987563" w14:textId="77777777" w:rsidR="003A673C" w:rsidRPr="00CE32A2" w:rsidRDefault="003A673C" w:rsidP="003A673C">
      <w:pPr>
        <w:spacing w:after="100" w:afterAutospacing="1" w:line="360" w:lineRule="auto"/>
        <w:rPr>
          <w:b/>
          <w:bCs/>
          <w:sz w:val="22"/>
          <w:szCs w:val="22"/>
        </w:rPr>
      </w:pPr>
      <w:r w:rsidRPr="00CE32A2">
        <w:rPr>
          <w:b/>
          <w:bCs/>
          <w:sz w:val="22"/>
          <w:szCs w:val="22"/>
        </w:rPr>
        <w:t xml:space="preserve">Spanish sample </w:t>
      </w:r>
    </w:p>
    <w:p w14:paraId="51DC4961" w14:textId="1D8E6036" w:rsidR="003A673C" w:rsidRPr="00CE32A2" w:rsidRDefault="003A673C" w:rsidP="003A673C">
      <w:pPr>
        <w:spacing w:line="360" w:lineRule="auto"/>
        <w:rPr>
          <w:sz w:val="22"/>
          <w:szCs w:val="22"/>
        </w:rPr>
      </w:pPr>
      <w:r w:rsidRPr="00CE32A2">
        <w:rPr>
          <w:sz w:val="22"/>
          <w:szCs w:val="22"/>
        </w:rPr>
        <w:t xml:space="preserve">The Spanish sample consisted of 384 youth self-reports </w:t>
      </w:r>
      <w:r w:rsidRPr="008315DB">
        <w:rPr>
          <w:sz w:val="22"/>
          <w:szCs w:val="22"/>
        </w:rPr>
        <w:t>(Mean age = 12.83 years, SD = 0.31, range = 12.09–13.52; 52.6% female)</w:t>
      </w:r>
      <w:r>
        <w:rPr>
          <w:sz w:val="22"/>
          <w:szCs w:val="22"/>
        </w:rPr>
        <w:t xml:space="preserve"> </w:t>
      </w:r>
      <w:r w:rsidRPr="00CE32A2">
        <w:rPr>
          <w:sz w:val="22"/>
          <w:szCs w:val="22"/>
        </w:rPr>
        <w:t xml:space="preserve">collected in Barcelona, Spain, as part of a longitudinal community study of child behavioral problems </w:t>
      </w:r>
      <w:r w:rsidRPr="00CE32A2">
        <w:rPr>
          <w:sz w:val="22"/>
          <w:szCs w:val="22"/>
        </w:rPr>
        <w:fldChar w:fldCharType="begin"/>
      </w:r>
      <w:r w:rsidR="00764234">
        <w:rPr>
          <w:sz w:val="22"/>
          <w:szCs w:val="22"/>
        </w:rPr>
        <w:instrText xml:space="preserve"> ADDIN EN.CITE &lt;EndNote&gt;&lt;Cite&gt;&lt;Author&gt;Ezpeleta&lt;/Author&gt;&lt;Year&gt;2020&lt;/Year&gt;&lt;RecNum&gt;3306&lt;/RecNum&gt;&lt;DisplayText&gt;[13]&lt;/DisplayText&gt;&lt;record&gt;&lt;rec-number&gt;3306&lt;/rec-number&gt;&lt;foreign-keys&gt;&lt;key app="EN" db-id="50wxdpzd9vd5r7e9t5b595djrfpttrxw9avp" timestamp="1762187410"&gt;3306&lt;/key&gt;&lt;/foreign-keys&gt;&lt;ref-type name="Journal Article"&gt;17&lt;/ref-type&gt;&lt;contributors&gt;&lt;authors&gt;&lt;author&gt;Ezpeleta, Lourdes&lt;/author&gt;&lt;author&gt;Penelo, Eva&lt;/author&gt;&lt;author&gt;de la Osa, Nuria&lt;/author&gt;&lt;author&gt;Navarro, J Blas&lt;/author&gt;&lt;author&gt;Trepat, Esther&lt;/author&gt;&lt;/authors&gt;&lt;/contributors&gt;&lt;titles&gt;&lt;title&gt;How the Affective Reactivity Index (ARI) works for teachers as informants&lt;/title&gt;&lt;secondary-title&gt;Journal of Affective Disorders&lt;/secondary-title&gt;&lt;/titles&gt;&lt;periodical&gt;&lt;full-title&gt;Journal of affective disorders&lt;/full-title&gt;&lt;/periodical&gt;&lt;pages&gt;40-48&lt;/pages&gt;&lt;volume&gt;261&lt;/volume&gt;&lt;dates&gt;&lt;year&gt;2020&lt;/year&gt;&lt;/dates&gt;&lt;isbn&gt;0165-0327&lt;/isbn&gt;&lt;urls&gt;&lt;/urls&gt;&lt;/record&gt;&lt;/Cite&gt;&lt;/EndNote&gt;</w:instrText>
      </w:r>
      <w:r w:rsidRPr="00CE32A2">
        <w:rPr>
          <w:sz w:val="22"/>
          <w:szCs w:val="22"/>
        </w:rPr>
        <w:fldChar w:fldCharType="separate"/>
      </w:r>
      <w:r w:rsidR="00764234">
        <w:rPr>
          <w:noProof/>
          <w:sz w:val="22"/>
          <w:szCs w:val="22"/>
        </w:rPr>
        <w:t>[13]</w:t>
      </w:r>
      <w:r w:rsidRPr="00CE32A2">
        <w:rPr>
          <w:sz w:val="22"/>
          <w:szCs w:val="22"/>
        </w:rPr>
        <w:fldChar w:fldCharType="end"/>
      </w:r>
      <w:r w:rsidRPr="00CE32A2">
        <w:rPr>
          <w:sz w:val="22"/>
          <w:szCs w:val="22"/>
        </w:rPr>
        <w:t>. Participants were drawn from schools in the Barcelona area following a two-phase design. They completed the Catalan version of the ARI during study visits. Most participants were of Spanish origin and Caucasian background, spanning a range of socioeconomic levels typical of the region.</w:t>
      </w:r>
      <w:r w:rsidRPr="00CE32A2" w:rsidDel="00390E1D">
        <w:rPr>
          <w:sz w:val="22"/>
          <w:szCs w:val="22"/>
        </w:rPr>
        <w:t xml:space="preserve"> </w:t>
      </w:r>
      <w:r w:rsidRPr="00CE32A2">
        <w:rPr>
          <w:sz w:val="22"/>
          <w:szCs w:val="22"/>
        </w:rPr>
        <w:t>The project was approved by the Ethics Committee on Animal and Human Experimentation of the Universitat Autònoma de Barcelona (Spain). Families who met screening criteria and gave their consent to participate in the study were assessed annually.</w:t>
      </w:r>
    </w:p>
    <w:p w14:paraId="0AF7F62B" w14:textId="77777777" w:rsidR="003A673C" w:rsidRPr="00CE32A2" w:rsidRDefault="003A673C" w:rsidP="003A673C">
      <w:pPr>
        <w:spacing w:after="100" w:afterAutospacing="1" w:line="360" w:lineRule="auto"/>
        <w:rPr>
          <w:sz w:val="22"/>
          <w:szCs w:val="22"/>
        </w:rPr>
      </w:pPr>
    </w:p>
    <w:p w14:paraId="65AB809F" w14:textId="77777777" w:rsidR="003A673C" w:rsidRPr="00CE32A2" w:rsidRDefault="003A673C" w:rsidP="003A673C">
      <w:pPr>
        <w:spacing w:after="100" w:afterAutospacing="1" w:line="360" w:lineRule="auto"/>
        <w:rPr>
          <w:b/>
          <w:bCs/>
          <w:sz w:val="22"/>
          <w:szCs w:val="22"/>
        </w:rPr>
      </w:pPr>
      <w:r w:rsidRPr="00CE32A2">
        <w:rPr>
          <w:b/>
          <w:bCs/>
          <w:sz w:val="22"/>
          <w:szCs w:val="22"/>
        </w:rPr>
        <w:t xml:space="preserve">United States sample </w:t>
      </w:r>
    </w:p>
    <w:p w14:paraId="7F724C05" w14:textId="3BEF82A3" w:rsidR="003A673C" w:rsidRDefault="003A673C" w:rsidP="003A673C">
      <w:pPr>
        <w:spacing w:after="100" w:afterAutospacing="1" w:line="360" w:lineRule="auto"/>
        <w:rPr>
          <w:sz w:val="22"/>
          <w:szCs w:val="22"/>
        </w:rPr>
      </w:pPr>
      <w:r w:rsidRPr="00CE32A2">
        <w:rPr>
          <w:sz w:val="22"/>
          <w:szCs w:val="22"/>
        </w:rPr>
        <w:t>The US sample consisted of 467 youth self-reports and 475 caregiver reports collected at the age 12 wave of a longitudinal study (M</w:t>
      </w:r>
      <w:r>
        <w:rPr>
          <w:sz w:val="22"/>
          <w:szCs w:val="22"/>
        </w:rPr>
        <w:t>ean age</w:t>
      </w:r>
      <w:r w:rsidRPr="00CE32A2">
        <w:rPr>
          <w:sz w:val="22"/>
          <w:szCs w:val="22"/>
        </w:rPr>
        <w:t xml:space="preserve"> = 12.7, SD = 0.5</w:t>
      </w:r>
      <w:r>
        <w:rPr>
          <w:sz w:val="22"/>
          <w:szCs w:val="22"/>
        </w:rPr>
        <w:t>,</w:t>
      </w:r>
      <w:r w:rsidRPr="00CE32A2">
        <w:rPr>
          <w:sz w:val="22"/>
          <w:szCs w:val="22"/>
        </w:rPr>
        <w:t xml:space="preserve"> range = 11–14</w:t>
      </w:r>
      <w:r>
        <w:rPr>
          <w:sz w:val="22"/>
          <w:szCs w:val="22"/>
        </w:rPr>
        <w:t xml:space="preserve">; </w:t>
      </w:r>
      <w:r w:rsidRPr="00CE32A2">
        <w:rPr>
          <w:sz w:val="22"/>
          <w:szCs w:val="22"/>
        </w:rPr>
        <w:t xml:space="preserve">47.2% female). </w:t>
      </w:r>
      <w:r w:rsidRPr="008761A2">
        <w:rPr>
          <w:sz w:val="22"/>
          <w:szCs w:val="22"/>
        </w:rPr>
        <w:t>A major goal of this longitudinal study is to trace developmental pathways from parental emotional disorders and early child temperament, reflecting positive and negative valence systems, to neural indices of emotional information processing and the subsequent emergence of depressive and anxiety symptoms and disorders across development</w:t>
      </w:r>
      <w:r>
        <w:rPr>
          <w:sz w:val="22"/>
          <w:szCs w:val="22"/>
        </w:rPr>
        <w:t xml:space="preserve">. </w:t>
      </w:r>
      <w:r w:rsidRPr="00CE32A2">
        <w:rPr>
          <w:sz w:val="22"/>
          <w:szCs w:val="22"/>
        </w:rPr>
        <w:t xml:space="preserve">Families were originally recruited from the community using commercial mailing lists when children were age 3 and followed at 3-year intervals through adolescence </w:t>
      </w:r>
      <w:r w:rsidRPr="00CE32A2">
        <w:rPr>
          <w:sz w:val="22"/>
          <w:szCs w:val="22"/>
        </w:rPr>
        <w:fldChar w:fldCharType="begin"/>
      </w:r>
      <w:r w:rsidR="00764234">
        <w:rPr>
          <w:sz w:val="22"/>
          <w:szCs w:val="22"/>
        </w:rPr>
        <w:instrText xml:space="preserve"> ADDIN EN.CITE &lt;EndNote&gt;&lt;Cite&gt;&lt;Author&gt;Klein&lt;/Author&gt;&lt;Year&gt;2017&lt;/Year&gt;&lt;RecNum&gt;3304&lt;/RecNum&gt;&lt;DisplayText&gt;[20]&lt;/DisplayText&gt;&lt;record&gt;&lt;rec-number&gt;3304&lt;/rec-number&gt;&lt;foreign-keys&gt;&lt;key app="EN" db-id="50wxdpzd9vd5r7e9t5b595djrfpttrxw9avp" timestamp="1762187243"&gt;3304&lt;/key&gt;&lt;/foreign-keys&gt;&lt;ref-type name="Journal Article"&gt;17&lt;/ref-type&gt;&lt;contributors&gt;&lt;authors&gt;&lt;author&gt;Klein, Daniel N&lt;/author&gt;&lt;author&gt;Finsaas, Megan C&lt;/author&gt;&lt;/authors&gt;&lt;/contributors&gt;&lt;titles&gt;&lt;title&gt;The Stony Brook Temperament Study: Early antecedents and pathways to emotional disorders&lt;/title&gt;&lt;secondary-title&gt;Child Development Perspectives&lt;/secondary-title&gt;&lt;/titles&gt;&lt;periodical&gt;&lt;full-title&gt;Child Development Perspectives&lt;/full-title&gt;&lt;/periodical&gt;&lt;pages&gt;257-263&lt;/pages&gt;&lt;volume&gt;11&lt;/volume&gt;&lt;number&gt;4&lt;/number&gt;&lt;dates&gt;&lt;year&gt;2017&lt;/year&gt;&lt;/dates&gt;&lt;isbn&gt;1750-8592&lt;/isbn&gt;&lt;urls&gt;&lt;/urls&gt;&lt;/record&gt;&lt;/Cite&gt;&lt;/EndNote&gt;</w:instrText>
      </w:r>
      <w:r w:rsidRPr="00CE32A2">
        <w:rPr>
          <w:sz w:val="22"/>
          <w:szCs w:val="22"/>
        </w:rPr>
        <w:fldChar w:fldCharType="separate"/>
      </w:r>
      <w:r w:rsidR="00764234">
        <w:rPr>
          <w:noProof/>
          <w:sz w:val="22"/>
          <w:szCs w:val="22"/>
        </w:rPr>
        <w:t>[20]</w:t>
      </w:r>
      <w:r w:rsidRPr="00CE32A2">
        <w:rPr>
          <w:sz w:val="22"/>
          <w:szCs w:val="22"/>
        </w:rPr>
        <w:fldChar w:fldCharType="end"/>
      </w:r>
      <w:r w:rsidRPr="00CE32A2">
        <w:rPr>
          <w:sz w:val="22"/>
          <w:szCs w:val="22"/>
        </w:rPr>
        <w:t xml:space="preserve">. </w:t>
      </w:r>
      <w:r w:rsidRPr="00C9354B">
        <w:rPr>
          <w:sz w:val="22"/>
          <w:szCs w:val="22"/>
        </w:rPr>
        <w:t>The ARI was administered during a laboratory visit at age 12. Youth completed the measure on site using paper-and-pencil questionnaires, and caregivers completed the parallel parent-report version during the same laboratory visit using the same format. The sample was primarily middle-income.</w:t>
      </w:r>
      <w:r>
        <w:rPr>
          <w:sz w:val="22"/>
          <w:szCs w:val="22"/>
        </w:rPr>
        <w:t xml:space="preserve"> </w:t>
      </w:r>
      <w:r w:rsidRPr="00193422">
        <w:rPr>
          <w:sz w:val="22"/>
          <w:szCs w:val="22"/>
        </w:rPr>
        <w:t>This study was approved by the Stony Brook University Institutional Review Board (protocol no. 88933). Written informed consent was obtained from caregivers, and assent was obtained from youth.</w:t>
      </w:r>
    </w:p>
    <w:p w14:paraId="4966AA33" w14:textId="77777777" w:rsidR="009614C1" w:rsidRPr="009614C1" w:rsidRDefault="009614C1" w:rsidP="009614C1">
      <w:pPr>
        <w:spacing w:after="100" w:afterAutospacing="1" w:line="360" w:lineRule="auto"/>
        <w:rPr>
          <w:b/>
          <w:bCs/>
          <w:sz w:val="22"/>
          <w:szCs w:val="22"/>
        </w:rPr>
      </w:pPr>
      <w:r w:rsidRPr="009614C1">
        <w:rPr>
          <w:b/>
          <w:bCs/>
          <w:sz w:val="22"/>
          <w:szCs w:val="22"/>
        </w:rPr>
        <w:lastRenderedPageBreak/>
        <w:t>Supplementary Methods: Statistical Analyses</w:t>
      </w:r>
    </w:p>
    <w:p w14:paraId="029C3C66" w14:textId="42AC69D6" w:rsidR="009614C1" w:rsidRPr="009614C1" w:rsidRDefault="009614C1" w:rsidP="009614C1">
      <w:pPr>
        <w:spacing w:after="100" w:afterAutospacing="1" w:line="360" w:lineRule="auto"/>
        <w:rPr>
          <w:sz w:val="22"/>
          <w:szCs w:val="22"/>
        </w:rPr>
      </w:pPr>
      <w:r w:rsidRPr="009614C1">
        <w:rPr>
          <w:sz w:val="22"/>
          <w:szCs w:val="22"/>
        </w:rPr>
        <w:t xml:space="preserve">All confirmatory factor analyses were conducted using the weighted least squares mean and variance adjusted estimator (WLSMV) with a probit link function, which is recommended for ordered categorical indicators such as ARI items </w:t>
      </w:r>
      <w:r w:rsidR="00912A0F" w:rsidRPr="00CE32A2">
        <w:rPr>
          <w:sz w:val="22"/>
          <w:szCs w:val="22"/>
        </w:rPr>
        <w:fldChar w:fldCharType="begin"/>
      </w:r>
      <w:r w:rsidR="00912A0F">
        <w:rPr>
          <w:sz w:val="22"/>
          <w:szCs w:val="22"/>
        </w:rPr>
        <w:instrText xml:space="preserve"> ADDIN EN.CITE &lt;EndNote&gt;&lt;Cite&gt;&lt;Author&gt;Li&lt;/Author&gt;&lt;Year&gt;2016&lt;/Year&gt;&lt;RecNum&gt;2650&lt;/RecNum&gt;&lt;DisplayText&gt;[22]&lt;/DisplayText&gt;&lt;record&gt;&lt;rec-number&gt;2650&lt;/rec-number&gt;&lt;foreign-keys&gt;&lt;key app="EN" db-id="50wxdpzd9vd5r7e9t5b595djrfpttrxw9avp" timestamp="1705593684"&gt;2650&lt;/key&gt;&lt;/foreign-keys&gt;&lt;ref-type name="Journal Article"&gt;17&lt;/ref-type&gt;&lt;contributors&gt;&lt;authors&gt;&lt;author&gt;Li, Cheng-Hsien&lt;/author&gt;&lt;/authors&gt;&lt;/contributors&gt;&lt;titles&gt;&lt;title&gt;Confirmatory factor analysis with ordinal data: Comparing robust maximum likelihood and diagonally weighted least squares&lt;/title&gt;&lt;secondary-title&gt;Behavior research methods&lt;/secondary-title&gt;&lt;/titles&gt;&lt;periodical&gt;&lt;full-title&gt;Behavior research methods&lt;/full-title&gt;&lt;/periodical&gt;&lt;pages&gt;936-949&lt;/pages&gt;&lt;volume&gt;48&lt;/volume&gt;&lt;dates&gt;&lt;year&gt;2016&lt;/year&gt;&lt;/dates&gt;&lt;urls&gt;&lt;/urls&gt;&lt;/record&gt;&lt;/Cite&gt;&lt;/EndNote&gt;</w:instrText>
      </w:r>
      <w:r w:rsidR="00912A0F" w:rsidRPr="00CE32A2">
        <w:rPr>
          <w:sz w:val="22"/>
          <w:szCs w:val="22"/>
        </w:rPr>
        <w:fldChar w:fldCharType="separate"/>
      </w:r>
      <w:r w:rsidR="00912A0F">
        <w:rPr>
          <w:noProof/>
          <w:sz w:val="22"/>
          <w:szCs w:val="22"/>
        </w:rPr>
        <w:t>[22]</w:t>
      </w:r>
      <w:r w:rsidR="00912A0F" w:rsidRPr="00CE32A2">
        <w:rPr>
          <w:sz w:val="22"/>
          <w:szCs w:val="22"/>
        </w:rPr>
        <w:fldChar w:fldCharType="end"/>
      </w:r>
      <w:r w:rsidR="00912A0F" w:rsidRPr="00CE32A2">
        <w:rPr>
          <w:sz w:val="22"/>
          <w:szCs w:val="22"/>
        </w:rPr>
        <w:t>.</w:t>
      </w:r>
    </w:p>
    <w:p w14:paraId="3EC5CEAD" w14:textId="20A6FF54" w:rsidR="009614C1" w:rsidRPr="009614C1" w:rsidRDefault="009614C1" w:rsidP="009614C1">
      <w:pPr>
        <w:spacing w:after="100" w:afterAutospacing="1" w:line="360" w:lineRule="auto"/>
        <w:rPr>
          <w:sz w:val="22"/>
          <w:szCs w:val="22"/>
        </w:rPr>
      </w:pPr>
      <w:r w:rsidRPr="009614C1">
        <w:rPr>
          <w:sz w:val="22"/>
          <w:szCs w:val="22"/>
        </w:rPr>
        <w:t>Model fit was evaluated using multiple indices, including the Comparative Fit Index (CFI), Tucker–Lewis Index (TLI), and Root Mean Square Error of Approximation (RMSEA) </w:t>
      </w:r>
      <w:r w:rsidR="00912A0F" w:rsidRPr="00CE32A2">
        <w:rPr>
          <w:sz w:val="22"/>
          <w:szCs w:val="22"/>
        </w:rPr>
        <w:fldChar w:fldCharType="begin"/>
      </w:r>
      <w:r w:rsidR="00912A0F">
        <w:rPr>
          <w:sz w:val="22"/>
          <w:szCs w:val="22"/>
        </w:rPr>
        <w:instrText xml:space="preserve"> ADDIN EN.CITE &lt;EndNote&gt;&lt;Cite&gt;&lt;Author&gt;Brown&lt;/Author&gt;&lt;Year&gt;2015&lt;/Year&gt;&lt;RecNum&gt;3301&lt;/RecNum&gt;&lt;DisplayText&gt;[3, 17]&lt;/DisplayText&gt;&lt;record&gt;&lt;rec-number&gt;3301&lt;/rec-number&gt;&lt;foreign-keys&gt;&lt;key app="EN" db-id="50wxdpzd9vd5r7e9t5b595djrfpttrxw9avp" timestamp="1760386536"&gt;3301&lt;/key&gt;&lt;/foreign-keys&gt;&lt;ref-type name="Book"&gt;6&lt;/ref-type&gt;&lt;contributors&gt;&lt;authors&gt;&lt;author&gt;Brown, Timothy A&lt;/author&gt;&lt;/authors&gt;&lt;/contributors&gt;&lt;titles&gt;&lt;title&gt;Confirmatory factor analysis for applied research&lt;/title&gt;&lt;/titles&gt;&lt;dates&gt;&lt;year&gt;2015&lt;/year&gt;&lt;/dates&gt;&lt;publisher&gt;Guilford publications&lt;/publisher&gt;&lt;isbn&gt;146251779X&lt;/isbn&gt;&lt;urls&gt;&lt;/urls&gt;&lt;/record&gt;&lt;/Cite&gt;&lt;Cite&gt;&lt;Author&gt;Hu&lt;/Author&gt;&lt;Year&gt;1999&lt;/Year&gt;&lt;RecNum&gt;3302&lt;/RecNum&gt;&lt;record&gt;&lt;rec-number&gt;3302&lt;/rec-number&gt;&lt;foreign-keys&gt;&lt;key app="EN" db-id="50wxdpzd9vd5r7e9t5b595djrfpttrxw9avp" timestamp="1760386566"&gt;3302&lt;/key&gt;&lt;/foreign-keys&gt;&lt;ref-type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00912A0F" w:rsidRPr="00CE32A2">
        <w:rPr>
          <w:sz w:val="22"/>
          <w:szCs w:val="22"/>
        </w:rPr>
        <w:fldChar w:fldCharType="separate"/>
      </w:r>
      <w:r w:rsidR="00912A0F">
        <w:rPr>
          <w:noProof/>
          <w:sz w:val="22"/>
          <w:szCs w:val="22"/>
        </w:rPr>
        <w:t>[3, 17]</w:t>
      </w:r>
      <w:r w:rsidR="00912A0F" w:rsidRPr="00CE32A2">
        <w:rPr>
          <w:sz w:val="22"/>
          <w:szCs w:val="22"/>
        </w:rPr>
        <w:fldChar w:fldCharType="end"/>
      </w:r>
      <w:r w:rsidR="00912A0F" w:rsidRPr="00CE32A2">
        <w:rPr>
          <w:sz w:val="22"/>
          <w:szCs w:val="22"/>
        </w:rPr>
        <w:t xml:space="preserve">. </w:t>
      </w:r>
      <w:r w:rsidRPr="009614C1">
        <w:rPr>
          <w:sz w:val="22"/>
          <w:szCs w:val="22"/>
        </w:rPr>
        <w:t>Models were considered to demonstrate acceptable fit if CFI and TLI exceeded 0.90 and RMSEA was below 0.08, and good fit if CFI and TLI exceeded 0.95 and RMSEA was below 0.06, consistent with recommended guidelines</w:t>
      </w:r>
      <w:r w:rsidR="00C4526E">
        <w:rPr>
          <w:sz w:val="22"/>
          <w:szCs w:val="22"/>
        </w:rPr>
        <w:t xml:space="preserve">. </w:t>
      </w:r>
    </w:p>
    <w:p w14:paraId="4596907A" w14:textId="77777777" w:rsidR="009614C1" w:rsidRPr="009614C1" w:rsidRDefault="009614C1" w:rsidP="009614C1">
      <w:pPr>
        <w:spacing w:after="100" w:afterAutospacing="1" w:line="360" w:lineRule="auto"/>
        <w:rPr>
          <w:sz w:val="22"/>
          <w:szCs w:val="22"/>
        </w:rPr>
      </w:pPr>
      <w:r w:rsidRPr="009614C1">
        <w:rPr>
          <w:sz w:val="22"/>
          <w:szCs w:val="22"/>
        </w:rPr>
        <w:t>Measurement invariance analyses were conducted using a multiple-group CFA framework with Delta parameterization for categorical indicators. Four increasingly restrictive levels of invariance were evaluated:</w:t>
      </w:r>
    </w:p>
    <w:p w14:paraId="3C3169B1" w14:textId="77777777" w:rsidR="009614C1" w:rsidRPr="009614C1" w:rsidRDefault="009614C1" w:rsidP="009614C1">
      <w:pPr>
        <w:numPr>
          <w:ilvl w:val="0"/>
          <w:numId w:val="16"/>
        </w:numPr>
        <w:spacing w:after="100" w:afterAutospacing="1" w:line="360" w:lineRule="auto"/>
        <w:rPr>
          <w:sz w:val="22"/>
          <w:szCs w:val="22"/>
        </w:rPr>
      </w:pPr>
      <w:r w:rsidRPr="009614C1">
        <w:rPr>
          <w:sz w:val="22"/>
          <w:szCs w:val="22"/>
        </w:rPr>
        <w:t>Configural invariance, in which the same factor structure was specified across countries with thresholds and loadings freely estimated.</w:t>
      </w:r>
    </w:p>
    <w:p w14:paraId="4EB08F2E" w14:textId="77777777" w:rsidR="009614C1" w:rsidRPr="009614C1" w:rsidRDefault="009614C1" w:rsidP="009614C1">
      <w:pPr>
        <w:numPr>
          <w:ilvl w:val="0"/>
          <w:numId w:val="16"/>
        </w:numPr>
        <w:spacing w:after="100" w:afterAutospacing="1" w:line="360" w:lineRule="auto"/>
        <w:rPr>
          <w:sz w:val="22"/>
          <w:szCs w:val="22"/>
        </w:rPr>
      </w:pPr>
      <w:r w:rsidRPr="009614C1">
        <w:rPr>
          <w:sz w:val="22"/>
          <w:szCs w:val="22"/>
        </w:rPr>
        <w:t>Threshold invariance, in which item thresholds were constrained across groups.</w:t>
      </w:r>
    </w:p>
    <w:p w14:paraId="6671B66B" w14:textId="77777777" w:rsidR="009614C1" w:rsidRPr="009614C1" w:rsidRDefault="009614C1" w:rsidP="009614C1">
      <w:pPr>
        <w:numPr>
          <w:ilvl w:val="0"/>
          <w:numId w:val="16"/>
        </w:numPr>
        <w:spacing w:after="100" w:afterAutospacing="1" w:line="360" w:lineRule="auto"/>
        <w:rPr>
          <w:sz w:val="22"/>
          <w:szCs w:val="22"/>
        </w:rPr>
      </w:pPr>
      <w:r w:rsidRPr="009614C1">
        <w:rPr>
          <w:sz w:val="22"/>
          <w:szCs w:val="22"/>
        </w:rPr>
        <w:t>Threshold and loading invariance, testing whether items relate to the latent construct similarly across countries.</w:t>
      </w:r>
    </w:p>
    <w:p w14:paraId="3370177D" w14:textId="77777777" w:rsidR="009614C1" w:rsidRPr="009614C1" w:rsidRDefault="009614C1" w:rsidP="009614C1">
      <w:pPr>
        <w:numPr>
          <w:ilvl w:val="0"/>
          <w:numId w:val="16"/>
        </w:numPr>
        <w:spacing w:after="100" w:afterAutospacing="1" w:line="360" w:lineRule="auto"/>
        <w:rPr>
          <w:sz w:val="22"/>
          <w:szCs w:val="22"/>
        </w:rPr>
      </w:pPr>
      <w:r w:rsidRPr="009614C1">
        <w:rPr>
          <w:sz w:val="22"/>
          <w:szCs w:val="22"/>
        </w:rPr>
        <w:t>Threshold, loading, and intercept invariance, which additionally tests whether observed responses correspond to equivalent levels of the latent construct across groups and allows meaningful comparison of latent means.</w:t>
      </w:r>
    </w:p>
    <w:p w14:paraId="6E41F079" w14:textId="3FB08089" w:rsidR="009614C1" w:rsidRPr="009614C1" w:rsidRDefault="009614C1" w:rsidP="009614C1">
      <w:pPr>
        <w:spacing w:after="100" w:afterAutospacing="1" w:line="360" w:lineRule="auto"/>
        <w:rPr>
          <w:sz w:val="22"/>
          <w:szCs w:val="22"/>
        </w:rPr>
      </w:pPr>
      <w:r w:rsidRPr="009614C1">
        <w:rPr>
          <w:sz w:val="22"/>
          <w:szCs w:val="22"/>
        </w:rPr>
        <w:t>Because ARI items are binary or ternary, threshold invariance is statistically equivalent to the configural model </w:t>
      </w:r>
      <w:r w:rsidR="00912A0F" w:rsidRPr="00CE32A2">
        <w:rPr>
          <w:sz w:val="22"/>
          <w:szCs w:val="22"/>
        </w:rPr>
        <w:fldChar w:fldCharType="begin"/>
      </w:r>
      <w:r w:rsidR="00912A0F">
        <w:rPr>
          <w:sz w:val="22"/>
          <w:szCs w:val="22"/>
        </w:rPr>
        <w:instrText xml:space="preserve"> ADDIN EN.CITE &lt;EndNote&gt;&lt;Cite&gt;&lt;Author&gt;Wu&lt;/Author&gt;&lt;Year&gt;2016&lt;/Year&gt;&lt;RecNum&gt;3300&lt;/RecNum&gt;&lt;DisplayText&gt;[39]&lt;/DisplayText&gt;&lt;record&gt;&lt;rec-number&gt;3300&lt;/rec-number&gt;&lt;foreign-keys&gt;&lt;key app="EN" db-id="50wxdpzd9vd5r7e9t5b595djrfpttrxw9avp" timestamp="1760386459"&gt;3300&lt;/key&gt;&lt;/foreign-keys&gt;&lt;ref-type name="Journal Article"&gt;17&lt;/ref-type&gt;&lt;contributors&gt;&lt;authors&gt;&lt;author&gt;Wu, Hao&lt;/author&gt;&lt;author&gt;Estabrook, Ryne&lt;/author&gt;&lt;/authors&gt;&lt;/contributors&gt;&lt;titles&gt;&lt;title&gt;Identification of confirmatory factor analysis models of different levels of invariance for ordered categorical outcomes&lt;/title&gt;&lt;secondary-title&gt;Psychometrika&lt;/secondary-title&gt;&lt;/titles&gt;&lt;periodical&gt;&lt;full-title&gt;Psychometrika&lt;/full-title&gt;&lt;/periodical&gt;&lt;pages&gt;1014-1045&lt;/pages&gt;&lt;volume&gt;81&lt;/volume&gt;&lt;number&gt;4&lt;/number&gt;&lt;dates&gt;&lt;year&gt;2016&lt;/year&gt;&lt;/dates&gt;&lt;isbn&gt;0033-3123&lt;/isbn&gt;&lt;urls&gt;&lt;/urls&gt;&lt;/record&gt;&lt;/Cite&gt;&lt;/EndNote&gt;</w:instrText>
      </w:r>
      <w:r w:rsidR="00912A0F" w:rsidRPr="00CE32A2">
        <w:rPr>
          <w:sz w:val="22"/>
          <w:szCs w:val="22"/>
        </w:rPr>
        <w:fldChar w:fldCharType="separate"/>
      </w:r>
      <w:r w:rsidR="00912A0F">
        <w:rPr>
          <w:noProof/>
          <w:sz w:val="22"/>
          <w:szCs w:val="22"/>
        </w:rPr>
        <w:t>[39]</w:t>
      </w:r>
      <w:r w:rsidR="00912A0F" w:rsidRPr="00CE32A2">
        <w:rPr>
          <w:sz w:val="22"/>
          <w:szCs w:val="22"/>
        </w:rPr>
        <w:fldChar w:fldCharType="end"/>
      </w:r>
      <w:r w:rsidR="00912A0F">
        <w:rPr>
          <w:sz w:val="22"/>
          <w:szCs w:val="22"/>
        </w:rPr>
        <w:t xml:space="preserve">. </w:t>
      </w:r>
      <w:r w:rsidR="00912A0F" w:rsidRPr="00CE32A2">
        <w:rPr>
          <w:sz w:val="22"/>
          <w:szCs w:val="22"/>
        </w:rPr>
        <w:t xml:space="preserve"> </w:t>
      </w:r>
      <w:r w:rsidRPr="009614C1">
        <w:rPr>
          <w:sz w:val="22"/>
          <w:szCs w:val="22"/>
        </w:rPr>
        <w:t>Therefore, invariance testing focused on comparisons between the configural model and the threshold and loading invariance model, and between the threshold and loading invariance model and the threshold, loading, and intercept invariance model.</w:t>
      </w:r>
    </w:p>
    <w:p w14:paraId="72B33888" w14:textId="2932610D" w:rsidR="009614C1" w:rsidRPr="009614C1" w:rsidRDefault="009614C1" w:rsidP="009614C1">
      <w:pPr>
        <w:spacing w:after="100" w:afterAutospacing="1" w:line="360" w:lineRule="auto"/>
        <w:rPr>
          <w:sz w:val="22"/>
          <w:szCs w:val="22"/>
        </w:rPr>
      </w:pPr>
      <w:r w:rsidRPr="009614C1">
        <w:rPr>
          <w:sz w:val="22"/>
          <w:szCs w:val="22"/>
        </w:rPr>
        <w:t xml:space="preserve">Model comparisons relied primarily on changes in alternative fit indices due to the sensitivity of chi-square difference testing to sample size. Specifically, decreases in CFI of 0.010 or less, increases in RMSEA of 0.015 or less, and increases in standardized root mean square residual (SRMR) of 0.010 or less were considered evidence of invariance </w:t>
      </w:r>
      <w:r w:rsidR="000D07E2" w:rsidRPr="00CE32A2">
        <w:rPr>
          <w:sz w:val="22"/>
          <w:szCs w:val="22"/>
        </w:rPr>
        <w:fldChar w:fldCharType="begin"/>
      </w:r>
      <w:r w:rsidR="000D07E2">
        <w:rPr>
          <w:sz w:val="22"/>
          <w:szCs w:val="22"/>
        </w:rPr>
        <w:instrText xml:space="preserve"> ADDIN EN.CITE &lt;EndNote&gt;&lt;Cite&gt;&lt;Author&gt;Chen&lt;/Author&gt;&lt;Year&gt;2007&lt;/Year&gt;&lt;RecNum&gt;2654&lt;/RecNum&gt;&lt;DisplayText&gt;[5, 6]&lt;/DisplayText&gt;&lt;record&gt;&lt;rec-number&gt;2654&lt;/rec-number&gt;&lt;foreign-keys&gt;&lt;key app="EN" db-id="50wxdpzd9vd5r7e9t5b595djrfpttrxw9avp" timestamp="1705593819"&gt;2654&lt;/key&gt;&lt;/foreign-keys&gt;&lt;ref-type name="Journal Article"&gt;17&lt;/ref-type&gt;&lt;contributors&gt;&lt;authors&gt;&lt;author&gt;Chen, Fang Fang&lt;/author&gt;&lt;/authors&gt;&lt;/contributors&gt;&lt;titles&gt;&lt;title&gt;Sensitivity of goodness of fit indexes to lack of measurement invariance&lt;/title&gt;&lt;secondary-title&gt;Structural equation modeling: a multidisciplinary journal&lt;/secondary-title&gt;&lt;/titles&gt;&lt;periodical&gt;&lt;full-title&gt;Structural equation modeling: a multidisciplinary journal&lt;/full-title&gt;&lt;/periodical&gt;&lt;pages&gt;464-504&lt;/pages&gt;&lt;volume&gt;14&lt;/volume&gt;&lt;number&gt;3&lt;/number&gt;&lt;dates&gt;&lt;year&gt;2007&lt;/year&gt;&lt;/dates&gt;&lt;isbn&gt;1070-5511&lt;/isbn&gt;&lt;urls&gt;&lt;/urls&gt;&lt;/record&gt;&lt;/Cite&gt;&lt;Cite&gt;&lt;Author&gt;Cheung&lt;/Author&gt;&lt;Year&gt;2002&lt;/Year&gt;&lt;RecNum&gt;3433&lt;/RecNum&gt;&lt;record&gt;&lt;rec-number&gt;3433&lt;/rec-number&gt;&lt;foreign-keys&gt;&lt;key app="EN" db-id="50wxdpzd9vd5r7e9t5b595djrfpttrxw9avp" timestamp="1769201320"&gt;3433&lt;/key&gt;&lt;/foreign-keys&gt;&lt;ref-type name="Journal Article"&gt;17&lt;/ref-type&gt;&lt;contributors&gt;&lt;authors&gt;&lt;author&gt;Cheung, Gordon W&lt;/author&gt;&lt;author&gt;Rensvold, Roger B&lt;/author&gt;&lt;/authors&gt;&lt;/contributors&gt;&lt;titles&gt;&lt;title&gt;Evaluating goodness-of-fit indexes for testing measurement invariance&lt;/title&gt;&lt;secondary-title&gt;Structural equation modeling&lt;/secondary-title&gt;&lt;/titles&gt;&lt;periodical&gt;&lt;full-title&gt;Structural Equation Modeling&lt;/full-title&gt;&lt;/periodical&gt;&lt;pages&gt;233-255&lt;/pages&gt;&lt;volume&gt;9&lt;/volume&gt;&lt;number&gt;2&lt;/number&gt;&lt;dates&gt;&lt;year&gt;2002&lt;/year&gt;&lt;/dates&gt;&lt;isbn&gt;1070-5511&lt;/isbn&gt;&lt;urls&gt;&lt;/urls&gt;&lt;/record&gt;&lt;/Cite&gt;&lt;/EndNote&gt;</w:instrText>
      </w:r>
      <w:r w:rsidR="000D07E2" w:rsidRPr="00CE32A2">
        <w:rPr>
          <w:sz w:val="22"/>
          <w:szCs w:val="22"/>
        </w:rPr>
        <w:fldChar w:fldCharType="separate"/>
      </w:r>
      <w:r w:rsidR="000D07E2">
        <w:rPr>
          <w:noProof/>
          <w:sz w:val="22"/>
          <w:szCs w:val="22"/>
        </w:rPr>
        <w:t>[5, 6]</w:t>
      </w:r>
      <w:r w:rsidR="000D07E2" w:rsidRPr="00CE32A2">
        <w:rPr>
          <w:sz w:val="22"/>
          <w:szCs w:val="22"/>
        </w:rPr>
        <w:fldChar w:fldCharType="end"/>
      </w:r>
      <w:r w:rsidR="000D07E2" w:rsidRPr="00CE32A2">
        <w:rPr>
          <w:sz w:val="22"/>
          <w:szCs w:val="22"/>
        </w:rPr>
        <w:t xml:space="preserve">. </w:t>
      </w:r>
      <w:r w:rsidRPr="009614C1">
        <w:rPr>
          <w:sz w:val="22"/>
          <w:szCs w:val="22"/>
        </w:rPr>
        <w:t>Chi-square difference tests are reported for completeness.</w:t>
      </w:r>
    </w:p>
    <w:p w14:paraId="608CACDE" w14:textId="77777777" w:rsidR="009614C1" w:rsidRPr="009614C1" w:rsidRDefault="009614C1" w:rsidP="009614C1">
      <w:pPr>
        <w:spacing w:after="100" w:afterAutospacing="1" w:line="360" w:lineRule="auto"/>
        <w:rPr>
          <w:sz w:val="22"/>
          <w:szCs w:val="22"/>
        </w:rPr>
      </w:pPr>
      <w:r w:rsidRPr="009614C1">
        <w:rPr>
          <w:sz w:val="22"/>
          <w:szCs w:val="22"/>
        </w:rPr>
        <w:lastRenderedPageBreak/>
        <w:t>Modification indices were examined to identify potential sources of model misfit or non-invariance, with values of 10 or greater used as a threshold for follow-up inspection.</w:t>
      </w:r>
    </w:p>
    <w:p w14:paraId="228DBA55" w14:textId="77777777" w:rsidR="007C3105" w:rsidRDefault="007C3105" w:rsidP="003A673C">
      <w:pPr>
        <w:spacing w:after="100" w:afterAutospacing="1" w:line="360" w:lineRule="auto"/>
        <w:rPr>
          <w:sz w:val="22"/>
          <w:szCs w:val="22"/>
        </w:rPr>
      </w:pPr>
    </w:p>
    <w:p w14:paraId="4748A3EC" w14:textId="77777777" w:rsidR="007C3105" w:rsidRDefault="007C3105" w:rsidP="003A673C">
      <w:pPr>
        <w:spacing w:after="100" w:afterAutospacing="1" w:line="360" w:lineRule="auto"/>
        <w:rPr>
          <w:sz w:val="22"/>
          <w:szCs w:val="22"/>
        </w:rPr>
      </w:pPr>
    </w:p>
    <w:p w14:paraId="5BAB127E" w14:textId="77777777" w:rsidR="007C3105" w:rsidRDefault="007C3105" w:rsidP="003A673C">
      <w:pPr>
        <w:spacing w:after="100" w:afterAutospacing="1" w:line="360" w:lineRule="auto"/>
        <w:rPr>
          <w:sz w:val="22"/>
          <w:szCs w:val="22"/>
        </w:rPr>
      </w:pPr>
    </w:p>
    <w:p w14:paraId="60757948" w14:textId="77777777" w:rsidR="007C3105" w:rsidRDefault="007C3105" w:rsidP="003A673C">
      <w:pPr>
        <w:spacing w:after="100" w:afterAutospacing="1" w:line="360" w:lineRule="auto"/>
        <w:rPr>
          <w:sz w:val="22"/>
          <w:szCs w:val="22"/>
        </w:rPr>
      </w:pPr>
    </w:p>
    <w:p w14:paraId="3489096B" w14:textId="77777777" w:rsidR="007C3105" w:rsidRDefault="007C3105" w:rsidP="003A673C">
      <w:pPr>
        <w:spacing w:after="100" w:afterAutospacing="1" w:line="360" w:lineRule="auto"/>
        <w:rPr>
          <w:sz w:val="22"/>
          <w:szCs w:val="22"/>
        </w:rPr>
      </w:pPr>
    </w:p>
    <w:p w14:paraId="6049E478" w14:textId="77777777" w:rsidR="007C3105" w:rsidRDefault="007C3105" w:rsidP="003A673C">
      <w:pPr>
        <w:spacing w:after="100" w:afterAutospacing="1" w:line="360" w:lineRule="auto"/>
        <w:rPr>
          <w:sz w:val="22"/>
          <w:szCs w:val="22"/>
        </w:rPr>
      </w:pPr>
    </w:p>
    <w:p w14:paraId="4E7D1F85" w14:textId="77777777" w:rsidR="007C3105" w:rsidRDefault="007C3105" w:rsidP="003A673C">
      <w:pPr>
        <w:spacing w:after="100" w:afterAutospacing="1" w:line="360" w:lineRule="auto"/>
        <w:rPr>
          <w:sz w:val="22"/>
          <w:szCs w:val="22"/>
        </w:rPr>
      </w:pPr>
    </w:p>
    <w:p w14:paraId="73CBFAB6" w14:textId="77777777" w:rsidR="007C3105" w:rsidRDefault="007C3105" w:rsidP="003A673C">
      <w:pPr>
        <w:spacing w:after="100" w:afterAutospacing="1" w:line="360" w:lineRule="auto"/>
        <w:rPr>
          <w:sz w:val="22"/>
          <w:szCs w:val="22"/>
        </w:rPr>
      </w:pPr>
    </w:p>
    <w:p w14:paraId="793FD155" w14:textId="77777777" w:rsidR="007C3105" w:rsidRDefault="007C3105" w:rsidP="003A673C">
      <w:pPr>
        <w:spacing w:after="100" w:afterAutospacing="1" w:line="360" w:lineRule="auto"/>
        <w:rPr>
          <w:sz w:val="22"/>
          <w:szCs w:val="22"/>
        </w:rPr>
      </w:pPr>
    </w:p>
    <w:p w14:paraId="03C04650" w14:textId="77777777" w:rsidR="007C3105" w:rsidRDefault="007C3105" w:rsidP="003A673C">
      <w:pPr>
        <w:spacing w:after="100" w:afterAutospacing="1" w:line="360" w:lineRule="auto"/>
        <w:rPr>
          <w:sz w:val="22"/>
          <w:szCs w:val="22"/>
        </w:rPr>
      </w:pPr>
    </w:p>
    <w:p w14:paraId="3C5D0BA0" w14:textId="77777777" w:rsidR="007C3105" w:rsidRDefault="007C3105" w:rsidP="003A673C">
      <w:pPr>
        <w:spacing w:after="100" w:afterAutospacing="1" w:line="360" w:lineRule="auto"/>
        <w:rPr>
          <w:sz w:val="22"/>
          <w:szCs w:val="22"/>
        </w:rPr>
      </w:pPr>
    </w:p>
    <w:p w14:paraId="390BA22D" w14:textId="77777777" w:rsidR="007C3105" w:rsidRDefault="007C3105" w:rsidP="003A673C">
      <w:pPr>
        <w:spacing w:after="100" w:afterAutospacing="1" w:line="360" w:lineRule="auto"/>
        <w:rPr>
          <w:sz w:val="22"/>
          <w:szCs w:val="22"/>
        </w:rPr>
      </w:pPr>
    </w:p>
    <w:p w14:paraId="565349F4" w14:textId="77777777" w:rsidR="002B02DA" w:rsidRDefault="002B02DA" w:rsidP="003A673C">
      <w:pPr>
        <w:spacing w:after="100" w:afterAutospacing="1" w:line="360" w:lineRule="auto"/>
        <w:rPr>
          <w:sz w:val="22"/>
          <w:szCs w:val="22"/>
        </w:rPr>
      </w:pPr>
    </w:p>
    <w:p w14:paraId="0E960626" w14:textId="77777777" w:rsidR="002B02DA" w:rsidRDefault="002B02DA" w:rsidP="003A673C">
      <w:pPr>
        <w:spacing w:after="100" w:afterAutospacing="1" w:line="360" w:lineRule="auto"/>
        <w:rPr>
          <w:sz w:val="22"/>
          <w:szCs w:val="22"/>
        </w:rPr>
      </w:pPr>
    </w:p>
    <w:p w14:paraId="59F4BA3C" w14:textId="77777777" w:rsidR="002B02DA" w:rsidRDefault="002B02DA" w:rsidP="003A673C">
      <w:pPr>
        <w:spacing w:after="100" w:afterAutospacing="1" w:line="360" w:lineRule="auto"/>
        <w:rPr>
          <w:sz w:val="22"/>
          <w:szCs w:val="22"/>
        </w:rPr>
      </w:pPr>
    </w:p>
    <w:p w14:paraId="15C6CC69" w14:textId="77777777" w:rsidR="007C3105" w:rsidRDefault="007C3105" w:rsidP="003A673C">
      <w:pPr>
        <w:spacing w:after="100" w:afterAutospacing="1" w:line="360" w:lineRule="auto"/>
        <w:rPr>
          <w:sz w:val="22"/>
          <w:szCs w:val="22"/>
        </w:rPr>
      </w:pPr>
    </w:p>
    <w:p w14:paraId="3E8E2578" w14:textId="77777777" w:rsidR="007C3105" w:rsidRPr="00CE32A2" w:rsidRDefault="007C3105" w:rsidP="003A673C">
      <w:pPr>
        <w:spacing w:after="100" w:afterAutospacing="1" w:line="360" w:lineRule="auto"/>
        <w:rPr>
          <w:sz w:val="22"/>
          <w:szCs w:val="22"/>
        </w:rPr>
      </w:pPr>
    </w:p>
    <w:p w14:paraId="72473BE6" w14:textId="77777777" w:rsidR="00173D7A" w:rsidRDefault="00173D7A" w:rsidP="00656725">
      <w:pPr>
        <w:pStyle w:val="EndNoteBibliographyTitle"/>
        <w:jc w:val="left"/>
        <w:rPr>
          <w:rFonts w:ascii="Times New Roman" w:hAnsi="Times New Roman" w:cs="Times New Roman"/>
          <w:sz w:val="22"/>
          <w:szCs w:val="22"/>
        </w:rPr>
      </w:pPr>
    </w:p>
    <w:p w14:paraId="7C99644E" w14:textId="77777777" w:rsidR="00F1080C" w:rsidRDefault="00F1080C" w:rsidP="00656725">
      <w:pPr>
        <w:pStyle w:val="EndNoteBibliographyTitle"/>
        <w:jc w:val="left"/>
        <w:rPr>
          <w:rFonts w:ascii="Times New Roman" w:hAnsi="Times New Roman" w:cs="Times New Roman"/>
          <w:sz w:val="22"/>
          <w:szCs w:val="22"/>
        </w:rPr>
      </w:pPr>
    </w:p>
    <w:p w14:paraId="6E5DC3D7" w14:textId="77777777" w:rsidR="00F1080C" w:rsidRDefault="00F1080C" w:rsidP="00F1080C">
      <w:pPr>
        <w:pStyle w:val="EndNoteBibliographyTitle"/>
        <w:jc w:val="left"/>
        <w:rPr>
          <w:rFonts w:ascii="Times New Roman" w:hAnsi="Times New Roman" w:cs="Times New Roman"/>
          <w:b/>
          <w:sz w:val="22"/>
          <w:szCs w:val="22"/>
        </w:rPr>
      </w:pPr>
      <w:r w:rsidRPr="00EE7CC8">
        <w:rPr>
          <w:rFonts w:ascii="Times New Roman" w:hAnsi="Times New Roman" w:cs="Times New Roman"/>
          <w:b/>
          <w:sz w:val="22"/>
          <w:szCs w:val="22"/>
        </w:rPr>
        <w:lastRenderedPageBreak/>
        <w:t xml:space="preserve">Supplementary Results </w:t>
      </w:r>
    </w:p>
    <w:p w14:paraId="4E45FF3E" w14:textId="77777777" w:rsidR="00F1080C" w:rsidRPr="00EE7CC8" w:rsidRDefault="00F1080C" w:rsidP="00656725">
      <w:pPr>
        <w:pStyle w:val="EndNoteBibliographyTitle"/>
        <w:jc w:val="left"/>
        <w:rPr>
          <w:rFonts w:ascii="Times New Roman" w:hAnsi="Times New Roman" w:cs="Times New Roman"/>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6"/>
        <w:gridCol w:w="3949"/>
        <w:gridCol w:w="2905"/>
      </w:tblGrid>
      <w:tr w:rsidR="00517DFF" w:rsidRPr="00EE7CC8" w14:paraId="6DB4A6D6" w14:textId="77777777" w:rsidTr="00F652F3">
        <w:trPr>
          <w:tblHeader/>
          <w:tblCellSpacing w:w="15" w:type="dxa"/>
        </w:trPr>
        <w:tc>
          <w:tcPr>
            <w:tcW w:w="0" w:type="auto"/>
            <w:gridSpan w:val="3"/>
            <w:vAlign w:val="center"/>
          </w:tcPr>
          <w:p w14:paraId="6CC8C82F" w14:textId="3A6ED0C9" w:rsidR="00517DFF" w:rsidRPr="00EE7CC8" w:rsidRDefault="00F652F3" w:rsidP="00F652F3">
            <w:pPr>
              <w:rPr>
                <w:b/>
                <w:bCs/>
                <w:sz w:val="22"/>
                <w:szCs w:val="22"/>
              </w:rPr>
            </w:pPr>
            <w:r w:rsidRPr="00EE7CC8">
              <w:rPr>
                <w:b/>
                <w:bCs/>
                <w:color w:val="000000"/>
                <w:sz w:val="22"/>
                <w:szCs w:val="22"/>
              </w:rPr>
              <w:t xml:space="preserve">Supplementary Table </w:t>
            </w:r>
            <w:r w:rsidR="00517DFF" w:rsidRPr="00EE7CC8">
              <w:rPr>
                <w:b/>
                <w:bCs/>
                <w:color w:val="000000"/>
                <w:sz w:val="22"/>
                <w:szCs w:val="22"/>
              </w:rPr>
              <w:t>1. Summary of Deviations Between Preregistered and Implemented Analyses</w:t>
            </w:r>
          </w:p>
        </w:tc>
      </w:tr>
      <w:tr w:rsidR="00517DFF" w:rsidRPr="00EE7CC8" w14:paraId="4A9D4EB7" w14:textId="77777777" w:rsidTr="00F652F3">
        <w:trPr>
          <w:tblHeader/>
          <w:tblCellSpacing w:w="15" w:type="dxa"/>
        </w:trPr>
        <w:tc>
          <w:tcPr>
            <w:tcW w:w="0" w:type="auto"/>
            <w:vAlign w:val="center"/>
            <w:hideMark/>
          </w:tcPr>
          <w:p w14:paraId="3686090C" w14:textId="77777777" w:rsidR="00517DFF" w:rsidRPr="00EE7CC8" w:rsidRDefault="00517DFF" w:rsidP="00517DFF">
            <w:pPr>
              <w:jc w:val="center"/>
              <w:rPr>
                <w:b/>
                <w:bCs/>
                <w:sz w:val="22"/>
                <w:szCs w:val="22"/>
              </w:rPr>
            </w:pPr>
            <w:r w:rsidRPr="00EE7CC8">
              <w:rPr>
                <w:b/>
                <w:bCs/>
                <w:sz w:val="22"/>
                <w:szCs w:val="22"/>
              </w:rPr>
              <w:t>Preregistered Plan</w:t>
            </w:r>
          </w:p>
        </w:tc>
        <w:tc>
          <w:tcPr>
            <w:tcW w:w="0" w:type="auto"/>
            <w:vAlign w:val="center"/>
            <w:hideMark/>
          </w:tcPr>
          <w:p w14:paraId="4F15CFED" w14:textId="77777777" w:rsidR="00517DFF" w:rsidRPr="00EE7CC8" w:rsidRDefault="00517DFF" w:rsidP="00517DFF">
            <w:pPr>
              <w:jc w:val="center"/>
              <w:rPr>
                <w:b/>
                <w:bCs/>
                <w:sz w:val="22"/>
                <w:szCs w:val="22"/>
              </w:rPr>
            </w:pPr>
            <w:r w:rsidRPr="00EE7CC8">
              <w:rPr>
                <w:b/>
                <w:bCs/>
                <w:sz w:val="22"/>
                <w:szCs w:val="22"/>
              </w:rPr>
              <w:t>Implemented Analysis</w:t>
            </w:r>
          </w:p>
        </w:tc>
        <w:tc>
          <w:tcPr>
            <w:tcW w:w="0" w:type="auto"/>
            <w:vAlign w:val="center"/>
            <w:hideMark/>
          </w:tcPr>
          <w:p w14:paraId="12D68447" w14:textId="77777777" w:rsidR="00517DFF" w:rsidRPr="00EE7CC8" w:rsidRDefault="00517DFF" w:rsidP="00517DFF">
            <w:pPr>
              <w:jc w:val="center"/>
              <w:rPr>
                <w:b/>
                <w:bCs/>
                <w:sz w:val="22"/>
                <w:szCs w:val="22"/>
              </w:rPr>
            </w:pPr>
            <w:r w:rsidRPr="00EE7CC8">
              <w:rPr>
                <w:b/>
                <w:bCs/>
                <w:sz w:val="22"/>
                <w:szCs w:val="22"/>
              </w:rPr>
              <w:t>Rationale / Notes</w:t>
            </w:r>
          </w:p>
        </w:tc>
      </w:tr>
      <w:tr w:rsidR="00517DFF" w:rsidRPr="00EE7CC8" w14:paraId="080E3802" w14:textId="77777777" w:rsidTr="00F652F3">
        <w:trPr>
          <w:tblCellSpacing w:w="15" w:type="dxa"/>
        </w:trPr>
        <w:tc>
          <w:tcPr>
            <w:tcW w:w="0" w:type="auto"/>
            <w:vAlign w:val="center"/>
            <w:hideMark/>
          </w:tcPr>
          <w:p w14:paraId="0FE1A1CB" w14:textId="7D1552C3" w:rsidR="00517DFF" w:rsidRPr="00EE7CC8" w:rsidRDefault="00517DFF" w:rsidP="00517DFF">
            <w:pPr>
              <w:rPr>
                <w:sz w:val="22"/>
                <w:szCs w:val="22"/>
              </w:rPr>
            </w:pPr>
            <w:r w:rsidRPr="00EE7CC8">
              <w:rPr>
                <w:b/>
                <w:bCs/>
                <w:sz w:val="22"/>
                <w:szCs w:val="22"/>
              </w:rPr>
              <w:t>Included samples</w:t>
            </w:r>
            <w:r w:rsidRPr="00EE7CC8">
              <w:rPr>
                <w:sz w:val="22"/>
                <w:szCs w:val="22"/>
              </w:rPr>
              <w:t xml:space="preserve">: Parent and youth data from </w:t>
            </w:r>
            <w:r w:rsidR="00374222" w:rsidRPr="00EE7CC8">
              <w:rPr>
                <w:sz w:val="22"/>
                <w:szCs w:val="22"/>
              </w:rPr>
              <w:t>US</w:t>
            </w:r>
            <w:r w:rsidRPr="00EE7CC8">
              <w:rPr>
                <w:sz w:val="22"/>
                <w:szCs w:val="22"/>
              </w:rPr>
              <w:t>, Brazil, Spain, China, Japan (N≈8,331).</w:t>
            </w:r>
          </w:p>
        </w:tc>
        <w:tc>
          <w:tcPr>
            <w:tcW w:w="0" w:type="auto"/>
            <w:vAlign w:val="center"/>
            <w:hideMark/>
          </w:tcPr>
          <w:p w14:paraId="5E089E05" w14:textId="611F57C7" w:rsidR="00517DFF" w:rsidRPr="00EE7CC8" w:rsidRDefault="00517DFF" w:rsidP="00517DFF">
            <w:pPr>
              <w:rPr>
                <w:sz w:val="22"/>
                <w:szCs w:val="22"/>
              </w:rPr>
            </w:pPr>
            <w:r w:rsidRPr="00EE7CC8">
              <w:rPr>
                <w:sz w:val="22"/>
                <w:szCs w:val="22"/>
              </w:rPr>
              <w:t xml:space="preserve">Parent: China, Japan, </w:t>
            </w:r>
            <w:r w:rsidR="00374222" w:rsidRPr="00EE7CC8">
              <w:rPr>
                <w:sz w:val="22"/>
                <w:szCs w:val="22"/>
              </w:rPr>
              <w:t>US</w:t>
            </w:r>
            <w:r w:rsidRPr="00EE7CC8">
              <w:rPr>
                <w:sz w:val="22"/>
                <w:szCs w:val="22"/>
              </w:rPr>
              <w:t xml:space="preserve">; Youth: Brazil, China, Spain, </w:t>
            </w:r>
            <w:r w:rsidR="00374222" w:rsidRPr="00EE7CC8">
              <w:rPr>
                <w:sz w:val="22"/>
                <w:szCs w:val="22"/>
              </w:rPr>
              <w:t>US</w:t>
            </w:r>
            <w:r w:rsidRPr="00EE7CC8">
              <w:rPr>
                <w:sz w:val="22"/>
                <w:szCs w:val="22"/>
              </w:rPr>
              <w:t xml:space="preserve"> (N=6,195).</w:t>
            </w:r>
          </w:p>
        </w:tc>
        <w:tc>
          <w:tcPr>
            <w:tcW w:w="0" w:type="auto"/>
            <w:vAlign w:val="center"/>
            <w:hideMark/>
          </w:tcPr>
          <w:p w14:paraId="0BA30547" w14:textId="0A774629" w:rsidR="00517DFF" w:rsidRPr="00EE7CC8" w:rsidRDefault="00517DFF" w:rsidP="00517DFF">
            <w:pPr>
              <w:rPr>
                <w:sz w:val="22"/>
                <w:szCs w:val="22"/>
              </w:rPr>
            </w:pPr>
            <w:r w:rsidRPr="00EE7CC8">
              <w:rPr>
                <w:sz w:val="22"/>
                <w:szCs w:val="22"/>
              </w:rPr>
              <w:t xml:space="preserve">Japanese youth ARI unavailable; Brazilian data limited to Aracaju sample (n=133); </w:t>
            </w:r>
            <w:r w:rsidR="00374222" w:rsidRPr="00EE7CC8">
              <w:rPr>
                <w:sz w:val="22"/>
                <w:szCs w:val="22"/>
              </w:rPr>
              <w:t>US</w:t>
            </w:r>
            <w:r w:rsidRPr="00EE7CC8">
              <w:rPr>
                <w:sz w:val="22"/>
                <w:szCs w:val="22"/>
              </w:rPr>
              <w:t xml:space="preserve"> limited to age-12 wave.</w:t>
            </w:r>
          </w:p>
        </w:tc>
      </w:tr>
      <w:tr w:rsidR="00517DFF" w:rsidRPr="00EE7CC8" w14:paraId="79279D84" w14:textId="77777777" w:rsidTr="00F652F3">
        <w:trPr>
          <w:tblCellSpacing w:w="15" w:type="dxa"/>
        </w:trPr>
        <w:tc>
          <w:tcPr>
            <w:tcW w:w="0" w:type="auto"/>
            <w:vAlign w:val="center"/>
            <w:hideMark/>
          </w:tcPr>
          <w:p w14:paraId="24875595" w14:textId="77777777" w:rsidR="00517DFF" w:rsidRPr="00EE7CC8" w:rsidRDefault="00517DFF" w:rsidP="00517DFF">
            <w:pPr>
              <w:rPr>
                <w:sz w:val="22"/>
                <w:szCs w:val="22"/>
              </w:rPr>
            </w:pPr>
            <w:r w:rsidRPr="00EE7CC8">
              <w:rPr>
                <w:b/>
                <w:bCs/>
                <w:sz w:val="22"/>
                <w:szCs w:val="22"/>
              </w:rPr>
              <w:t>Training/test split</w:t>
            </w:r>
            <w:r w:rsidRPr="00EE7CC8">
              <w:rPr>
                <w:sz w:val="22"/>
                <w:szCs w:val="22"/>
              </w:rPr>
              <w:t>: 200 participants per country in training set; remaining in test set.</w:t>
            </w:r>
          </w:p>
        </w:tc>
        <w:tc>
          <w:tcPr>
            <w:tcW w:w="0" w:type="auto"/>
            <w:vAlign w:val="center"/>
            <w:hideMark/>
          </w:tcPr>
          <w:p w14:paraId="76EAF916" w14:textId="77777777" w:rsidR="00517DFF" w:rsidRPr="00EE7CC8" w:rsidRDefault="00517DFF" w:rsidP="00517DFF">
            <w:pPr>
              <w:rPr>
                <w:sz w:val="22"/>
                <w:szCs w:val="22"/>
              </w:rPr>
            </w:pPr>
            <w:r w:rsidRPr="00EE7CC8">
              <w:rPr>
                <w:sz w:val="22"/>
                <w:szCs w:val="22"/>
              </w:rPr>
              <w:t>No split; analyses conducted on full available sample.</w:t>
            </w:r>
          </w:p>
        </w:tc>
        <w:tc>
          <w:tcPr>
            <w:tcW w:w="0" w:type="auto"/>
            <w:vAlign w:val="center"/>
            <w:hideMark/>
          </w:tcPr>
          <w:p w14:paraId="2F62B788" w14:textId="77777777" w:rsidR="00517DFF" w:rsidRPr="00EE7CC8" w:rsidRDefault="00517DFF" w:rsidP="00517DFF">
            <w:pPr>
              <w:rPr>
                <w:sz w:val="22"/>
                <w:szCs w:val="22"/>
              </w:rPr>
            </w:pPr>
            <w:r w:rsidRPr="00EE7CC8">
              <w:rPr>
                <w:sz w:val="22"/>
                <w:szCs w:val="22"/>
              </w:rPr>
              <w:t>Brazil and other countries had n &lt; 200; full sample improves model stability and comparability.</w:t>
            </w:r>
          </w:p>
        </w:tc>
      </w:tr>
      <w:tr w:rsidR="00517DFF" w:rsidRPr="00EE7CC8" w14:paraId="4820B13C" w14:textId="77777777" w:rsidTr="00F652F3">
        <w:trPr>
          <w:tblCellSpacing w:w="15" w:type="dxa"/>
        </w:trPr>
        <w:tc>
          <w:tcPr>
            <w:tcW w:w="0" w:type="auto"/>
            <w:vAlign w:val="center"/>
            <w:hideMark/>
          </w:tcPr>
          <w:p w14:paraId="7FD2CB3C" w14:textId="77777777" w:rsidR="00517DFF" w:rsidRPr="00EE7CC8" w:rsidRDefault="00517DFF" w:rsidP="00517DFF">
            <w:pPr>
              <w:rPr>
                <w:sz w:val="22"/>
                <w:szCs w:val="22"/>
              </w:rPr>
            </w:pPr>
            <w:r w:rsidRPr="00EE7CC8">
              <w:rPr>
                <w:b/>
                <w:bCs/>
                <w:sz w:val="22"/>
                <w:szCs w:val="22"/>
              </w:rPr>
              <w:t>Measurement invariance levels</w:t>
            </w:r>
            <w:r w:rsidRPr="00EE7CC8">
              <w:rPr>
                <w:sz w:val="22"/>
                <w:szCs w:val="22"/>
              </w:rPr>
              <w:t>: Configural, metric, scalar (continuous assumption).</w:t>
            </w:r>
          </w:p>
        </w:tc>
        <w:tc>
          <w:tcPr>
            <w:tcW w:w="0" w:type="auto"/>
            <w:vAlign w:val="center"/>
            <w:hideMark/>
          </w:tcPr>
          <w:p w14:paraId="54CBA76B" w14:textId="77777777" w:rsidR="00517DFF" w:rsidRPr="00EE7CC8" w:rsidRDefault="00517DFF" w:rsidP="00517DFF">
            <w:pPr>
              <w:rPr>
                <w:sz w:val="22"/>
                <w:szCs w:val="22"/>
              </w:rPr>
            </w:pPr>
            <w:r w:rsidRPr="00EE7CC8">
              <w:rPr>
                <w:sz w:val="22"/>
                <w:szCs w:val="22"/>
              </w:rPr>
              <w:t>Configural, threshold, threshold+loading, threshold+loading+intercept (categorical framework, Delta parameterization).</w:t>
            </w:r>
          </w:p>
        </w:tc>
        <w:tc>
          <w:tcPr>
            <w:tcW w:w="0" w:type="auto"/>
            <w:vAlign w:val="center"/>
            <w:hideMark/>
          </w:tcPr>
          <w:p w14:paraId="23E29FFF" w14:textId="77777777" w:rsidR="00517DFF" w:rsidRPr="00EE7CC8" w:rsidRDefault="00517DFF" w:rsidP="00517DFF">
            <w:pPr>
              <w:rPr>
                <w:sz w:val="22"/>
                <w:szCs w:val="22"/>
              </w:rPr>
            </w:pPr>
            <w:r w:rsidRPr="00EE7CC8">
              <w:rPr>
                <w:sz w:val="22"/>
                <w:szCs w:val="22"/>
              </w:rPr>
              <w:t>Adjusted to categorical specification of ARI items (Wu &amp; Estabrook 2016).</w:t>
            </w:r>
          </w:p>
        </w:tc>
      </w:tr>
      <w:tr w:rsidR="00517DFF" w:rsidRPr="00EE7CC8" w14:paraId="7F5693AB" w14:textId="77777777" w:rsidTr="00F652F3">
        <w:trPr>
          <w:tblCellSpacing w:w="15" w:type="dxa"/>
        </w:trPr>
        <w:tc>
          <w:tcPr>
            <w:tcW w:w="0" w:type="auto"/>
            <w:vAlign w:val="center"/>
            <w:hideMark/>
          </w:tcPr>
          <w:p w14:paraId="293C1C19" w14:textId="77777777" w:rsidR="00517DFF" w:rsidRPr="00EE7CC8" w:rsidRDefault="00517DFF" w:rsidP="00517DFF">
            <w:pPr>
              <w:rPr>
                <w:sz w:val="22"/>
                <w:szCs w:val="22"/>
              </w:rPr>
            </w:pPr>
            <w:r w:rsidRPr="00EE7CC8">
              <w:rPr>
                <w:b/>
                <w:bCs/>
                <w:sz w:val="22"/>
                <w:szCs w:val="22"/>
              </w:rPr>
              <w:t>Model sequence</w:t>
            </w:r>
            <w:r w:rsidRPr="00EE7CC8">
              <w:rPr>
                <w:sz w:val="22"/>
                <w:szCs w:val="22"/>
              </w:rPr>
              <w:t>: Invariance only.</w:t>
            </w:r>
          </w:p>
        </w:tc>
        <w:tc>
          <w:tcPr>
            <w:tcW w:w="0" w:type="auto"/>
            <w:vAlign w:val="center"/>
            <w:hideMark/>
          </w:tcPr>
          <w:p w14:paraId="020EA1A2" w14:textId="77777777" w:rsidR="00517DFF" w:rsidRPr="00EE7CC8" w:rsidRDefault="00517DFF" w:rsidP="00517DFF">
            <w:pPr>
              <w:rPr>
                <w:sz w:val="22"/>
                <w:szCs w:val="22"/>
              </w:rPr>
            </w:pPr>
            <w:r w:rsidRPr="00EE7CC8">
              <w:rPr>
                <w:sz w:val="22"/>
                <w:szCs w:val="22"/>
              </w:rPr>
              <w:t>Step 1: Single-factor CFA per country/informant. Step 2: Multi-group CFA (MI).</w:t>
            </w:r>
          </w:p>
        </w:tc>
        <w:tc>
          <w:tcPr>
            <w:tcW w:w="0" w:type="auto"/>
            <w:vAlign w:val="center"/>
            <w:hideMark/>
          </w:tcPr>
          <w:p w14:paraId="065B8053" w14:textId="77777777" w:rsidR="00517DFF" w:rsidRPr="00EE7CC8" w:rsidRDefault="00517DFF" w:rsidP="00517DFF">
            <w:pPr>
              <w:rPr>
                <w:sz w:val="22"/>
                <w:szCs w:val="22"/>
              </w:rPr>
            </w:pPr>
            <w:r w:rsidRPr="00EE7CC8">
              <w:rPr>
                <w:sz w:val="22"/>
                <w:szCs w:val="22"/>
              </w:rPr>
              <w:t>Added initial CFAs to evaluate factor structure and reliability prior to MI testing.</w:t>
            </w:r>
          </w:p>
        </w:tc>
      </w:tr>
      <w:tr w:rsidR="00517DFF" w:rsidRPr="00EE7CC8" w14:paraId="4254AFED" w14:textId="77777777" w:rsidTr="00F652F3">
        <w:trPr>
          <w:tblCellSpacing w:w="15" w:type="dxa"/>
        </w:trPr>
        <w:tc>
          <w:tcPr>
            <w:tcW w:w="0" w:type="auto"/>
            <w:vAlign w:val="center"/>
            <w:hideMark/>
          </w:tcPr>
          <w:p w14:paraId="376BFBB5" w14:textId="77777777" w:rsidR="00517DFF" w:rsidRPr="00EE7CC8" w:rsidRDefault="00517DFF" w:rsidP="00517DFF">
            <w:pPr>
              <w:rPr>
                <w:sz w:val="22"/>
                <w:szCs w:val="22"/>
              </w:rPr>
            </w:pPr>
            <w:r w:rsidRPr="00EE7CC8">
              <w:rPr>
                <w:b/>
                <w:bCs/>
                <w:sz w:val="22"/>
                <w:szCs w:val="22"/>
              </w:rPr>
              <w:t>Item scaling</w:t>
            </w:r>
            <w:r w:rsidRPr="00EE7CC8">
              <w:rPr>
                <w:sz w:val="22"/>
                <w:szCs w:val="22"/>
              </w:rPr>
              <w:t>: 3-level ordinal items (0–2).</w:t>
            </w:r>
          </w:p>
        </w:tc>
        <w:tc>
          <w:tcPr>
            <w:tcW w:w="0" w:type="auto"/>
            <w:vAlign w:val="center"/>
            <w:hideMark/>
          </w:tcPr>
          <w:p w14:paraId="44A412DD" w14:textId="1CCB56B5" w:rsidR="00517DFF" w:rsidRPr="00EE7CC8" w:rsidRDefault="00517DFF" w:rsidP="00517DFF">
            <w:pPr>
              <w:rPr>
                <w:sz w:val="22"/>
                <w:szCs w:val="22"/>
              </w:rPr>
            </w:pPr>
            <w:r w:rsidRPr="00EE7CC8">
              <w:rPr>
                <w:sz w:val="22"/>
                <w:szCs w:val="22"/>
              </w:rPr>
              <w:t xml:space="preserve">Parent: 3-level (China, Japan); 2-level (China, Japan, </w:t>
            </w:r>
            <w:r w:rsidR="00374222" w:rsidRPr="00EE7CC8">
              <w:rPr>
                <w:sz w:val="22"/>
                <w:szCs w:val="22"/>
              </w:rPr>
              <w:t>US</w:t>
            </w:r>
            <w:r w:rsidRPr="00EE7CC8">
              <w:rPr>
                <w:sz w:val="22"/>
                <w:szCs w:val="22"/>
              </w:rPr>
              <w:t>) due to sparse cells. Youth: both 3- and 2-level for comparability.</w:t>
            </w:r>
          </w:p>
        </w:tc>
        <w:tc>
          <w:tcPr>
            <w:tcW w:w="0" w:type="auto"/>
            <w:vAlign w:val="center"/>
            <w:hideMark/>
          </w:tcPr>
          <w:p w14:paraId="65748665" w14:textId="3FCA1FFE" w:rsidR="00517DFF" w:rsidRPr="00EE7CC8" w:rsidRDefault="00374222" w:rsidP="00517DFF">
            <w:pPr>
              <w:rPr>
                <w:sz w:val="22"/>
                <w:szCs w:val="22"/>
              </w:rPr>
            </w:pPr>
            <w:r w:rsidRPr="00EE7CC8">
              <w:rPr>
                <w:sz w:val="22"/>
                <w:szCs w:val="22"/>
              </w:rPr>
              <w:t>US</w:t>
            </w:r>
            <w:r w:rsidR="00517DFF" w:rsidRPr="00EE7CC8">
              <w:rPr>
                <w:sz w:val="22"/>
                <w:szCs w:val="22"/>
              </w:rPr>
              <w:t xml:space="preserve"> parents never endorsed “2”; dichotomization necessary for model convergence.</w:t>
            </w:r>
          </w:p>
        </w:tc>
      </w:tr>
      <w:tr w:rsidR="00517DFF" w:rsidRPr="00EE7CC8" w14:paraId="0A4CD24D" w14:textId="77777777" w:rsidTr="00F652F3">
        <w:trPr>
          <w:tblCellSpacing w:w="15" w:type="dxa"/>
        </w:trPr>
        <w:tc>
          <w:tcPr>
            <w:tcW w:w="0" w:type="auto"/>
            <w:vAlign w:val="center"/>
            <w:hideMark/>
          </w:tcPr>
          <w:p w14:paraId="45EDEBC4" w14:textId="77777777" w:rsidR="00517DFF" w:rsidRPr="00EE7CC8" w:rsidRDefault="00517DFF" w:rsidP="00517DFF">
            <w:pPr>
              <w:rPr>
                <w:sz w:val="22"/>
                <w:szCs w:val="22"/>
              </w:rPr>
            </w:pPr>
            <w:r w:rsidRPr="00EE7CC8">
              <w:rPr>
                <w:b/>
                <w:bCs/>
                <w:sz w:val="22"/>
                <w:szCs w:val="22"/>
              </w:rPr>
              <w:t>Model constraints</w:t>
            </w:r>
            <w:r w:rsidRPr="00EE7CC8">
              <w:rPr>
                <w:sz w:val="22"/>
                <w:szCs w:val="22"/>
              </w:rPr>
              <w:t>: No post-hoc adjustments.</w:t>
            </w:r>
          </w:p>
        </w:tc>
        <w:tc>
          <w:tcPr>
            <w:tcW w:w="0" w:type="auto"/>
            <w:vAlign w:val="center"/>
            <w:hideMark/>
          </w:tcPr>
          <w:p w14:paraId="537AA1C8" w14:textId="77777777" w:rsidR="00517DFF" w:rsidRPr="00EE7CC8" w:rsidRDefault="00517DFF" w:rsidP="00517DFF">
            <w:pPr>
              <w:rPr>
                <w:sz w:val="22"/>
                <w:szCs w:val="22"/>
              </w:rPr>
            </w:pPr>
            <w:r w:rsidRPr="00EE7CC8">
              <w:rPr>
                <w:sz w:val="22"/>
                <w:szCs w:val="22"/>
              </w:rPr>
              <w:t>In Spanish youth CFA, correlated residual added between items 2 (“Often loses temper”) and 6 (“Loses temper easily”).</w:t>
            </w:r>
          </w:p>
        </w:tc>
        <w:tc>
          <w:tcPr>
            <w:tcW w:w="0" w:type="auto"/>
            <w:vAlign w:val="center"/>
            <w:hideMark/>
          </w:tcPr>
          <w:p w14:paraId="229D5EDC" w14:textId="77777777" w:rsidR="00517DFF" w:rsidRPr="00EE7CC8" w:rsidRDefault="00517DFF" w:rsidP="00517DFF">
            <w:pPr>
              <w:rPr>
                <w:sz w:val="22"/>
                <w:szCs w:val="22"/>
              </w:rPr>
            </w:pPr>
            <w:r w:rsidRPr="00EE7CC8">
              <w:rPr>
                <w:sz w:val="22"/>
                <w:szCs w:val="22"/>
              </w:rPr>
              <w:t>Large modification index; items share semantic overlap; improved model fit.</w:t>
            </w:r>
          </w:p>
        </w:tc>
      </w:tr>
      <w:tr w:rsidR="00517DFF" w:rsidRPr="00EE7CC8" w14:paraId="30956567" w14:textId="77777777" w:rsidTr="00F652F3">
        <w:trPr>
          <w:tblCellSpacing w:w="15" w:type="dxa"/>
        </w:trPr>
        <w:tc>
          <w:tcPr>
            <w:tcW w:w="0" w:type="auto"/>
            <w:vAlign w:val="center"/>
            <w:hideMark/>
          </w:tcPr>
          <w:p w14:paraId="402C862D" w14:textId="77777777" w:rsidR="00517DFF" w:rsidRPr="00EE7CC8" w:rsidRDefault="00517DFF" w:rsidP="00517DFF">
            <w:pPr>
              <w:rPr>
                <w:sz w:val="22"/>
                <w:szCs w:val="22"/>
              </w:rPr>
            </w:pPr>
            <w:r w:rsidRPr="00EE7CC8">
              <w:rPr>
                <w:b/>
                <w:bCs/>
                <w:sz w:val="22"/>
                <w:szCs w:val="22"/>
              </w:rPr>
              <w:t>Reliability criterion</w:t>
            </w:r>
            <w:r w:rsidRPr="00EE7CC8">
              <w:rPr>
                <w:sz w:val="22"/>
                <w:szCs w:val="22"/>
              </w:rPr>
              <w:t>: McDonald’s ω &gt; 0.70.</w:t>
            </w:r>
          </w:p>
        </w:tc>
        <w:tc>
          <w:tcPr>
            <w:tcW w:w="0" w:type="auto"/>
            <w:vAlign w:val="center"/>
            <w:hideMark/>
          </w:tcPr>
          <w:p w14:paraId="07243AA7" w14:textId="77777777" w:rsidR="00517DFF" w:rsidRPr="00EE7CC8" w:rsidRDefault="00517DFF" w:rsidP="00517DFF">
            <w:pPr>
              <w:rPr>
                <w:sz w:val="22"/>
                <w:szCs w:val="22"/>
              </w:rPr>
            </w:pPr>
            <w:r w:rsidRPr="00EE7CC8">
              <w:rPr>
                <w:sz w:val="22"/>
                <w:szCs w:val="22"/>
              </w:rPr>
              <w:t>McDonald’s ω computed per informant/country; all ≥ .80 except Spain-youth (ω = .73).</w:t>
            </w:r>
          </w:p>
        </w:tc>
        <w:tc>
          <w:tcPr>
            <w:tcW w:w="0" w:type="auto"/>
            <w:vAlign w:val="center"/>
            <w:hideMark/>
          </w:tcPr>
          <w:p w14:paraId="13EAC507" w14:textId="77777777" w:rsidR="00517DFF" w:rsidRPr="00EE7CC8" w:rsidRDefault="00517DFF" w:rsidP="00517DFF">
            <w:pPr>
              <w:rPr>
                <w:sz w:val="22"/>
                <w:szCs w:val="22"/>
              </w:rPr>
            </w:pPr>
            <w:r w:rsidRPr="00EE7CC8">
              <w:rPr>
                <w:sz w:val="22"/>
                <w:szCs w:val="22"/>
              </w:rPr>
              <w:t>Matches preregistration; minor deviation due to lower reliability in one subsample.</w:t>
            </w:r>
          </w:p>
        </w:tc>
      </w:tr>
      <w:tr w:rsidR="00517DFF" w:rsidRPr="00EE7CC8" w14:paraId="03DC2B19" w14:textId="77777777" w:rsidTr="00F652F3">
        <w:trPr>
          <w:tblCellSpacing w:w="15" w:type="dxa"/>
        </w:trPr>
        <w:tc>
          <w:tcPr>
            <w:tcW w:w="0" w:type="auto"/>
            <w:vAlign w:val="center"/>
            <w:hideMark/>
          </w:tcPr>
          <w:p w14:paraId="6E5FDB4F" w14:textId="77777777" w:rsidR="00517DFF" w:rsidRPr="00EE7CC8" w:rsidRDefault="00517DFF" w:rsidP="00517DFF">
            <w:pPr>
              <w:rPr>
                <w:sz w:val="22"/>
                <w:szCs w:val="22"/>
              </w:rPr>
            </w:pPr>
            <w:r w:rsidRPr="00EE7CC8">
              <w:rPr>
                <w:b/>
                <w:bCs/>
                <w:sz w:val="22"/>
                <w:szCs w:val="22"/>
              </w:rPr>
              <w:t>Mean comparison model</w:t>
            </w:r>
            <w:r w:rsidRPr="00EE7CC8">
              <w:rPr>
                <w:sz w:val="22"/>
                <w:szCs w:val="22"/>
              </w:rPr>
              <w:t>: Linear mixed-effects with informant, age, sex.</w:t>
            </w:r>
          </w:p>
        </w:tc>
        <w:tc>
          <w:tcPr>
            <w:tcW w:w="0" w:type="auto"/>
            <w:vAlign w:val="center"/>
            <w:hideMark/>
          </w:tcPr>
          <w:p w14:paraId="6E6D5D0F" w14:textId="77777777" w:rsidR="00517DFF" w:rsidRPr="00EE7CC8" w:rsidRDefault="00517DFF" w:rsidP="00517DFF">
            <w:pPr>
              <w:rPr>
                <w:sz w:val="22"/>
                <w:szCs w:val="22"/>
              </w:rPr>
            </w:pPr>
            <w:r w:rsidRPr="00EE7CC8">
              <w:rPr>
                <w:sz w:val="22"/>
                <w:szCs w:val="22"/>
              </w:rPr>
              <w:t>Separate linear regressions by informant (parent vs. youth).</w:t>
            </w:r>
          </w:p>
        </w:tc>
        <w:tc>
          <w:tcPr>
            <w:tcW w:w="0" w:type="auto"/>
            <w:vAlign w:val="center"/>
            <w:hideMark/>
          </w:tcPr>
          <w:p w14:paraId="7497EFEC" w14:textId="77777777" w:rsidR="00517DFF" w:rsidRPr="00EE7CC8" w:rsidRDefault="00517DFF" w:rsidP="00517DFF">
            <w:pPr>
              <w:rPr>
                <w:sz w:val="22"/>
                <w:szCs w:val="22"/>
              </w:rPr>
            </w:pPr>
            <w:r w:rsidRPr="00EE7CC8">
              <w:rPr>
                <w:sz w:val="22"/>
                <w:szCs w:val="22"/>
              </w:rPr>
              <w:t>Informant sets differed across countries; separate models provided clearer estimation.</w:t>
            </w:r>
          </w:p>
        </w:tc>
      </w:tr>
      <w:tr w:rsidR="00517DFF" w:rsidRPr="00EE7CC8" w14:paraId="7313840E" w14:textId="77777777" w:rsidTr="00F652F3">
        <w:trPr>
          <w:tblCellSpacing w:w="15" w:type="dxa"/>
        </w:trPr>
        <w:tc>
          <w:tcPr>
            <w:tcW w:w="0" w:type="auto"/>
            <w:vAlign w:val="center"/>
            <w:hideMark/>
          </w:tcPr>
          <w:p w14:paraId="306E0306" w14:textId="77777777" w:rsidR="00517DFF" w:rsidRPr="00EE7CC8" w:rsidRDefault="00517DFF" w:rsidP="00517DFF">
            <w:pPr>
              <w:rPr>
                <w:sz w:val="22"/>
                <w:szCs w:val="22"/>
              </w:rPr>
            </w:pPr>
            <w:r w:rsidRPr="00EE7CC8">
              <w:rPr>
                <w:b/>
                <w:bCs/>
                <w:sz w:val="22"/>
                <w:szCs w:val="22"/>
              </w:rPr>
              <w:t>Multiple-comparison correction</w:t>
            </w:r>
            <w:r w:rsidRPr="00EE7CC8">
              <w:rPr>
                <w:sz w:val="22"/>
                <w:szCs w:val="22"/>
              </w:rPr>
              <w:t>: Bonferroni “if applicable.”</w:t>
            </w:r>
          </w:p>
        </w:tc>
        <w:tc>
          <w:tcPr>
            <w:tcW w:w="0" w:type="auto"/>
            <w:vAlign w:val="center"/>
            <w:hideMark/>
          </w:tcPr>
          <w:p w14:paraId="0776C5B7" w14:textId="77777777" w:rsidR="00517DFF" w:rsidRPr="00EE7CC8" w:rsidRDefault="00517DFF" w:rsidP="00517DFF">
            <w:pPr>
              <w:rPr>
                <w:sz w:val="22"/>
                <w:szCs w:val="22"/>
              </w:rPr>
            </w:pPr>
            <w:r w:rsidRPr="00EE7CC8">
              <w:rPr>
                <w:sz w:val="22"/>
                <w:szCs w:val="22"/>
              </w:rPr>
              <w:t>No Bonferroni; report exact </w:t>
            </w:r>
            <w:r w:rsidRPr="00EE7CC8">
              <w:rPr>
                <w:i/>
                <w:iCs/>
                <w:sz w:val="22"/>
                <w:szCs w:val="22"/>
              </w:rPr>
              <w:t>p</w:t>
            </w:r>
            <w:r w:rsidRPr="00EE7CC8">
              <w:rPr>
                <w:sz w:val="22"/>
                <w:szCs w:val="22"/>
              </w:rPr>
              <w:t> values; MI assessed by fit indices (ΔCFI, ΔRMSEA).</w:t>
            </w:r>
          </w:p>
        </w:tc>
        <w:tc>
          <w:tcPr>
            <w:tcW w:w="0" w:type="auto"/>
            <w:vAlign w:val="center"/>
            <w:hideMark/>
          </w:tcPr>
          <w:p w14:paraId="728BAA5C" w14:textId="77777777" w:rsidR="00517DFF" w:rsidRPr="00EE7CC8" w:rsidRDefault="00517DFF" w:rsidP="00517DFF">
            <w:pPr>
              <w:rPr>
                <w:sz w:val="22"/>
                <w:szCs w:val="22"/>
              </w:rPr>
            </w:pPr>
            <w:r w:rsidRPr="00EE7CC8">
              <w:rPr>
                <w:sz w:val="22"/>
                <w:szCs w:val="22"/>
              </w:rPr>
              <w:t>Analyses theory-driven; MI based on fit statistics, not multiple </w:t>
            </w:r>
            <w:r w:rsidRPr="00EE7CC8">
              <w:rPr>
                <w:i/>
                <w:iCs/>
                <w:sz w:val="22"/>
                <w:szCs w:val="22"/>
              </w:rPr>
              <w:t>p</w:t>
            </w:r>
            <w:r w:rsidRPr="00EE7CC8">
              <w:rPr>
                <w:sz w:val="22"/>
                <w:szCs w:val="22"/>
              </w:rPr>
              <w:t>-tests.</w:t>
            </w:r>
          </w:p>
        </w:tc>
      </w:tr>
      <w:tr w:rsidR="00517DFF" w:rsidRPr="00EE7CC8" w14:paraId="05481DF3" w14:textId="77777777" w:rsidTr="00F652F3">
        <w:trPr>
          <w:tblCellSpacing w:w="15" w:type="dxa"/>
        </w:trPr>
        <w:tc>
          <w:tcPr>
            <w:tcW w:w="0" w:type="auto"/>
            <w:vAlign w:val="center"/>
            <w:hideMark/>
          </w:tcPr>
          <w:p w14:paraId="4EBDF7DC" w14:textId="77777777" w:rsidR="00517DFF" w:rsidRPr="00EE7CC8" w:rsidRDefault="00517DFF" w:rsidP="00517DFF">
            <w:pPr>
              <w:rPr>
                <w:sz w:val="22"/>
                <w:szCs w:val="22"/>
              </w:rPr>
            </w:pPr>
            <w:r w:rsidRPr="00EE7CC8">
              <w:rPr>
                <w:b/>
                <w:bCs/>
                <w:sz w:val="22"/>
                <w:szCs w:val="22"/>
              </w:rPr>
              <w:t>Data exclusion</w:t>
            </w:r>
            <w:r w:rsidRPr="00EE7CC8">
              <w:rPr>
                <w:sz w:val="22"/>
                <w:szCs w:val="22"/>
              </w:rPr>
              <w:t>: None; listwise deletion if minimal missingness.</w:t>
            </w:r>
          </w:p>
        </w:tc>
        <w:tc>
          <w:tcPr>
            <w:tcW w:w="0" w:type="auto"/>
            <w:vAlign w:val="center"/>
            <w:hideMark/>
          </w:tcPr>
          <w:p w14:paraId="68DA869D" w14:textId="77777777" w:rsidR="00517DFF" w:rsidRPr="00EE7CC8" w:rsidRDefault="00517DFF" w:rsidP="00517DFF">
            <w:pPr>
              <w:rPr>
                <w:sz w:val="22"/>
                <w:szCs w:val="22"/>
              </w:rPr>
            </w:pPr>
            <w:r w:rsidRPr="00EE7CC8">
              <w:rPr>
                <w:sz w:val="22"/>
                <w:szCs w:val="22"/>
              </w:rPr>
              <w:t>Complete-case analyses; no additional exclusions.</w:t>
            </w:r>
          </w:p>
        </w:tc>
        <w:tc>
          <w:tcPr>
            <w:tcW w:w="0" w:type="auto"/>
            <w:vAlign w:val="center"/>
            <w:hideMark/>
          </w:tcPr>
          <w:p w14:paraId="226B311E" w14:textId="77777777" w:rsidR="00517DFF" w:rsidRPr="00EE7CC8" w:rsidRDefault="00517DFF" w:rsidP="00517DFF">
            <w:pPr>
              <w:rPr>
                <w:sz w:val="22"/>
                <w:szCs w:val="22"/>
              </w:rPr>
            </w:pPr>
            <w:r w:rsidRPr="00EE7CC8">
              <w:rPr>
                <w:sz w:val="22"/>
                <w:szCs w:val="22"/>
              </w:rPr>
              <w:t>Matches preregistration.</w:t>
            </w:r>
          </w:p>
        </w:tc>
      </w:tr>
    </w:tbl>
    <w:p w14:paraId="5A83CBE2" w14:textId="77777777" w:rsidR="004D53C7" w:rsidRPr="00EE7CC8" w:rsidRDefault="004D53C7" w:rsidP="003076E8">
      <w:pPr>
        <w:pStyle w:val="EndNoteBibliographyTitle"/>
        <w:jc w:val="left"/>
        <w:rPr>
          <w:rFonts w:ascii="Times New Roman" w:hAnsi="Times New Roman" w:cs="Times New Roman"/>
          <w:b/>
          <w:sz w:val="22"/>
          <w:szCs w:val="22"/>
        </w:rPr>
      </w:pPr>
    </w:p>
    <w:p w14:paraId="7FCC2BC1" w14:textId="77777777" w:rsidR="004D53C7" w:rsidRPr="00EE7CC8" w:rsidRDefault="004D53C7" w:rsidP="003076E8">
      <w:pPr>
        <w:pStyle w:val="EndNoteBibliographyTitle"/>
        <w:jc w:val="left"/>
        <w:rPr>
          <w:rFonts w:ascii="Times New Roman" w:hAnsi="Times New Roman" w:cs="Times New Roman"/>
          <w:b/>
          <w:sz w:val="22"/>
          <w:szCs w:val="22"/>
        </w:rPr>
      </w:pPr>
    </w:p>
    <w:p w14:paraId="5AD5AF42" w14:textId="77777777" w:rsidR="004D53C7" w:rsidRPr="00EE7CC8" w:rsidRDefault="004D53C7" w:rsidP="003076E8">
      <w:pPr>
        <w:pStyle w:val="EndNoteBibliographyTitle"/>
        <w:jc w:val="left"/>
        <w:rPr>
          <w:rFonts w:ascii="Times New Roman" w:hAnsi="Times New Roman" w:cs="Times New Roman"/>
          <w:b/>
          <w:sz w:val="22"/>
          <w:szCs w:val="22"/>
        </w:rPr>
      </w:pPr>
    </w:p>
    <w:p w14:paraId="22C35F32" w14:textId="77777777" w:rsidR="004D53C7" w:rsidRPr="00EE7CC8" w:rsidRDefault="004D53C7" w:rsidP="003076E8">
      <w:pPr>
        <w:pStyle w:val="EndNoteBibliographyTitle"/>
        <w:jc w:val="left"/>
        <w:rPr>
          <w:rFonts w:ascii="Times New Roman" w:hAnsi="Times New Roman" w:cs="Times New Roman"/>
          <w:b/>
          <w:sz w:val="22"/>
          <w:szCs w:val="22"/>
        </w:rPr>
      </w:pPr>
    </w:p>
    <w:p w14:paraId="5D0FC94E" w14:textId="77777777" w:rsidR="004D53C7" w:rsidRDefault="004D53C7" w:rsidP="003076E8">
      <w:pPr>
        <w:pStyle w:val="EndNoteBibliographyTitle"/>
        <w:jc w:val="left"/>
        <w:rPr>
          <w:rFonts w:ascii="Times New Roman" w:hAnsi="Times New Roman" w:cs="Times New Roman"/>
          <w:b/>
          <w:sz w:val="22"/>
          <w:szCs w:val="22"/>
        </w:rPr>
      </w:pPr>
    </w:p>
    <w:p w14:paraId="31FAAC16" w14:textId="77777777" w:rsidR="007C3105" w:rsidRDefault="007C3105" w:rsidP="003076E8">
      <w:pPr>
        <w:pStyle w:val="EndNoteBibliographyTitle"/>
        <w:jc w:val="left"/>
        <w:rPr>
          <w:rFonts w:ascii="Times New Roman" w:hAnsi="Times New Roman" w:cs="Times New Roman"/>
          <w:b/>
          <w:sz w:val="22"/>
          <w:szCs w:val="22"/>
        </w:rPr>
      </w:pPr>
    </w:p>
    <w:p w14:paraId="74B1E3F3" w14:textId="77777777" w:rsidR="007C3105" w:rsidRPr="00EE7CC8" w:rsidRDefault="007C3105" w:rsidP="003076E8">
      <w:pPr>
        <w:pStyle w:val="EndNoteBibliographyTitle"/>
        <w:jc w:val="left"/>
        <w:rPr>
          <w:rFonts w:ascii="Times New Roman" w:hAnsi="Times New Roman" w:cs="Times New Roman"/>
          <w:b/>
          <w:sz w:val="22"/>
          <w:szCs w:val="22"/>
        </w:rPr>
      </w:pPr>
    </w:p>
    <w:p w14:paraId="49E144E3" w14:textId="77777777" w:rsidR="004D53C7" w:rsidRPr="00EE7CC8" w:rsidRDefault="004D53C7" w:rsidP="003076E8">
      <w:pPr>
        <w:pStyle w:val="EndNoteBibliographyTitle"/>
        <w:jc w:val="left"/>
        <w:rPr>
          <w:rFonts w:ascii="Times New Roman" w:hAnsi="Times New Roman" w:cs="Times New Roman"/>
          <w:b/>
          <w:sz w:val="22"/>
          <w:szCs w:val="22"/>
        </w:rPr>
      </w:pPr>
    </w:p>
    <w:p w14:paraId="17CBFFBC" w14:textId="77777777" w:rsidR="004D53C7" w:rsidRPr="00EE7CC8" w:rsidRDefault="004D53C7" w:rsidP="003076E8">
      <w:pPr>
        <w:pStyle w:val="EndNoteBibliographyTitle"/>
        <w:jc w:val="left"/>
        <w:rPr>
          <w:rFonts w:ascii="Times New Roman" w:hAnsi="Times New Roman" w:cs="Times New Roman"/>
          <w:b/>
          <w:sz w:val="22"/>
          <w:szCs w:val="22"/>
        </w:rPr>
      </w:pPr>
    </w:p>
    <w:p w14:paraId="0F5B5B06" w14:textId="77777777" w:rsidR="004B5852" w:rsidRDefault="004B5852" w:rsidP="003076E8">
      <w:pPr>
        <w:pStyle w:val="EndNoteBibliographyTitle"/>
        <w:jc w:val="left"/>
        <w:rPr>
          <w:rFonts w:ascii="Times New Roman" w:hAnsi="Times New Roman" w:cs="Times New Roman"/>
          <w:b/>
          <w:sz w:val="22"/>
          <w:szCs w:val="22"/>
        </w:rPr>
      </w:pPr>
    </w:p>
    <w:p w14:paraId="0967D1FB" w14:textId="77777777" w:rsidR="004B5852" w:rsidRDefault="004B5852" w:rsidP="003076E8">
      <w:pPr>
        <w:pStyle w:val="EndNoteBibliographyTitle"/>
        <w:jc w:val="left"/>
        <w:rPr>
          <w:rFonts w:ascii="Times New Roman" w:hAnsi="Times New Roman" w:cs="Times New Roman"/>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2"/>
        <w:gridCol w:w="326"/>
        <w:gridCol w:w="1228"/>
        <w:gridCol w:w="1228"/>
        <w:gridCol w:w="1228"/>
        <w:gridCol w:w="1228"/>
        <w:gridCol w:w="1228"/>
        <w:gridCol w:w="1552"/>
      </w:tblGrid>
      <w:tr w:rsidR="004B5852" w:rsidRPr="00CE32A2" w14:paraId="5F1672C2" w14:textId="77777777" w:rsidTr="00B3099B">
        <w:trPr>
          <w:trHeight w:val="123"/>
        </w:trPr>
        <w:tc>
          <w:tcPr>
            <w:tcW w:w="5000" w:type="pct"/>
            <w:gridSpan w:val="8"/>
          </w:tcPr>
          <w:p w14:paraId="48A14541" w14:textId="45598A64" w:rsidR="004B5852" w:rsidRPr="00CE32A2" w:rsidRDefault="004B5852" w:rsidP="00B3099B">
            <w:pPr>
              <w:rPr>
                <w:b/>
                <w:bCs/>
                <w:sz w:val="22"/>
                <w:szCs w:val="22"/>
                <w:shd w:val="clear" w:color="auto" w:fill="FFFFFF"/>
              </w:rPr>
            </w:pPr>
            <w:r w:rsidRPr="00CE32A2">
              <w:rPr>
                <w:b/>
                <w:bCs/>
                <w:sz w:val="22"/>
                <w:szCs w:val="22"/>
                <w:shd w:val="clear" w:color="auto" w:fill="FFFFFF"/>
              </w:rPr>
              <w:t xml:space="preserve">Table </w:t>
            </w:r>
            <w:r w:rsidR="00F1080C">
              <w:rPr>
                <w:b/>
                <w:bCs/>
                <w:sz w:val="22"/>
                <w:szCs w:val="22"/>
                <w:shd w:val="clear" w:color="auto" w:fill="FFFFFF"/>
              </w:rPr>
              <w:t>2</w:t>
            </w:r>
            <w:r w:rsidRPr="00CE32A2">
              <w:rPr>
                <w:b/>
                <w:bCs/>
                <w:sz w:val="22"/>
                <w:szCs w:val="22"/>
                <w:shd w:val="clear" w:color="auto" w:fill="FFFFFF"/>
              </w:rPr>
              <w:t>. Descriptive Statistics for ARI Items for Parent and Youth Report</w:t>
            </w:r>
          </w:p>
          <w:p w14:paraId="6DEAADB2" w14:textId="77777777" w:rsidR="004B5852" w:rsidRPr="00CE32A2" w:rsidRDefault="004B5852" w:rsidP="00B3099B">
            <w:pPr>
              <w:rPr>
                <w:b/>
                <w:bCs/>
                <w:sz w:val="22"/>
                <w:szCs w:val="22"/>
                <w:shd w:val="clear" w:color="auto" w:fill="FFFFFF"/>
              </w:rPr>
            </w:pPr>
          </w:p>
        </w:tc>
      </w:tr>
      <w:tr w:rsidR="004B5852" w:rsidRPr="00CE32A2" w14:paraId="17429810" w14:textId="77777777" w:rsidTr="00B3099B">
        <w:trPr>
          <w:trHeight w:val="123"/>
        </w:trPr>
        <w:tc>
          <w:tcPr>
            <w:tcW w:w="717" w:type="pct"/>
            <w:vAlign w:val="center"/>
          </w:tcPr>
          <w:p w14:paraId="7B3D684C" w14:textId="77777777" w:rsidR="004B5852" w:rsidRPr="00CE32A2" w:rsidRDefault="004B5852" w:rsidP="00B3099B">
            <w:pPr>
              <w:rPr>
                <w:b/>
                <w:bCs/>
                <w:sz w:val="22"/>
                <w:szCs w:val="22"/>
                <w:shd w:val="clear" w:color="auto" w:fill="FFFFFF"/>
              </w:rPr>
            </w:pPr>
          </w:p>
        </w:tc>
        <w:tc>
          <w:tcPr>
            <w:tcW w:w="174" w:type="pct"/>
          </w:tcPr>
          <w:p w14:paraId="7DD7140E" w14:textId="77777777" w:rsidR="004B5852" w:rsidRPr="00CE32A2" w:rsidRDefault="004B5852" w:rsidP="00B3099B">
            <w:pPr>
              <w:jc w:val="center"/>
              <w:rPr>
                <w:b/>
                <w:bCs/>
                <w:sz w:val="22"/>
                <w:szCs w:val="22"/>
                <w:shd w:val="clear" w:color="auto" w:fill="FFFFFF"/>
              </w:rPr>
            </w:pPr>
          </w:p>
        </w:tc>
        <w:tc>
          <w:tcPr>
            <w:tcW w:w="656" w:type="pct"/>
            <w:vAlign w:val="center"/>
          </w:tcPr>
          <w:p w14:paraId="3F296562"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Brazil</w:t>
            </w:r>
          </w:p>
        </w:tc>
        <w:tc>
          <w:tcPr>
            <w:tcW w:w="656" w:type="pct"/>
            <w:vAlign w:val="center"/>
          </w:tcPr>
          <w:p w14:paraId="322323AA"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China</w:t>
            </w:r>
          </w:p>
        </w:tc>
        <w:tc>
          <w:tcPr>
            <w:tcW w:w="656" w:type="pct"/>
            <w:vAlign w:val="center"/>
          </w:tcPr>
          <w:p w14:paraId="091BFA0B"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Japan</w:t>
            </w:r>
          </w:p>
        </w:tc>
        <w:tc>
          <w:tcPr>
            <w:tcW w:w="656" w:type="pct"/>
            <w:vAlign w:val="center"/>
          </w:tcPr>
          <w:p w14:paraId="11541DD7"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Spain</w:t>
            </w:r>
          </w:p>
        </w:tc>
        <w:tc>
          <w:tcPr>
            <w:tcW w:w="656" w:type="pct"/>
            <w:vAlign w:val="center"/>
          </w:tcPr>
          <w:p w14:paraId="63096A2A" w14:textId="77777777" w:rsidR="004B5852" w:rsidRPr="00CE32A2" w:rsidRDefault="004B5852" w:rsidP="00B3099B">
            <w:pPr>
              <w:jc w:val="center"/>
              <w:rPr>
                <w:sz w:val="22"/>
                <w:szCs w:val="22"/>
                <w:shd w:val="clear" w:color="auto" w:fill="FFFFFF"/>
              </w:rPr>
            </w:pPr>
            <w:r w:rsidRPr="00CE32A2">
              <w:rPr>
                <w:b/>
                <w:bCs/>
                <w:sz w:val="22"/>
                <w:szCs w:val="22"/>
                <w:shd w:val="clear" w:color="auto" w:fill="FFFFFF"/>
              </w:rPr>
              <w:t>US</w:t>
            </w:r>
          </w:p>
        </w:tc>
        <w:tc>
          <w:tcPr>
            <w:tcW w:w="829" w:type="pct"/>
          </w:tcPr>
          <w:p w14:paraId="7B3ABBC6" w14:textId="77777777" w:rsidR="004B5852" w:rsidRPr="00CE32A2" w:rsidRDefault="004B5852" w:rsidP="00B3099B">
            <w:pPr>
              <w:jc w:val="center"/>
              <w:rPr>
                <w:b/>
                <w:bCs/>
                <w:sz w:val="22"/>
                <w:szCs w:val="22"/>
                <w:shd w:val="clear" w:color="auto" w:fill="FFFFFF"/>
              </w:rPr>
            </w:pPr>
          </w:p>
        </w:tc>
      </w:tr>
      <w:tr w:rsidR="004B5852" w:rsidRPr="00CE32A2" w14:paraId="0EB016C2" w14:textId="77777777" w:rsidTr="00B3099B">
        <w:tc>
          <w:tcPr>
            <w:tcW w:w="891" w:type="pct"/>
            <w:gridSpan w:val="2"/>
            <w:vAlign w:val="center"/>
          </w:tcPr>
          <w:p w14:paraId="70D05E79" w14:textId="77777777" w:rsidR="004B5852" w:rsidRPr="00CE32A2" w:rsidRDefault="004B5852" w:rsidP="00B3099B">
            <w:pPr>
              <w:rPr>
                <w:bCs/>
                <w:sz w:val="22"/>
                <w:szCs w:val="22"/>
                <w:shd w:val="clear" w:color="auto" w:fill="FFFFFF"/>
              </w:rPr>
            </w:pPr>
            <w:r w:rsidRPr="00CE32A2">
              <w:rPr>
                <w:bCs/>
                <w:sz w:val="22"/>
                <w:szCs w:val="22"/>
                <w:shd w:val="clear" w:color="auto" w:fill="FFFFFF"/>
              </w:rPr>
              <w:t>n</w:t>
            </w:r>
          </w:p>
        </w:tc>
        <w:tc>
          <w:tcPr>
            <w:tcW w:w="656" w:type="pct"/>
            <w:vAlign w:val="center"/>
          </w:tcPr>
          <w:p w14:paraId="04C53ECC" w14:textId="77777777" w:rsidR="004B5852" w:rsidRPr="00CE32A2" w:rsidRDefault="004B5852" w:rsidP="00B3099B">
            <w:pPr>
              <w:jc w:val="center"/>
              <w:rPr>
                <w:bCs/>
                <w:sz w:val="22"/>
                <w:szCs w:val="22"/>
                <w:shd w:val="clear" w:color="auto" w:fill="FFFFFF"/>
              </w:rPr>
            </w:pPr>
            <w:r w:rsidRPr="00CE32A2">
              <w:rPr>
                <w:bCs/>
                <w:sz w:val="22"/>
                <w:szCs w:val="22"/>
                <w:shd w:val="clear" w:color="auto" w:fill="FFFFFF"/>
              </w:rPr>
              <w:t>133</w:t>
            </w:r>
          </w:p>
        </w:tc>
        <w:tc>
          <w:tcPr>
            <w:tcW w:w="656" w:type="pct"/>
            <w:vAlign w:val="center"/>
          </w:tcPr>
          <w:p w14:paraId="1E06CEE2" w14:textId="77777777" w:rsidR="004B5852" w:rsidRPr="00CE32A2" w:rsidRDefault="004B5852" w:rsidP="00B3099B">
            <w:pPr>
              <w:jc w:val="center"/>
              <w:rPr>
                <w:bCs/>
                <w:sz w:val="22"/>
                <w:szCs w:val="22"/>
                <w:shd w:val="clear" w:color="auto" w:fill="FFFFFF"/>
              </w:rPr>
            </w:pPr>
            <w:r w:rsidRPr="00CE32A2">
              <w:rPr>
                <w:bCs/>
                <w:sz w:val="22"/>
                <w:szCs w:val="22"/>
                <w:shd w:val="clear" w:color="auto" w:fill="FFFFFF"/>
              </w:rPr>
              <w:t>403/395</w:t>
            </w:r>
          </w:p>
        </w:tc>
        <w:tc>
          <w:tcPr>
            <w:tcW w:w="656" w:type="pct"/>
            <w:vAlign w:val="center"/>
          </w:tcPr>
          <w:p w14:paraId="063B857A" w14:textId="77777777" w:rsidR="004B5852" w:rsidRPr="00CE32A2" w:rsidRDefault="004B5852" w:rsidP="00B3099B">
            <w:pPr>
              <w:jc w:val="center"/>
              <w:rPr>
                <w:bCs/>
                <w:sz w:val="22"/>
                <w:szCs w:val="22"/>
                <w:shd w:val="clear" w:color="auto" w:fill="FFFFFF"/>
              </w:rPr>
            </w:pPr>
            <w:r w:rsidRPr="00CE32A2">
              <w:rPr>
                <w:bCs/>
                <w:sz w:val="22"/>
                <w:szCs w:val="22"/>
                <w:shd w:val="clear" w:color="auto" w:fill="FFFFFF"/>
              </w:rPr>
              <w:t>4,800</w:t>
            </w:r>
          </w:p>
        </w:tc>
        <w:tc>
          <w:tcPr>
            <w:tcW w:w="656" w:type="pct"/>
            <w:vAlign w:val="center"/>
          </w:tcPr>
          <w:p w14:paraId="347C56D6" w14:textId="77777777" w:rsidR="004B5852" w:rsidRPr="00CE32A2" w:rsidRDefault="004B5852" w:rsidP="00B3099B">
            <w:pPr>
              <w:jc w:val="center"/>
              <w:rPr>
                <w:bCs/>
                <w:sz w:val="22"/>
                <w:szCs w:val="22"/>
                <w:shd w:val="clear" w:color="auto" w:fill="FFFFFF"/>
              </w:rPr>
            </w:pPr>
            <w:r w:rsidRPr="00CE32A2">
              <w:rPr>
                <w:bCs/>
                <w:sz w:val="22"/>
                <w:szCs w:val="22"/>
                <w:shd w:val="clear" w:color="auto" w:fill="FFFFFF"/>
              </w:rPr>
              <w:t>384</w:t>
            </w:r>
          </w:p>
        </w:tc>
        <w:tc>
          <w:tcPr>
            <w:tcW w:w="656" w:type="pct"/>
            <w:vAlign w:val="center"/>
          </w:tcPr>
          <w:p w14:paraId="211C2E74" w14:textId="77777777" w:rsidR="004B5852" w:rsidRPr="00CE32A2" w:rsidRDefault="004B5852" w:rsidP="00B3099B">
            <w:pPr>
              <w:jc w:val="center"/>
              <w:rPr>
                <w:bCs/>
                <w:sz w:val="22"/>
                <w:szCs w:val="22"/>
                <w:shd w:val="clear" w:color="auto" w:fill="FFFFFF"/>
              </w:rPr>
            </w:pPr>
            <w:r w:rsidRPr="00CE32A2">
              <w:rPr>
                <w:bCs/>
                <w:sz w:val="22"/>
                <w:szCs w:val="22"/>
                <w:shd w:val="clear" w:color="auto" w:fill="FFFFFF"/>
              </w:rPr>
              <w:t>475/467</w:t>
            </w:r>
          </w:p>
        </w:tc>
        <w:tc>
          <w:tcPr>
            <w:tcW w:w="829" w:type="pct"/>
          </w:tcPr>
          <w:p w14:paraId="512EE265" w14:textId="77777777" w:rsidR="004B5852" w:rsidRPr="00CE32A2" w:rsidRDefault="004B5852" w:rsidP="00B3099B">
            <w:pPr>
              <w:jc w:val="center"/>
              <w:rPr>
                <w:bCs/>
                <w:sz w:val="22"/>
                <w:szCs w:val="22"/>
                <w:shd w:val="clear" w:color="auto" w:fill="FFFFFF"/>
              </w:rPr>
            </w:pPr>
          </w:p>
        </w:tc>
      </w:tr>
      <w:tr w:rsidR="004B5852" w:rsidRPr="00CE32A2" w14:paraId="3C641863" w14:textId="77777777" w:rsidTr="00B3099B">
        <w:tc>
          <w:tcPr>
            <w:tcW w:w="717" w:type="pct"/>
            <w:vAlign w:val="center"/>
          </w:tcPr>
          <w:p w14:paraId="214F605B" w14:textId="77777777" w:rsidR="004B5852" w:rsidRPr="00CE32A2" w:rsidRDefault="004B5852" w:rsidP="00B3099B">
            <w:pPr>
              <w:rPr>
                <w:bCs/>
                <w:sz w:val="22"/>
                <w:szCs w:val="22"/>
                <w:shd w:val="clear" w:color="auto" w:fill="FFFFFF"/>
              </w:rPr>
            </w:pPr>
            <w:r w:rsidRPr="00CE32A2">
              <w:rPr>
                <w:b/>
                <w:bCs/>
                <w:sz w:val="22"/>
                <w:szCs w:val="22"/>
                <w:shd w:val="clear" w:color="auto" w:fill="FFFFFF"/>
              </w:rPr>
              <w:t>Parent Report</w:t>
            </w:r>
          </w:p>
        </w:tc>
        <w:tc>
          <w:tcPr>
            <w:tcW w:w="174" w:type="pct"/>
          </w:tcPr>
          <w:p w14:paraId="7D304D02" w14:textId="77777777" w:rsidR="004B5852" w:rsidRPr="00CE32A2" w:rsidRDefault="004B5852" w:rsidP="00B3099B">
            <w:pPr>
              <w:jc w:val="center"/>
              <w:rPr>
                <w:b/>
                <w:bCs/>
                <w:sz w:val="22"/>
                <w:szCs w:val="22"/>
                <w:shd w:val="clear" w:color="auto" w:fill="FFFFFF"/>
              </w:rPr>
            </w:pPr>
          </w:p>
        </w:tc>
        <w:tc>
          <w:tcPr>
            <w:tcW w:w="656" w:type="pct"/>
            <w:vAlign w:val="center"/>
          </w:tcPr>
          <w:p w14:paraId="410750A5"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Brazil</w:t>
            </w:r>
          </w:p>
        </w:tc>
        <w:tc>
          <w:tcPr>
            <w:tcW w:w="656" w:type="pct"/>
            <w:vAlign w:val="center"/>
          </w:tcPr>
          <w:p w14:paraId="50AD9ACA"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China</w:t>
            </w:r>
          </w:p>
        </w:tc>
        <w:tc>
          <w:tcPr>
            <w:tcW w:w="656" w:type="pct"/>
            <w:vAlign w:val="center"/>
          </w:tcPr>
          <w:p w14:paraId="2F1810D9"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Japan</w:t>
            </w:r>
          </w:p>
        </w:tc>
        <w:tc>
          <w:tcPr>
            <w:tcW w:w="656" w:type="pct"/>
            <w:vAlign w:val="center"/>
          </w:tcPr>
          <w:p w14:paraId="494B2A06"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Spain</w:t>
            </w:r>
          </w:p>
        </w:tc>
        <w:tc>
          <w:tcPr>
            <w:tcW w:w="656" w:type="pct"/>
            <w:vAlign w:val="center"/>
          </w:tcPr>
          <w:p w14:paraId="6398162C" w14:textId="77777777" w:rsidR="004B5852" w:rsidRPr="00CE32A2" w:rsidRDefault="004B5852" w:rsidP="00B3099B">
            <w:pPr>
              <w:jc w:val="center"/>
              <w:rPr>
                <w:sz w:val="22"/>
                <w:szCs w:val="22"/>
                <w:shd w:val="clear" w:color="auto" w:fill="FFFFFF"/>
              </w:rPr>
            </w:pPr>
            <w:r w:rsidRPr="00CE32A2">
              <w:rPr>
                <w:b/>
                <w:bCs/>
                <w:sz w:val="22"/>
                <w:szCs w:val="22"/>
                <w:shd w:val="clear" w:color="auto" w:fill="FFFFFF"/>
              </w:rPr>
              <w:t>US</w:t>
            </w:r>
          </w:p>
        </w:tc>
        <w:tc>
          <w:tcPr>
            <w:tcW w:w="829" w:type="pct"/>
          </w:tcPr>
          <w:p w14:paraId="5C9788B3" w14:textId="77777777" w:rsidR="004B5852" w:rsidRPr="00CE32A2" w:rsidRDefault="004B5852" w:rsidP="00B3099B">
            <w:pPr>
              <w:jc w:val="center"/>
              <w:rPr>
                <w:b/>
                <w:bCs/>
                <w:sz w:val="22"/>
                <w:szCs w:val="22"/>
                <w:shd w:val="clear" w:color="auto" w:fill="FFFFFF"/>
              </w:rPr>
            </w:pPr>
          </w:p>
        </w:tc>
      </w:tr>
      <w:tr w:rsidR="004B5852" w:rsidRPr="00CE32A2" w14:paraId="26C4DF92" w14:textId="77777777" w:rsidTr="00B3099B">
        <w:tc>
          <w:tcPr>
            <w:tcW w:w="717" w:type="pct"/>
            <w:vAlign w:val="center"/>
          </w:tcPr>
          <w:p w14:paraId="6708743D" w14:textId="77777777" w:rsidR="004B5852" w:rsidRPr="00CE32A2" w:rsidRDefault="004B5852" w:rsidP="00B3099B">
            <w:pPr>
              <w:rPr>
                <w:b/>
                <w:bCs/>
                <w:sz w:val="22"/>
                <w:szCs w:val="22"/>
                <w:shd w:val="clear" w:color="auto" w:fill="FFFFFF"/>
              </w:rPr>
            </w:pPr>
            <w:r w:rsidRPr="00CE32A2">
              <w:rPr>
                <w:b/>
                <w:bCs/>
                <w:sz w:val="22"/>
                <w:szCs w:val="22"/>
                <w:shd w:val="clear" w:color="auto" w:fill="FFFFFF"/>
              </w:rPr>
              <w:t>Item</w:t>
            </w:r>
            <w:r>
              <w:rPr>
                <w:b/>
                <w:bCs/>
                <w:sz w:val="22"/>
                <w:szCs w:val="22"/>
                <w:shd w:val="clear" w:color="auto" w:fill="FFFFFF"/>
              </w:rPr>
              <w:t xml:space="preserve"> and score</w:t>
            </w:r>
          </w:p>
        </w:tc>
        <w:tc>
          <w:tcPr>
            <w:tcW w:w="174" w:type="pct"/>
            <w:vAlign w:val="center"/>
          </w:tcPr>
          <w:p w14:paraId="4A60460A" w14:textId="77777777" w:rsidR="004B5852" w:rsidRPr="00CE32A2" w:rsidDel="0072306F" w:rsidRDefault="004B5852" w:rsidP="00B3099B">
            <w:pPr>
              <w:jc w:val="center"/>
              <w:rPr>
                <w:sz w:val="22"/>
                <w:szCs w:val="22"/>
                <w:shd w:val="clear" w:color="auto" w:fill="FFFFFF"/>
              </w:rPr>
            </w:pPr>
          </w:p>
        </w:tc>
        <w:tc>
          <w:tcPr>
            <w:tcW w:w="656" w:type="pct"/>
            <w:vAlign w:val="center"/>
          </w:tcPr>
          <w:p w14:paraId="6A6BCD77" w14:textId="77777777" w:rsidR="004B5852" w:rsidRPr="00CE32A2" w:rsidRDefault="004B5852" w:rsidP="00B3099B">
            <w:pPr>
              <w:jc w:val="center"/>
              <w:rPr>
                <w:sz w:val="22"/>
                <w:szCs w:val="22"/>
                <w:shd w:val="clear" w:color="auto" w:fill="FFFFFF"/>
              </w:rPr>
            </w:pPr>
            <w:r>
              <w:rPr>
                <w:sz w:val="22"/>
                <w:szCs w:val="22"/>
                <w:shd w:val="clear" w:color="auto" w:fill="FFFFFF"/>
              </w:rPr>
              <w:t>%</w:t>
            </w:r>
          </w:p>
        </w:tc>
        <w:tc>
          <w:tcPr>
            <w:tcW w:w="656" w:type="pct"/>
            <w:vAlign w:val="center"/>
          </w:tcPr>
          <w:p w14:paraId="44B63448" w14:textId="77777777" w:rsidR="004B5852" w:rsidRPr="00CE32A2" w:rsidRDefault="004B5852" w:rsidP="00B3099B">
            <w:pPr>
              <w:jc w:val="center"/>
              <w:rPr>
                <w:sz w:val="22"/>
                <w:szCs w:val="22"/>
                <w:shd w:val="clear" w:color="auto" w:fill="FFFFFF"/>
              </w:rPr>
            </w:pPr>
            <w:r w:rsidRPr="000A59E1">
              <w:rPr>
                <w:sz w:val="22"/>
                <w:szCs w:val="22"/>
                <w:shd w:val="clear" w:color="auto" w:fill="FFFFFF"/>
              </w:rPr>
              <w:t>%</w:t>
            </w:r>
          </w:p>
        </w:tc>
        <w:tc>
          <w:tcPr>
            <w:tcW w:w="656" w:type="pct"/>
            <w:vAlign w:val="center"/>
          </w:tcPr>
          <w:p w14:paraId="1D009722" w14:textId="77777777" w:rsidR="004B5852" w:rsidRPr="00CE32A2" w:rsidRDefault="004B5852" w:rsidP="00B3099B">
            <w:pPr>
              <w:jc w:val="center"/>
              <w:rPr>
                <w:sz w:val="22"/>
                <w:szCs w:val="22"/>
                <w:shd w:val="clear" w:color="auto" w:fill="FFFFFF"/>
              </w:rPr>
            </w:pPr>
            <w:r w:rsidRPr="000A59E1">
              <w:rPr>
                <w:sz w:val="22"/>
                <w:szCs w:val="22"/>
                <w:shd w:val="clear" w:color="auto" w:fill="FFFFFF"/>
              </w:rPr>
              <w:t>%</w:t>
            </w:r>
          </w:p>
        </w:tc>
        <w:tc>
          <w:tcPr>
            <w:tcW w:w="656" w:type="pct"/>
            <w:vAlign w:val="center"/>
          </w:tcPr>
          <w:p w14:paraId="3AB2B92F" w14:textId="77777777" w:rsidR="004B5852" w:rsidRPr="00CE32A2" w:rsidRDefault="004B5852" w:rsidP="00B3099B">
            <w:pPr>
              <w:jc w:val="center"/>
              <w:rPr>
                <w:sz w:val="22"/>
                <w:szCs w:val="22"/>
                <w:shd w:val="clear" w:color="auto" w:fill="FFFFFF"/>
              </w:rPr>
            </w:pPr>
            <w:r w:rsidRPr="000A59E1">
              <w:rPr>
                <w:sz w:val="22"/>
                <w:szCs w:val="22"/>
                <w:shd w:val="clear" w:color="auto" w:fill="FFFFFF"/>
              </w:rPr>
              <w:t>%</w:t>
            </w:r>
          </w:p>
        </w:tc>
        <w:tc>
          <w:tcPr>
            <w:tcW w:w="656" w:type="pct"/>
            <w:vAlign w:val="center"/>
          </w:tcPr>
          <w:p w14:paraId="75772500" w14:textId="77777777" w:rsidR="004B5852" w:rsidRPr="00CE32A2" w:rsidRDefault="004B5852" w:rsidP="00B3099B">
            <w:pPr>
              <w:jc w:val="center"/>
              <w:rPr>
                <w:sz w:val="22"/>
                <w:szCs w:val="22"/>
                <w:shd w:val="clear" w:color="auto" w:fill="FFFFFF"/>
              </w:rPr>
            </w:pPr>
            <w:r w:rsidRPr="000A59E1">
              <w:rPr>
                <w:sz w:val="22"/>
                <w:szCs w:val="22"/>
                <w:shd w:val="clear" w:color="auto" w:fill="FFFFFF"/>
              </w:rPr>
              <w:t>%</w:t>
            </w:r>
          </w:p>
        </w:tc>
        <w:tc>
          <w:tcPr>
            <w:tcW w:w="829" w:type="pct"/>
            <w:vAlign w:val="center"/>
          </w:tcPr>
          <w:p w14:paraId="76D36489" w14:textId="77777777" w:rsidR="004B5852" w:rsidRPr="000A59E1" w:rsidRDefault="004B5852" w:rsidP="00B3099B">
            <w:pPr>
              <w:jc w:val="center"/>
              <w:rPr>
                <w:sz w:val="22"/>
                <w:szCs w:val="22"/>
                <w:shd w:val="clear" w:color="auto" w:fill="FFFFFF"/>
              </w:rPr>
            </w:pPr>
            <w:r w:rsidRPr="0007634C">
              <w:rPr>
                <w:sz w:val="18"/>
                <w:szCs w:val="22"/>
                <w:shd w:val="clear" w:color="auto" w:fill="FFFFFF"/>
              </w:rPr>
              <w:t xml:space="preserve">Bonferroni corrected </w:t>
            </w:r>
            <w:r w:rsidRPr="0007634C">
              <w:rPr>
                <w:i/>
                <w:sz w:val="18"/>
                <w:szCs w:val="22"/>
                <w:shd w:val="clear" w:color="auto" w:fill="FFFFFF"/>
              </w:rPr>
              <w:t>p</w:t>
            </w:r>
            <w:r w:rsidRPr="0007634C">
              <w:rPr>
                <w:sz w:val="18"/>
                <w:szCs w:val="22"/>
                <w:shd w:val="clear" w:color="auto" w:fill="FFFFFF"/>
              </w:rPr>
              <w:t>-values</w:t>
            </w:r>
          </w:p>
        </w:tc>
      </w:tr>
      <w:tr w:rsidR="004B5852" w:rsidRPr="00CE32A2" w14:paraId="2FE2B1BF" w14:textId="77777777" w:rsidTr="00B3099B">
        <w:tc>
          <w:tcPr>
            <w:tcW w:w="717" w:type="pct"/>
            <w:vAlign w:val="center"/>
          </w:tcPr>
          <w:p w14:paraId="69C1AAFE" w14:textId="77777777" w:rsidR="004B5852" w:rsidRPr="00CE32A2" w:rsidRDefault="004B5852" w:rsidP="00B3099B">
            <w:pPr>
              <w:rPr>
                <w:sz w:val="22"/>
                <w:szCs w:val="22"/>
                <w:shd w:val="clear" w:color="auto" w:fill="FFFFFF"/>
              </w:rPr>
            </w:pPr>
            <w:r w:rsidRPr="00CE32A2">
              <w:rPr>
                <w:sz w:val="22"/>
                <w:szCs w:val="22"/>
                <w:shd w:val="clear" w:color="auto" w:fill="FFFFFF"/>
              </w:rPr>
              <w:t>Annoyed</w:t>
            </w:r>
          </w:p>
        </w:tc>
        <w:tc>
          <w:tcPr>
            <w:tcW w:w="174" w:type="pct"/>
            <w:vAlign w:val="center"/>
          </w:tcPr>
          <w:p w14:paraId="45C9D300" w14:textId="77777777" w:rsidR="004B5852" w:rsidRPr="00970205" w:rsidRDefault="004B5852" w:rsidP="00B3099B">
            <w:pPr>
              <w:jc w:val="center"/>
              <w:rPr>
                <w:sz w:val="22"/>
                <w:szCs w:val="22"/>
              </w:rPr>
            </w:pPr>
            <w:r w:rsidRPr="00970205">
              <w:rPr>
                <w:sz w:val="22"/>
                <w:szCs w:val="22"/>
              </w:rPr>
              <w:t>0</w:t>
            </w:r>
          </w:p>
        </w:tc>
        <w:tc>
          <w:tcPr>
            <w:tcW w:w="656" w:type="pct"/>
          </w:tcPr>
          <w:p w14:paraId="6AB08316"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10A1C5E7" w14:textId="77777777" w:rsidR="004B5852" w:rsidRPr="005819C4" w:rsidRDefault="004B5852" w:rsidP="00B3099B">
            <w:pPr>
              <w:jc w:val="right"/>
              <w:rPr>
                <w:sz w:val="22"/>
                <w:szCs w:val="22"/>
                <w:shd w:val="clear" w:color="auto" w:fill="FFFFFF"/>
              </w:rPr>
            </w:pPr>
            <w:r w:rsidRPr="0007634C">
              <w:rPr>
                <w:color w:val="000000"/>
                <w:sz w:val="22"/>
                <w:szCs w:val="22"/>
              </w:rPr>
              <w:t>40.2</w:t>
            </w:r>
          </w:p>
        </w:tc>
        <w:tc>
          <w:tcPr>
            <w:tcW w:w="656" w:type="pct"/>
            <w:vAlign w:val="center"/>
          </w:tcPr>
          <w:p w14:paraId="2931D967" w14:textId="77777777" w:rsidR="004B5852" w:rsidRPr="005819C4" w:rsidRDefault="004B5852" w:rsidP="00B3099B">
            <w:pPr>
              <w:jc w:val="right"/>
              <w:rPr>
                <w:sz w:val="22"/>
                <w:szCs w:val="22"/>
                <w:shd w:val="clear" w:color="auto" w:fill="FFFFFF"/>
              </w:rPr>
            </w:pPr>
            <w:r w:rsidRPr="0007634C">
              <w:rPr>
                <w:sz w:val="22"/>
                <w:szCs w:val="22"/>
              </w:rPr>
              <w:t>62.5</w:t>
            </w:r>
          </w:p>
        </w:tc>
        <w:tc>
          <w:tcPr>
            <w:tcW w:w="656" w:type="pct"/>
          </w:tcPr>
          <w:p w14:paraId="786E1DE1"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337D3C4C" w14:textId="77777777" w:rsidR="004B5852" w:rsidRPr="005819C4" w:rsidRDefault="004B5852" w:rsidP="00B3099B">
            <w:pPr>
              <w:jc w:val="right"/>
              <w:rPr>
                <w:sz w:val="22"/>
                <w:szCs w:val="22"/>
                <w:shd w:val="clear" w:color="auto" w:fill="FFFFFF"/>
              </w:rPr>
            </w:pPr>
            <w:r w:rsidRPr="0007634C">
              <w:rPr>
                <w:color w:val="000000"/>
                <w:sz w:val="22"/>
                <w:szCs w:val="22"/>
              </w:rPr>
              <w:t>63.8</w:t>
            </w:r>
          </w:p>
        </w:tc>
        <w:tc>
          <w:tcPr>
            <w:tcW w:w="829" w:type="pct"/>
            <w:vMerge w:val="restart"/>
            <w:vAlign w:val="center"/>
          </w:tcPr>
          <w:p w14:paraId="667EF750" w14:textId="77777777" w:rsidR="004B5852" w:rsidRPr="0063140F" w:rsidRDefault="004B5852" w:rsidP="00B3099B">
            <w:pPr>
              <w:jc w:val="center"/>
              <w:rPr>
                <w:color w:val="000000"/>
                <w:sz w:val="16"/>
                <w:szCs w:val="22"/>
              </w:rPr>
            </w:pPr>
            <w:r w:rsidRPr="00737A03">
              <w:rPr>
                <w:sz w:val="16"/>
              </w:rPr>
              <w:t>Ch&gt;</w:t>
            </w:r>
            <w:r w:rsidRPr="009A0CBE">
              <w:rPr>
                <w:sz w:val="16"/>
              </w:rPr>
              <w:t>Jp</w:t>
            </w:r>
            <w:r w:rsidRPr="00737A03">
              <w:rPr>
                <w:sz w:val="16"/>
              </w:rPr>
              <w:t>,</w:t>
            </w:r>
            <w:r>
              <w:rPr>
                <w:sz w:val="16"/>
              </w:rPr>
              <w:t xml:space="preserve"> </w:t>
            </w:r>
            <w:r w:rsidRPr="00737A03">
              <w:rPr>
                <w:sz w:val="16"/>
              </w:rPr>
              <w:t xml:space="preserve">US (all </w:t>
            </w:r>
            <w:r w:rsidRPr="009A0CBE">
              <w:rPr>
                <w:i/>
                <w:sz w:val="16"/>
              </w:rPr>
              <w:t>p</w:t>
            </w:r>
            <w:r w:rsidRPr="00737A03">
              <w:rPr>
                <w:sz w:val="16"/>
              </w:rPr>
              <w:t>&lt;0.001</w:t>
            </w:r>
            <w:r>
              <w:rPr>
                <w:sz w:val="16"/>
              </w:rPr>
              <w:t>)</w:t>
            </w:r>
          </w:p>
        </w:tc>
      </w:tr>
      <w:tr w:rsidR="004B5852" w:rsidRPr="00CE32A2" w14:paraId="3F743085" w14:textId="77777777" w:rsidTr="00B3099B">
        <w:tc>
          <w:tcPr>
            <w:tcW w:w="717" w:type="pct"/>
            <w:vAlign w:val="center"/>
          </w:tcPr>
          <w:p w14:paraId="26C9C5A1" w14:textId="77777777" w:rsidR="004B5852" w:rsidRPr="00CE32A2" w:rsidRDefault="004B5852" w:rsidP="00B3099B">
            <w:pPr>
              <w:rPr>
                <w:sz w:val="22"/>
                <w:szCs w:val="22"/>
                <w:shd w:val="clear" w:color="auto" w:fill="FFFFFF"/>
              </w:rPr>
            </w:pPr>
          </w:p>
        </w:tc>
        <w:tc>
          <w:tcPr>
            <w:tcW w:w="174" w:type="pct"/>
            <w:vAlign w:val="center"/>
          </w:tcPr>
          <w:p w14:paraId="25AF71C7" w14:textId="77777777" w:rsidR="004B5852" w:rsidRPr="005819C4" w:rsidRDefault="004B5852" w:rsidP="00B3099B">
            <w:pPr>
              <w:jc w:val="center"/>
              <w:rPr>
                <w:sz w:val="22"/>
                <w:szCs w:val="22"/>
                <w:shd w:val="clear" w:color="auto" w:fill="FFFFFF"/>
              </w:rPr>
            </w:pPr>
            <w:r w:rsidRPr="005819C4">
              <w:rPr>
                <w:sz w:val="22"/>
                <w:szCs w:val="22"/>
                <w:shd w:val="clear" w:color="auto" w:fill="FFFFFF"/>
              </w:rPr>
              <w:t>1</w:t>
            </w:r>
          </w:p>
        </w:tc>
        <w:tc>
          <w:tcPr>
            <w:tcW w:w="656" w:type="pct"/>
          </w:tcPr>
          <w:p w14:paraId="56ACB349"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3A66E91D" w14:textId="77777777" w:rsidR="004B5852" w:rsidRPr="005819C4" w:rsidRDefault="004B5852" w:rsidP="00B3099B">
            <w:pPr>
              <w:jc w:val="right"/>
              <w:rPr>
                <w:sz w:val="22"/>
                <w:szCs w:val="22"/>
                <w:shd w:val="clear" w:color="auto" w:fill="FFFFFF"/>
              </w:rPr>
            </w:pPr>
            <w:r w:rsidRPr="00970205">
              <w:rPr>
                <w:color w:val="000000"/>
                <w:sz w:val="22"/>
                <w:szCs w:val="22"/>
              </w:rPr>
              <w:t>53.1</w:t>
            </w:r>
          </w:p>
        </w:tc>
        <w:tc>
          <w:tcPr>
            <w:tcW w:w="656" w:type="pct"/>
            <w:vAlign w:val="center"/>
          </w:tcPr>
          <w:p w14:paraId="1909BF1A" w14:textId="77777777" w:rsidR="004B5852" w:rsidRPr="005819C4" w:rsidRDefault="004B5852" w:rsidP="00B3099B">
            <w:pPr>
              <w:jc w:val="right"/>
              <w:rPr>
                <w:sz w:val="22"/>
                <w:szCs w:val="22"/>
                <w:shd w:val="clear" w:color="auto" w:fill="FFFFFF"/>
              </w:rPr>
            </w:pPr>
            <w:r w:rsidRPr="00970205">
              <w:rPr>
                <w:sz w:val="22"/>
                <w:szCs w:val="22"/>
              </w:rPr>
              <w:t>29.7</w:t>
            </w:r>
          </w:p>
        </w:tc>
        <w:tc>
          <w:tcPr>
            <w:tcW w:w="656" w:type="pct"/>
          </w:tcPr>
          <w:p w14:paraId="25F4F973"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421282AD" w14:textId="77777777" w:rsidR="004B5852" w:rsidRPr="005819C4" w:rsidRDefault="004B5852" w:rsidP="00B3099B">
            <w:pPr>
              <w:jc w:val="right"/>
              <w:rPr>
                <w:sz w:val="22"/>
                <w:szCs w:val="22"/>
                <w:shd w:val="clear" w:color="auto" w:fill="FFFFFF"/>
              </w:rPr>
            </w:pPr>
            <w:r w:rsidRPr="00970205">
              <w:rPr>
                <w:color w:val="000000"/>
                <w:sz w:val="22"/>
                <w:szCs w:val="22"/>
              </w:rPr>
              <w:t>33.1</w:t>
            </w:r>
          </w:p>
        </w:tc>
        <w:tc>
          <w:tcPr>
            <w:tcW w:w="829" w:type="pct"/>
            <w:vMerge/>
            <w:vAlign w:val="center"/>
          </w:tcPr>
          <w:p w14:paraId="5B2BEEC7" w14:textId="77777777" w:rsidR="004B5852" w:rsidRPr="00737A03" w:rsidRDefault="004B5852" w:rsidP="00B3099B">
            <w:pPr>
              <w:jc w:val="center"/>
              <w:rPr>
                <w:color w:val="000000"/>
                <w:sz w:val="16"/>
                <w:szCs w:val="22"/>
              </w:rPr>
            </w:pPr>
          </w:p>
        </w:tc>
      </w:tr>
      <w:tr w:rsidR="004B5852" w:rsidRPr="00CE32A2" w14:paraId="602731BE" w14:textId="77777777" w:rsidTr="00B3099B">
        <w:tc>
          <w:tcPr>
            <w:tcW w:w="717" w:type="pct"/>
            <w:vAlign w:val="center"/>
          </w:tcPr>
          <w:p w14:paraId="67762B31" w14:textId="77777777" w:rsidR="004B5852" w:rsidRPr="00CE32A2" w:rsidRDefault="004B5852" w:rsidP="00B3099B">
            <w:pPr>
              <w:rPr>
                <w:sz w:val="22"/>
                <w:szCs w:val="22"/>
                <w:shd w:val="clear" w:color="auto" w:fill="FFFFFF"/>
              </w:rPr>
            </w:pPr>
          </w:p>
        </w:tc>
        <w:tc>
          <w:tcPr>
            <w:tcW w:w="174" w:type="pct"/>
            <w:vAlign w:val="center"/>
          </w:tcPr>
          <w:p w14:paraId="3B63DE94" w14:textId="77777777" w:rsidR="004B5852" w:rsidRPr="005819C4" w:rsidRDefault="004B5852" w:rsidP="00B3099B">
            <w:pPr>
              <w:jc w:val="center"/>
              <w:rPr>
                <w:sz w:val="22"/>
                <w:szCs w:val="22"/>
                <w:shd w:val="clear" w:color="auto" w:fill="FFFFFF"/>
              </w:rPr>
            </w:pPr>
            <w:r w:rsidRPr="005819C4">
              <w:rPr>
                <w:sz w:val="22"/>
                <w:szCs w:val="22"/>
                <w:shd w:val="clear" w:color="auto" w:fill="FFFFFF"/>
              </w:rPr>
              <w:t>2</w:t>
            </w:r>
          </w:p>
        </w:tc>
        <w:tc>
          <w:tcPr>
            <w:tcW w:w="656" w:type="pct"/>
          </w:tcPr>
          <w:p w14:paraId="015E9D33"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25C1614E" w14:textId="77777777" w:rsidR="004B5852" w:rsidRPr="005819C4" w:rsidRDefault="004B5852" w:rsidP="00B3099B">
            <w:pPr>
              <w:jc w:val="right"/>
              <w:rPr>
                <w:sz w:val="22"/>
                <w:szCs w:val="22"/>
                <w:shd w:val="clear" w:color="auto" w:fill="FFFFFF"/>
              </w:rPr>
            </w:pPr>
            <w:r w:rsidRPr="00970205">
              <w:rPr>
                <w:color w:val="000000"/>
                <w:sz w:val="22"/>
                <w:szCs w:val="22"/>
              </w:rPr>
              <w:t>6.7</w:t>
            </w:r>
          </w:p>
        </w:tc>
        <w:tc>
          <w:tcPr>
            <w:tcW w:w="656" w:type="pct"/>
            <w:vAlign w:val="center"/>
          </w:tcPr>
          <w:p w14:paraId="06BEB486" w14:textId="77777777" w:rsidR="004B5852" w:rsidRPr="005819C4" w:rsidRDefault="004B5852" w:rsidP="00B3099B">
            <w:pPr>
              <w:jc w:val="right"/>
              <w:rPr>
                <w:sz w:val="22"/>
                <w:szCs w:val="22"/>
                <w:shd w:val="clear" w:color="auto" w:fill="FFFFFF"/>
              </w:rPr>
            </w:pPr>
            <w:r w:rsidRPr="00970205">
              <w:rPr>
                <w:sz w:val="22"/>
                <w:szCs w:val="22"/>
              </w:rPr>
              <w:t>7.8</w:t>
            </w:r>
          </w:p>
        </w:tc>
        <w:tc>
          <w:tcPr>
            <w:tcW w:w="656" w:type="pct"/>
          </w:tcPr>
          <w:p w14:paraId="5D2026B9"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357A6595" w14:textId="77777777" w:rsidR="004B5852" w:rsidRPr="005819C4" w:rsidRDefault="004B5852" w:rsidP="00B3099B">
            <w:pPr>
              <w:jc w:val="right"/>
              <w:rPr>
                <w:sz w:val="22"/>
                <w:szCs w:val="22"/>
                <w:shd w:val="clear" w:color="auto" w:fill="FFFFFF"/>
              </w:rPr>
            </w:pPr>
            <w:r w:rsidRPr="00970205">
              <w:rPr>
                <w:color w:val="000000"/>
                <w:sz w:val="22"/>
                <w:szCs w:val="22"/>
              </w:rPr>
              <w:t>3.2</w:t>
            </w:r>
          </w:p>
        </w:tc>
        <w:tc>
          <w:tcPr>
            <w:tcW w:w="829" w:type="pct"/>
            <w:vMerge/>
            <w:vAlign w:val="center"/>
          </w:tcPr>
          <w:p w14:paraId="3397C32C" w14:textId="77777777" w:rsidR="004B5852" w:rsidRPr="00737A03" w:rsidRDefault="004B5852" w:rsidP="00B3099B">
            <w:pPr>
              <w:jc w:val="center"/>
              <w:rPr>
                <w:color w:val="000000"/>
                <w:sz w:val="16"/>
                <w:szCs w:val="22"/>
              </w:rPr>
            </w:pPr>
          </w:p>
        </w:tc>
      </w:tr>
      <w:tr w:rsidR="004B5852" w:rsidRPr="00CE32A2" w14:paraId="0A692948" w14:textId="77777777" w:rsidTr="00B3099B">
        <w:tc>
          <w:tcPr>
            <w:tcW w:w="717" w:type="pct"/>
            <w:vAlign w:val="center"/>
          </w:tcPr>
          <w:p w14:paraId="5AAC4028" w14:textId="77777777" w:rsidR="004B5852" w:rsidRPr="00CE32A2" w:rsidRDefault="004B5852" w:rsidP="00B3099B">
            <w:pPr>
              <w:rPr>
                <w:sz w:val="22"/>
                <w:szCs w:val="22"/>
                <w:shd w:val="clear" w:color="auto" w:fill="FFFFFF"/>
              </w:rPr>
            </w:pPr>
            <w:r w:rsidRPr="00CE32A2">
              <w:rPr>
                <w:sz w:val="22"/>
                <w:szCs w:val="22"/>
                <w:shd w:val="clear" w:color="auto" w:fill="FFFFFF"/>
              </w:rPr>
              <w:t>Often loses temper</w:t>
            </w:r>
          </w:p>
        </w:tc>
        <w:tc>
          <w:tcPr>
            <w:tcW w:w="174" w:type="pct"/>
            <w:vAlign w:val="center"/>
          </w:tcPr>
          <w:p w14:paraId="1D261B38" w14:textId="77777777" w:rsidR="004B5852" w:rsidRPr="005819C4" w:rsidRDefault="004B5852" w:rsidP="00B3099B">
            <w:pPr>
              <w:jc w:val="center"/>
              <w:rPr>
                <w:sz w:val="22"/>
                <w:szCs w:val="22"/>
                <w:shd w:val="clear" w:color="auto" w:fill="FFFFFF"/>
              </w:rPr>
            </w:pPr>
            <w:r w:rsidRPr="00970205">
              <w:rPr>
                <w:sz w:val="22"/>
                <w:szCs w:val="22"/>
              </w:rPr>
              <w:t>0</w:t>
            </w:r>
          </w:p>
        </w:tc>
        <w:tc>
          <w:tcPr>
            <w:tcW w:w="656" w:type="pct"/>
          </w:tcPr>
          <w:p w14:paraId="59EF0145" w14:textId="77777777" w:rsidR="004B5852" w:rsidRPr="00970205" w:rsidRDefault="004B5852" w:rsidP="00B3099B">
            <w:pPr>
              <w:jc w:val="center"/>
              <w:rPr>
                <w:sz w:val="22"/>
                <w:szCs w:val="22"/>
              </w:rPr>
            </w:pPr>
            <w:r w:rsidRPr="00875177">
              <w:t>-</w:t>
            </w:r>
          </w:p>
        </w:tc>
        <w:tc>
          <w:tcPr>
            <w:tcW w:w="656" w:type="pct"/>
            <w:vAlign w:val="center"/>
          </w:tcPr>
          <w:p w14:paraId="41108A4F" w14:textId="77777777" w:rsidR="004B5852" w:rsidRPr="005819C4" w:rsidRDefault="004B5852" w:rsidP="00B3099B">
            <w:pPr>
              <w:jc w:val="right"/>
              <w:rPr>
                <w:sz w:val="22"/>
                <w:szCs w:val="22"/>
                <w:shd w:val="clear" w:color="auto" w:fill="FFFFFF"/>
              </w:rPr>
            </w:pPr>
            <w:r w:rsidRPr="00970205">
              <w:rPr>
                <w:color w:val="000000"/>
                <w:sz w:val="22"/>
                <w:szCs w:val="22"/>
              </w:rPr>
              <w:t>52.6</w:t>
            </w:r>
          </w:p>
        </w:tc>
        <w:tc>
          <w:tcPr>
            <w:tcW w:w="656" w:type="pct"/>
            <w:vAlign w:val="center"/>
          </w:tcPr>
          <w:p w14:paraId="3296D529" w14:textId="77777777" w:rsidR="004B5852" w:rsidRPr="005819C4" w:rsidRDefault="004B5852" w:rsidP="00B3099B">
            <w:pPr>
              <w:jc w:val="right"/>
              <w:rPr>
                <w:sz w:val="22"/>
                <w:szCs w:val="22"/>
                <w:shd w:val="clear" w:color="auto" w:fill="FFFFFF"/>
              </w:rPr>
            </w:pPr>
            <w:r w:rsidRPr="00970205">
              <w:rPr>
                <w:color w:val="000000"/>
                <w:sz w:val="22"/>
                <w:szCs w:val="22"/>
              </w:rPr>
              <w:t>67.1</w:t>
            </w:r>
          </w:p>
        </w:tc>
        <w:tc>
          <w:tcPr>
            <w:tcW w:w="656" w:type="pct"/>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3766" w14:textId="77777777" w:rsidR="004B5852" w:rsidRPr="005819C4" w:rsidRDefault="004B5852" w:rsidP="00B3099B">
            <w:pPr>
              <w:jc w:val="right"/>
              <w:rPr>
                <w:sz w:val="22"/>
                <w:szCs w:val="22"/>
                <w:shd w:val="clear" w:color="auto" w:fill="FFFFFF"/>
              </w:rPr>
            </w:pPr>
            <w:r w:rsidRPr="0007634C">
              <w:rPr>
                <w:color w:val="000000"/>
                <w:sz w:val="22"/>
                <w:szCs w:val="22"/>
              </w:rPr>
              <w:t>77.1</w:t>
            </w:r>
          </w:p>
        </w:tc>
        <w:tc>
          <w:tcPr>
            <w:tcW w:w="829" w:type="pct"/>
            <w:vMerge w:val="restart"/>
            <w:vAlign w:val="center"/>
          </w:tcPr>
          <w:p w14:paraId="1AC81F65" w14:textId="77777777" w:rsidR="004B5852" w:rsidRPr="00737A03" w:rsidRDefault="004B5852" w:rsidP="00B3099B">
            <w:pPr>
              <w:jc w:val="center"/>
              <w:rPr>
                <w:color w:val="000000"/>
                <w:sz w:val="16"/>
                <w:szCs w:val="22"/>
              </w:rPr>
            </w:pPr>
            <w:r w:rsidRPr="00737A03">
              <w:rPr>
                <w:sz w:val="16"/>
              </w:rPr>
              <w:t>Ch</w:t>
            </w:r>
            <w:r>
              <w:rPr>
                <w:sz w:val="16"/>
              </w:rPr>
              <w:t>&gt;</w:t>
            </w:r>
            <w:r w:rsidRPr="009A0CBE">
              <w:rPr>
                <w:sz w:val="16"/>
              </w:rPr>
              <w:t>Jp</w:t>
            </w:r>
            <w:r w:rsidRPr="00737A03">
              <w:rPr>
                <w:sz w:val="16"/>
              </w:rPr>
              <w:t>&gt;US</w:t>
            </w:r>
            <w:r>
              <w:rPr>
                <w:sz w:val="16"/>
              </w:rPr>
              <w:t xml:space="preserve"> </w:t>
            </w:r>
            <w:r w:rsidRPr="00737A03">
              <w:rPr>
                <w:sz w:val="16"/>
              </w:rPr>
              <w:t xml:space="preserve">(all </w:t>
            </w:r>
            <w:r w:rsidRPr="009A0CBE">
              <w:rPr>
                <w:i/>
                <w:sz w:val="16"/>
              </w:rPr>
              <w:t>p</w:t>
            </w:r>
            <w:r w:rsidRPr="00737A03">
              <w:rPr>
                <w:sz w:val="16"/>
              </w:rPr>
              <w:t>&lt;0.001)</w:t>
            </w:r>
          </w:p>
        </w:tc>
      </w:tr>
      <w:tr w:rsidR="004B5852" w:rsidRPr="00CE32A2" w14:paraId="5385592E" w14:textId="77777777" w:rsidTr="00B3099B">
        <w:tc>
          <w:tcPr>
            <w:tcW w:w="717" w:type="pct"/>
            <w:vAlign w:val="center"/>
          </w:tcPr>
          <w:p w14:paraId="7F615C7C" w14:textId="77777777" w:rsidR="004B5852" w:rsidRPr="00CE32A2" w:rsidRDefault="004B5852" w:rsidP="00B3099B">
            <w:pPr>
              <w:rPr>
                <w:sz w:val="22"/>
                <w:szCs w:val="22"/>
                <w:shd w:val="clear" w:color="auto" w:fill="FFFFFF"/>
              </w:rPr>
            </w:pPr>
          </w:p>
        </w:tc>
        <w:tc>
          <w:tcPr>
            <w:tcW w:w="174" w:type="pct"/>
            <w:vAlign w:val="center"/>
          </w:tcPr>
          <w:p w14:paraId="5525FD21" w14:textId="77777777" w:rsidR="004B5852" w:rsidRPr="005819C4" w:rsidRDefault="004B5852" w:rsidP="00B3099B">
            <w:pPr>
              <w:jc w:val="center"/>
              <w:rPr>
                <w:sz w:val="22"/>
                <w:szCs w:val="22"/>
                <w:shd w:val="clear" w:color="auto" w:fill="FFFFFF"/>
              </w:rPr>
            </w:pPr>
            <w:r w:rsidRPr="005819C4">
              <w:rPr>
                <w:sz w:val="22"/>
                <w:szCs w:val="22"/>
                <w:shd w:val="clear" w:color="auto" w:fill="FFFFFF"/>
              </w:rPr>
              <w:t>1</w:t>
            </w:r>
          </w:p>
        </w:tc>
        <w:tc>
          <w:tcPr>
            <w:tcW w:w="656" w:type="pct"/>
          </w:tcPr>
          <w:p w14:paraId="2D6CAD09"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3D370823" w14:textId="77777777" w:rsidR="004B5852" w:rsidRPr="005819C4" w:rsidRDefault="004B5852" w:rsidP="00B3099B">
            <w:pPr>
              <w:jc w:val="right"/>
              <w:rPr>
                <w:sz w:val="22"/>
                <w:szCs w:val="22"/>
                <w:shd w:val="clear" w:color="auto" w:fill="FFFFFF"/>
              </w:rPr>
            </w:pPr>
            <w:r w:rsidRPr="00970205">
              <w:rPr>
                <w:color w:val="000000"/>
                <w:sz w:val="22"/>
                <w:szCs w:val="22"/>
              </w:rPr>
              <w:t>39.7</w:t>
            </w:r>
          </w:p>
        </w:tc>
        <w:tc>
          <w:tcPr>
            <w:tcW w:w="656" w:type="pct"/>
            <w:vAlign w:val="center"/>
          </w:tcPr>
          <w:p w14:paraId="034006B4" w14:textId="77777777" w:rsidR="004B5852" w:rsidRPr="005819C4" w:rsidRDefault="004B5852" w:rsidP="00B3099B">
            <w:pPr>
              <w:jc w:val="right"/>
              <w:rPr>
                <w:sz w:val="22"/>
                <w:szCs w:val="22"/>
                <w:shd w:val="clear" w:color="auto" w:fill="FFFFFF"/>
              </w:rPr>
            </w:pPr>
            <w:r w:rsidRPr="00970205">
              <w:rPr>
                <w:color w:val="000000"/>
                <w:sz w:val="22"/>
                <w:szCs w:val="22"/>
              </w:rPr>
              <w:t>24.8</w:t>
            </w:r>
          </w:p>
        </w:tc>
        <w:tc>
          <w:tcPr>
            <w:tcW w:w="656" w:type="pct"/>
          </w:tcPr>
          <w:p w14:paraId="4A4DCEA7"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25FDBD68" w14:textId="77777777" w:rsidR="004B5852" w:rsidRPr="005819C4" w:rsidRDefault="004B5852" w:rsidP="00B3099B">
            <w:pPr>
              <w:jc w:val="right"/>
              <w:rPr>
                <w:sz w:val="22"/>
                <w:szCs w:val="22"/>
                <w:shd w:val="clear" w:color="auto" w:fill="FFFFFF"/>
              </w:rPr>
            </w:pPr>
            <w:r w:rsidRPr="00970205">
              <w:rPr>
                <w:color w:val="000000"/>
                <w:sz w:val="22"/>
                <w:szCs w:val="22"/>
              </w:rPr>
              <w:t>18.7</w:t>
            </w:r>
          </w:p>
        </w:tc>
        <w:tc>
          <w:tcPr>
            <w:tcW w:w="829" w:type="pct"/>
            <w:vMerge/>
            <w:vAlign w:val="center"/>
          </w:tcPr>
          <w:p w14:paraId="1257F602" w14:textId="77777777" w:rsidR="004B5852" w:rsidRPr="00737A03" w:rsidRDefault="004B5852" w:rsidP="00B3099B">
            <w:pPr>
              <w:jc w:val="center"/>
              <w:rPr>
                <w:color w:val="000000"/>
                <w:sz w:val="16"/>
                <w:szCs w:val="22"/>
              </w:rPr>
            </w:pPr>
          </w:p>
        </w:tc>
      </w:tr>
      <w:tr w:rsidR="004B5852" w:rsidRPr="00CE32A2" w14:paraId="0E2E006C" w14:textId="77777777" w:rsidTr="00B3099B">
        <w:tc>
          <w:tcPr>
            <w:tcW w:w="717" w:type="pct"/>
            <w:vAlign w:val="center"/>
          </w:tcPr>
          <w:p w14:paraId="3DBB2B3A" w14:textId="77777777" w:rsidR="004B5852" w:rsidRPr="00CE32A2" w:rsidRDefault="004B5852" w:rsidP="00B3099B">
            <w:pPr>
              <w:rPr>
                <w:sz w:val="22"/>
                <w:szCs w:val="22"/>
                <w:shd w:val="clear" w:color="auto" w:fill="FFFFFF"/>
              </w:rPr>
            </w:pPr>
          </w:p>
        </w:tc>
        <w:tc>
          <w:tcPr>
            <w:tcW w:w="174" w:type="pct"/>
            <w:vAlign w:val="center"/>
          </w:tcPr>
          <w:p w14:paraId="50763107" w14:textId="77777777" w:rsidR="004B5852" w:rsidRPr="005819C4" w:rsidRDefault="004B5852" w:rsidP="00B3099B">
            <w:pPr>
              <w:jc w:val="center"/>
              <w:rPr>
                <w:sz w:val="22"/>
                <w:szCs w:val="22"/>
                <w:shd w:val="clear" w:color="auto" w:fill="FFFFFF"/>
              </w:rPr>
            </w:pPr>
            <w:r w:rsidRPr="005819C4">
              <w:rPr>
                <w:sz w:val="22"/>
                <w:szCs w:val="22"/>
                <w:shd w:val="clear" w:color="auto" w:fill="FFFFFF"/>
              </w:rPr>
              <w:t>2</w:t>
            </w:r>
          </w:p>
        </w:tc>
        <w:tc>
          <w:tcPr>
            <w:tcW w:w="656" w:type="pct"/>
          </w:tcPr>
          <w:p w14:paraId="6143B507"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7D84C56D" w14:textId="77777777" w:rsidR="004B5852" w:rsidRPr="005819C4" w:rsidRDefault="004B5852" w:rsidP="00B3099B">
            <w:pPr>
              <w:jc w:val="right"/>
              <w:rPr>
                <w:sz w:val="22"/>
                <w:szCs w:val="22"/>
                <w:shd w:val="clear" w:color="auto" w:fill="FFFFFF"/>
              </w:rPr>
            </w:pPr>
            <w:r w:rsidRPr="00970205">
              <w:rPr>
                <w:color w:val="000000"/>
                <w:sz w:val="22"/>
                <w:szCs w:val="22"/>
              </w:rPr>
              <w:t>7.7</w:t>
            </w:r>
          </w:p>
        </w:tc>
        <w:tc>
          <w:tcPr>
            <w:tcW w:w="656" w:type="pct"/>
            <w:vAlign w:val="center"/>
          </w:tcPr>
          <w:p w14:paraId="6996D869" w14:textId="77777777" w:rsidR="004B5852" w:rsidRPr="005819C4" w:rsidRDefault="004B5852" w:rsidP="00B3099B">
            <w:pPr>
              <w:jc w:val="right"/>
              <w:rPr>
                <w:sz w:val="22"/>
                <w:szCs w:val="22"/>
                <w:shd w:val="clear" w:color="auto" w:fill="FFFFFF"/>
              </w:rPr>
            </w:pPr>
            <w:r w:rsidRPr="00970205">
              <w:rPr>
                <w:color w:val="000000"/>
                <w:sz w:val="22"/>
                <w:szCs w:val="22"/>
              </w:rPr>
              <w:t>8.1</w:t>
            </w:r>
          </w:p>
        </w:tc>
        <w:tc>
          <w:tcPr>
            <w:tcW w:w="656" w:type="pct"/>
          </w:tcPr>
          <w:p w14:paraId="5AF9310C"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24DB91B2" w14:textId="77777777" w:rsidR="004B5852" w:rsidRPr="005819C4" w:rsidRDefault="004B5852" w:rsidP="00B3099B">
            <w:pPr>
              <w:jc w:val="right"/>
              <w:rPr>
                <w:sz w:val="22"/>
                <w:szCs w:val="22"/>
                <w:shd w:val="clear" w:color="auto" w:fill="FFFFFF"/>
              </w:rPr>
            </w:pPr>
            <w:r w:rsidRPr="00970205">
              <w:rPr>
                <w:color w:val="000000"/>
                <w:sz w:val="22"/>
                <w:szCs w:val="22"/>
              </w:rPr>
              <w:t>4.2</w:t>
            </w:r>
          </w:p>
        </w:tc>
        <w:tc>
          <w:tcPr>
            <w:tcW w:w="829" w:type="pct"/>
            <w:vMerge/>
            <w:vAlign w:val="center"/>
          </w:tcPr>
          <w:p w14:paraId="16712891" w14:textId="77777777" w:rsidR="004B5852" w:rsidRPr="00737A03" w:rsidRDefault="004B5852" w:rsidP="00B3099B">
            <w:pPr>
              <w:jc w:val="center"/>
              <w:rPr>
                <w:color w:val="000000"/>
                <w:sz w:val="16"/>
                <w:szCs w:val="22"/>
              </w:rPr>
            </w:pPr>
          </w:p>
        </w:tc>
      </w:tr>
      <w:tr w:rsidR="004B5852" w:rsidRPr="00CE32A2" w14:paraId="75441AD9" w14:textId="77777777" w:rsidTr="00B3099B">
        <w:tc>
          <w:tcPr>
            <w:tcW w:w="717" w:type="pct"/>
            <w:vAlign w:val="center"/>
          </w:tcPr>
          <w:p w14:paraId="15D2D620" w14:textId="77777777" w:rsidR="004B5852" w:rsidRPr="00CE32A2" w:rsidRDefault="004B5852" w:rsidP="00B3099B">
            <w:pPr>
              <w:rPr>
                <w:sz w:val="22"/>
                <w:szCs w:val="22"/>
                <w:shd w:val="clear" w:color="auto" w:fill="FFFFFF"/>
              </w:rPr>
            </w:pPr>
            <w:r w:rsidRPr="00CE32A2">
              <w:rPr>
                <w:sz w:val="22"/>
                <w:szCs w:val="22"/>
                <w:shd w:val="clear" w:color="auto" w:fill="FFFFFF"/>
              </w:rPr>
              <w:t>Stays angry</w:t>
            </w:r>
          </w:p>
        </w:tc>
        <w:tc>
          <w:tcPr>
            <w:tcW w:w="174" w:type="pct"/>
            <w:vAlign w:val="center"/>
          </w:tcPr>
          <w:p w14:paraId="546D4784" w14:textId="77777777" w:rsidR="004B5852" w:rsidRPr="005819C4" w:rsidRDefault="004B5852" w:rsidP="00B3099B">
            <w:pPr>
              <w:jc w:val="center"/>
              <w:rPr>
                <w:sz w:val="22"/>
                <w:szCs w:val="22"/>
                <w:shd w:val="clear" w:color="auto" w:fill="FFFFFF"/>
              </w:rPr>
            </w:pPr>
            <w:r w:rsidRPr="00970205">
              <w:rPr>
                <w:sz w:val="22"/>
                <w:szCs w:val="22"/>
              </w:rPr>
              <w:t>0</w:t>
            </w:r>
          </w:p>
        </w:tc>
        <w:tc>
          <w:tcPr>
            <w:tcW w:w="656" w:type="pct"/>
          </w:tcPr>
          <w:p w14:paraId="7F5D6E23" w14:textId="77777777" w:rsidR="004B5852" w:rsidRPr="00970205" w:rsidRDefault="004B5852" w:rsidP="00B3099B">
            <w:pPr>
              <w:jc w:val="center"/>
              <w:rPr>
                <w:sz w:val="22"/>
                <w:szCs w:val="22"/>
              </w:rPr>
            </w:pPr>
            <w:r w:rsidRPr="00875177">
              <w:t>-</w:t>
            </w:r>
          </w:p>
        </w:tc>
        <w:tc>
          <w:tcPr>
            <w:tcW w:w="656" w:type="pct"/>
            <w:vAlign w:val="center"/>
          </w:tcPr>
          <w:p w14:paraId="3E573717" w14:textId="77777777" w:rsidR="004B5852" w:rsidRPr="005819C4" w:rsidRDefault="004B5852" w:rsidP="00B3099B">
            <w:pPr>
              <w:jc w:val="right"/>
              <w:rPr>
                <w:sz w:val="22"/>
                <w:szCs w:val="22"/>
                <w:shd w:val="clear" w:color="auto" w:fill="FFFFFF"/>
              </w:rPr>
            </w:pPr>
            <w:r w:rsidRPr="00970205">
              <w:rPr>
                <w:color w:val="000000"/>
                <w:sz w:val="22"/>
                <w:szCs w:val="22"/>
              </w:rPr>
              <w:t>79.4</w:t>
            </w:r>
          </w:p>
        </w:tc>
        <w:tc>
          <w:tcPr>
            <w:tcW w:w="656" w:type="pct"/>
            <w:vAlign w:val="center"/>
          </w:tcPr>
          <w:p w14:paraId="32E9494B" w14:textId="77777777" w:rsidR="004B5852" w:rsidRPr="005819C4" w:rsidRDefault="004B5852" w:rsidP="00B3099B">
            <w:pPr>
              <w:jc w:val="right"/>
              <w:rPr>
                <w:sz w:val="22"/>
                <w:szCs w:val="22"/>
                <w:shd w:val="clear" w:color="auto" w:fill="FFFFFF"/>
              </w:rPr>
            </w:pPr>
            <w:r w:rsidRPr="00970205">
              <w:rPr>
                <w:color w:val="000000"/>
                <w:sz w:val="22"/>
                <w:szCs w:val="22"/>
              </w:rPr>
              <w:t>84.1</w:t>
            </w:r>
          </w:p>
        </w:tc>
        <w:tc>
          <w:tcPr>
            <w:tcW w:w="656" w:type="pct"/>
          </w:tcPr>
          <w:p w14:paraId="3AAD9737" w14:textId="77777777" w:rsidR="004B5852" w:rsidRPr="00970205" w:rsidRDefault="004B5852" w:rsidP="00B3099B">
            <w:pPr>
              <w:jc w:val="center"/>
              <w:rPr>
                <w:sz w:val="22"/>
                <w:szCs w:val="22"/>
              </w:rPr>
            </w:pPr>
            <w:r w:rsidRPr="004D1E70">
              <w:t>-</w:t>
            </w:r>
          </w:p>
        </w:tc>
        <w:tc>
          <w:tcPr>
            <w:tcW w:w="656" w:type="pct"/>
            <w:vAlign w:val="center"/>
          </w:tcPr>
          <w:p w14:paraId="308EF212" w14:textId="77777777" w:rsidR="004B5852" w:rsidRPr="005819C4" w:rsidRDefault="004B5852" w:rsidP="00B3099B">
            <w:pPr>
              <w:jc w:val="right"/>
              <w:rPr>
                <w:sz w:val="22"/>
                <w:szCs w:val="22"/>
                <w:shd w:val="clear" w:color="auto" w:fill="FFFFFF"/>
              </w:rPr>
            </w:pPr>
            <w:r w:rsidRPr="0007634C">
              <w:rPr>
                <w:color w:val="000000"/>
                <w:sz w:val="22"/>
                <w:szCs w:val="22"/>
              </w:rPr>
              <w:t>94.5</w:t>
            </w:r>
          </w:p>
        </w:tc>
        <w:tc>
          <w:tcPr>
            <w:tcW w:w="829" w:type="pct"/>
            <w:vMerge w:val="restart"/>
            <w:vAlign w:val="center"/>
          </w:tcPr>
          <w:p w14:paraId="76E97540" w14:textId="77777777" w:rsidR="004B5852" w:rsidRPr="00737A03" w:rsidRDefault="004B5852" w:rsidP="00B3099B">
            <w:pPr>
              <w:jc w:val="center"/>
              <w:rPr>
                <w:color w:val="000000"/>
                <w:sz w:val="16"/>
                <w:szCs w:val="22"/>
              </w:rPr>
            </w:pPr>
            <w:r w:rsidRPr="00737A03">
              <w:rPr>
                <w:sz w:val="16"/>
              </w:rPr>
              <w:t>Ch,</w:t>
            </w:r>
            <w:r>
              <w:rPr>
                <w:sz w:val="16"/>
              </w:rPr>
              <w:t xml:space="preserve"> </w:t>
            </w:r>
            <w:r w:rsidRPr="009A0CBE">
              <w:rPr>
                <w:sz w:val="16"/>
              </w:rPr>
              <w:t>Jp</w:t>
            </w:r>
            <w:r w:rsidRPr="00737A03">
              <w:rPr>
                <w:sz w:val="16"/>
              </w:rPr>
              <w:t>&gt;US</w:t>
            </w:r>
            <w:r>
              <w:rPr>
                <w:sz w:val="16"/>
              </w:rPr>
              <w:t xml:space="preserve"> </w:t>
            </w:r>
            <w:r w:rsidRPr="00737A03">
              <w:rPr>
                <w:sz w:val="16"/>
              </w:rPr>
              <w:t xml:space="preserve">(all </w:t>
            </w:r>
            <w:r w:rsidRPr="009A0CBE">
              <w:rPr>
                <w:i/>
                <w:sz w:val="16"/>
              </w:rPr>
              <w:t>p</w:t>
            </w:r>
            <w:r w:rsidRPr="00737A03">
              <w:rPr>
                <w:sz w:val="16"/>
              </w:rPr>
              <w:t>&lt;0.001)</w:t>
            </w:r>
          </w:p>
        </w:tc>
      </w:tr>
      <w:tr w:rsidR="004B5852" w:rsidRPr="00CE32A2" w14:paraId="0691CD24" w14:textId="77777777" w:rsidTr="00B3099B">
        <w:tc>
          <w:tcPr>
            <w:tcW w:w="717" w:type="pct"/>
            <w:vAlign w:val="center"/>
          </w:tcPr>
          <w:p w14:paraId="50C6E7C0" w14:textId="77777777" w:rsidR="004B5852" w:rsidRPr="00CE32A2" w:rsidRDefault="004B5852" w:rsidP="00B3099B">
            <w:pPr>
              <w:rPr>
                <w:sz w:val="22"/>
                <w:szCs w:val="22"/>
                <w:shd w:val="clear" w:color="auto" w:fill="FFFFFF"/>
              </w:rPr>
            </w:pPr>
          </w:p>
        </w:tc>
        <w:tc>
          <w:tcPr>
            <w:tcW w:w="174" w:type="pct"/>
            <w:vAlign w:val="center"/>
          </w:tcPr>
          <w:p w14:paraId="79B58065" w14:textId="77777777" w:rsidR="004B5852" w:rsidRPr="005819C4" w:rsidRDefault="004B5852" w:rsidP="00B3099B">
            <w:pPr>
              <w:jc w:val="center"/>
              <w:rPr>
                <w:sz w:val="22"/>
                <w:szCs w:val="22"/>
                <w:shd w:val="clear" w:color="auto" w:fill="FFFFFF"/>
              </w:rPr>
            </w:pPr>
            <w:r w:rsidRPr="005819C4">
              <w:rPr>
                <w:sz w:val="22"/>
                <w:szCs w:val="22"/>
                <w:shd w:val="clear" w:color="auto" w:fill="FFFFFF"/>
              </w:rPr>
              <w:t>1</w:t>
            </w:r>
          </w:p>
        </w:tc>
        <w:tc>
          <w:tcPr>
            <w:tcW w:w="656" w:type="pct"/>
          </w:tcPr>
          <w:p w14:paraId="430BA61E"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30F09774" w14:textId="77777777" w:rsidR="004B5852" w:rsidRPr="005819C4" w:rsidRDefault="004B5852" w:rsidP="00B3099B">
            <w:pPr>
              <w:jc w:val="right"/>
              <w:rPr>
                <w:sz w:val="22"/>
                <w:szCs w:val="22"/>
                <w:shd w:val="clear" w:color="auto" w:fill="FFFFFF"/>
              </w:rPr>
            </w:pPr>
            <w:r w:rsidRPr="00970205">
              <w:rPr>
                <w:color w:val="000000"/>
                <w:sz w:val="22"/>
                <w:szCs w:val="22"/>
              </w:rPr>
              <w:t>19.1</w:t>
            </w:r>
          </w:p>
        </w:tc>
        <w:tc>
          <w:tcPr>
            <w:tcW w:w="656" w:type="pct"/>
            <w:vAlign w:val="center"/>
          </w:tcPr>
          <w:p w14:paraId="18EF0CB8" w14:textId="77777777" w:rsidR="004B5852" w:rsidRPr="005819C4" w:rsidRDefault="004B5852" w:rsidP="00B3099B">
            <w:pPr>
              <w:jc w:val="right"/>
              <w:rPr>
                <w:sz w:val="22"/>
                <w:szCs w:val="22"/>
                <w:shd w:val="clear" w:color="auto" w:fill="FFFFFF"/>
              </w:rPr>
            </w:pPr>
            <w:r w:rsidRPr="00970205">
              <w:rPr>
                <w:color w:val="000000"/>
                <w:sz w:val="22"/>
                <w:szCs w:val="22"/>
              </w:rPr>
              <w:t>12.3</w:t>
            </w:r>
          </w:p>
        </w:tc>
        <w:tc>
          <w:tcPr>
            <w:tcW w:w="656" w:type="pct"/>
          </w:tcPr>
          <w:p w14:paraId="25C79E93"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761B3BED" w14:textId="77777777" w:rsidR="004B5852" w:rsidRPr="005819C4" w:rsidRDefault="004B5852" w:rsidP="00B3099B">
            <w:pPr>
              <w:jc w:val="right"/>
              <w:rPr>
                <w:sz w:val="22"/>
                <w:szCs w:val="22"/>
                <w:shd w:val="clear" w:color="auto" w:fill="FFFFFF"/>
              </w:rPr>
            </w:pPr>
            <w:r w:rsidRPr="00970205">
              <w:rPr>
                <w:color w:val="000000"/>
                <w:sz w:val="22"/>
                <w:szCs w:val="22"/>
              </w:rPr>
              <w:t>5.3</w:t>
            </w:r>
          </w:p>
        </w:tc>
        <w:tc>
          <w:tcPr>
            <w:tcW w:w="829" w:type="pct"/>
            <w:vMerge/>
            <w:vAlign w:val="center"/>
          </w:tcPr>
          <w:p w14:paraId="0DD6DABA" w14:textId="77777777" w:rsidR="004B5852" w:rsidRPr="00737A03" w:rsidRDefault="004B5852" w:rsidP="00B3099B">
            <w:pPr>
              <w:jc w:val="center"/>
              <w:rPr>
                <w:color w:val="000000"/>
                <w:sz w:val="16"/>
                <w:szCs w:val="22"/>
              </w:rPr>
            </w:pPr>
          </w:p>
        </w:tc>
      </w:tr>
      <w:tr w:rsidR="004B5852" w:rsidRPr="00CE32A2" w14:paraId="7D88EEF3" w14:textId="77777777" w:rsidTr="00B3099B">
        <w:tc>
          <w:tcPr>
            <w:tcW w:w="717" w:type="pct"/>
            <w:vAlign w:val="center"/>
          </w:tcPr>
          <w:p w14:paraId="2277A111" w14:textId="77777777" w:rsidR="004B5852" w:rsidRPr="00CE32A2" w:rsidRDefault="004B5852" w:rsidP="00B3099B">
            <w:pPr>
              <w:rPr>
                <w:sz w:val="22"/>
                <w:szCs w:val="22"/>
                <w:shd w:val="clear" w:color="auto" w:fill="FFFFFF"/>
              </w:rPr>
            </w:pPr>
          </w:p>
        </w:tc>
        <w:tc>
          <w:tcPr>
            <w:tcW w:w="174" w:type="pct"/>
            <w:vAlign w:val="center"/>
          </w:tcPr>
          <w:p w14:paraId="626ACB7C" w14:textId="77777777" w:rsidR="004B5852" w:rsidRPr="005819C4" w:rsidRDefault="004B5852" w:rsidP="00B3099B">
            <w:pPr>
              <w:jc w:val="center"/>
              <w:rPr>
                <w:sz w:val="22"/>
                <w:szCs w:val="22"/>
                <w:shd w:val="clear" w:color="auto" w:fill="FFFFFF"/>
              </w:rPr>
            </w:pPr>
            <w:r w:rsidRPr="005819C4">
              <w:rPr>
                <w:sz w:val="22"/>
                <w:szCs w:val="22"/>
                <w:shd w:val="clear" w:color="auto" w:fill="FFFFFF"/>
              </w:rPr>
              <w:t>2</w:t>
            </w:r>
          </w:p>
        </w:tc>
        <w:tc>
          <w:tcPr>
            <w:tcW w:w="656" w:type="pct"/>
          </w:tcPr>
          <w:p w14:paraId="360D4ABC"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36F8DD59" w14:textId="77777777" w:rsidR="004B5852" w:rsidRPr="005819C4" w:rsidRDefault="004B5852" w:rsidP="00B3099B">
            <w:pPr>
              <w:jc w:val="right"/>
              <w:rPr>
                <w:sz w:val="22"/>
                <w:szCs w:val="22"/>
                <w:shd w:val="clear" w:color="auto" w:fill="FFFFFF"/>
              </w:rPr>
            </w:pPr>
            <w:r w:rsidRPr="00970205">
              <w:rPr>
                <w:color w:val="000000"/>
                <w:sz w:val="22"/>
                <w:szCs w:val="22"/>
              </w:rPr>
              <w:t>1.5</w:t>
            </w:r>
          </w:p>
        </w:tc>
        <w:tc>
          <w:tcPr>
            <w:tcW w:w="656" w:type="pct"/>
            <w:vAlign w:val="center"/>
          </w:tcPr>
          <w:p w14:paraId="04506B03" w14:textId="77777777" w:rsidR="004B5852" w:rsidRPr="005819C4" w:rsidRDefault="004B5852" w:rsidP="00B3099B">
            <w:pPr>
              <w:jc w:val="right"/>
              <w:rPr>
                <w:sz w:val="22"/>
                <w:szCs w:val="22"/>
                <w:shd w:val="clear" w:color="auto" w:fill="FFFFFF"/>
              </w:rPr>
            </w:pPr>
            <w:r w:rsidRPr="00970205">
              <w:rPr>
                <w:color w:val="000000"/>
                <w:sz w:val="22"/>
                <w:szCs w:val="22"/>
              </w:rPr>
              <w:t>3.6</w:t>
            </w:r>
          </w:p>
        </w:tc>
        <w:tc>
          <w:tcPr>
            <w:tcW w:w="656" w:type="pct"/>
          </w:tcPr>
          <w:p w14:paraId="1C26171A"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7C50FF15" w14:textId="77777777" w:rsidR="004B5852" w:rsidRPr="005819C4" w:rsidRDefault="004B5852" w:rsidP="00B3099B">
            <w:pPr>
              <w:jc w:val="right"/>
              <w:rPr>
                <w:sz w:val="22"/>
                <w:szCs w:val="22"/>
                <w:shd w:val="clear" w:color="auto" w:fill="FFFFFF"/>
              </w:rPr>
            </w:pPr>
            <w:r w:rsidRPr="00970205">
              <w:rPr>
                <w:color w:val="000000"/>
                <w:sz w:val="22"/>
                <w:szCs w:val="22"/>
              </w:rPr>
              <w:t>0.2</w:t>
            </w:r>
          </w:p>
        </w:tc>
        <w:tc>
          <w:tcPr>
            <w:tcW w:w="829" w:type="pct"/>
            <w:vMerge/>
            <w:vAlign w:val="center"/>
          </w:tcPr>
          <w:p w14:paraId="4A56C323" w14:textId="77777777" w:rsidR="004B5852" w:rsidRPr="00737A03" w:rsidRDefault="004B5852" w:rsidP="00B3099B">
            <w:pPr>
              <w:jc w:val="center"/>
              <w:rPr>
                <w:color w:val="000000"/>
                <w:sz w:val="16"/>
                <w:szCs w:val="22"/>
              </w:rPr>
            </w:pPr>
          </w:p>
        </w:tc>
      </w:tr>
      <w:tr w:rsidR="004B5852" w:rsidRPr="00CE32A2" w14:paraId="5312AA0F" w14:textId="77777777" w:rsidTr="00B3099B">
        <w:tc>
          <w:tcPr>
            <w:tcW w:w="717" w:type="pct"/>
            <w:vAlign w:val="center"/>
          </w:tcPr>
          <w:p w14:paraId="0943ED4C" w14:textId="77777777" w:rsidR="004B5852" w:rsidRPr="00CE32A2" w:rsidRDefault="004B5852" w:rsidP="00B3099B">
            <w:pPr>
              <w:rPr>
                <w:sz w:val="22"/>
                <w:szCs w:val="22"/>
                <w:shd w:val="clear" w:color="auto" w:fill="FFFFFF"/>
              </w:rPr>
            </w:pPr>
            <w:r w:rsidRPr="00CE32A2">
              <w:rPr>
                <w:sz w:val="22"/>
                <w:szCs w:val="22"/>
                <w:shd w:val="clear" w:color="auto" w:fill="FFFFFF"/>
              </w:rPr>
              <w:t>Angry most of time</w:t>
            </w:r>
          </w:p>
        </w:tc>
        <w:tc>
          <w:tcPr>
            <w:tcW w:w="174" w:type="pct"/>
            <w:vAlign w:val="center"/>
          </w:tcPr>
          <w:p w14:paraId="0DF32A65" w14:textId="77777777" w:rsidR="004B5852" w:rsidRPr="005819C4" w:rsidRDefault="004B5852" w:rsidP="00B3099B">
            <w:pPr>
              <w:jc w:val="center"/>
              <w:rPr>
                <w:sz w:val="22"/>
                <w:szCs w:val="22"/>
                <w:shd w:val="clear" w:color="auto" w:fill="FFFFFF"/>
              </w:rPr>
            </w:pPr>
            <w:r w:rsidRPr="00970205">
              <w:rPr>
                <w:sz w:val="22"/>
                <w:szCs w:val="22"/>
              </w:rPr>
              <w:t>0</w:t>
            </w:r>
          </w:p>
        </w:tc>
        <w:tc>
          <w:tcPr>
            <w:tcW w:w="656" w:type="pct"/>
          </w:tcPr>
          <w:p w14:paraId="44AE177E" w14:textId="77777777" w:rsidR="004B5852" w:rsidRPr="00970205" w:rsidRDefault="004B5852" w:rsidP="00B3099B">
            <w:pPr>
              <w:jc w:val="center"/>
              <w:rPr>
                <w:sz w:val="22"/>
                <w:szCs w:val="22"/>
              </w:rPr>
            </w:pPr>
            <w:r w:rsidRPr="00875177">
              <w:t>-</w:t>
            </w:r>
          </w:p>
        </w:tc>
        <w:tc>
          <w:tcPr>
            <w:tcW w:w="656" w:type="pct"/>
            <w:vAlign w:val="center"/>
          </w:tcPr>
          <w:p w14:paraId="65C81C74" w14:textId="77777777" w:rsidR="004B5852" w:rsidRPr="005819C4" w:rsidRDefault="004B5852" w:rsidP="00B3099B">
            <w:pPr>
              <w:jc w:val="right"/>
              <w:rPr>
                <w:sz w:val="22"/>
                <w:szCs w:val="22"/>
                <w:shd w:val="clear" w:color="auto" w:fill="FFFFFF"/>
              </w:rPr>
            </w:pPr>
            <w:r w:rsidRPr="00970205">
              <w:rPr>
                <w:color w:val="000000"/>
                <w:sz w:val="22"/>
                <w:szCs w:val="22"/>
              </w:rPr>
              <w:t>89.6</w:t>
            </w:r>
          </w:p>
        </w:tc>
        <w:tc>
          <w:tcPr>
            <w:tcW w:w="656" w:type="pct"/>
            <w:vAlign w:val="center"/>
          </w:tcPr>
          <w:p w14:paraId="48F88C9F" w14:textId="77777777" w:rsidR="004B5852" w:rsidRPr="005819C4" w:rsidRDefault="004B5852" w:rsidP="00B3099B">
            <w:pPr>
              <w:jc w:val="right"/>
              <w:rPr>
                <w:sz w:val="22"/>
                <w:szCs w:val="22"/>
                <w:shd w:val="clear" w:color="auto" w:fill="FFFFFF"/>
              </w:rPr>
            </w:pPr>
            <w:r w:rsidRPr="00970205">
              <w:rPr>
                <w:color w:val="000000"/>
                <w:sz w:val="22"/>
                <w:szCs w:val="22"/>
              </w:rPr>
              <w:t>87.7</w:t>
            </w:r>
          </w:p>
        </w:tc>
        <w:tc>
          <w:tcPr>
            <w:tcW w:w="656" w:type="pct"/>
          </w:tcPr>
          <w:p w14:paraId="02377A9F" w14:textId="77777777" w:rsidR="004B5852" w:rsidRPr="00970205" w:rsidRDefault="004B5852" w:rsidP="00B3099B">
            <w:pPr>
              <w:jc w:val="center"/>
              <w:rPr>
                <w:sz w:val="22"/>
                <w:szCs w:val="22"/>
              </w:rPr>
            </w:pPr>
            <w:r w:rsidRPr="004D1E70">
              <w:t>-</w:t>
            </w:r>
          </w:p>
        </w:tc>
        <w:tc>
          <w:tcPr>
            <w:tcW w:w="656" w:type="pct"/>
            <w:vAlign w:val="center"/>
          </w:tcPr>
          <w:p w14:paraId="2567C47C" w14:textId="77777777" w:rsidR="004B5852" w:rsidRPr="005819C4" w:rsidRDefault="004B5852" w:rsidP="00B3099B">
            <w:pPr>
              <w:jc w:val="right"/>
              <w:rPr>
                <w:sz w:val="22"/>
                <w:szCs w:val="22"/>
                <w:shd w:val="clear" w:color="auto" w:fill="FFFFFF"/>
              </w:rPr>
            </w:pPr>
            <w:r w:rsidRPr="0007634C">
              <w:rPr>
                <w:color w:val="000000"/>
                <w:sz w:val="22"/>
                <w:szCs w:val="22"/>
              </w:rPr>
              <w:t>96.6</w:t>
            </w:r>
          </w:p>
        </w:tc>
        <w:tc>
          <w:tcPr>
            <w:tcW w:w="829" w:type="pct"/>
            <w:vMerge w:val="restart"/>
            <w:vAlign w:val="center"/>
          </w:tcPr>
          <w:p w14:paraId="18E98EA9" w14:textId="77777777" w:rsidR="004B5852" w:rsidRPr="00737A03" w:rsidRDefault="004B5852" w:rsidP="00B3099B">
            <w:pPr>
              <w:jc w:val="center"/>
              <w:rPr>
                <w:color w:val="000000"/>
                <w:sz w:val="16"/>
                <w:szCs w:val="22"/>
              </w:rPr>
            </w:pPr>
            <w:r w:rsidRPr="00737A03">
              <w:rPr>
                <w:sz w:val="16"/>
              </w:rPr>
              <w:t>Ch,</w:t>
            </w:r>
            <w:r>
              <w:rPr>
                <w:sz w:val="16"/>
              </w:rPr>
              <w:t xml:space="preserve"> </w:t>
            </w:r>
            <w:r w:rsidRPr="009A0CBE">
              <w:rPr>
                <w:sz w:val="16"/>
              </w:rPr>
              <w:t>Jp</w:t>
            </w:r>
            <w:r w:rsidRPr="00737A03">
              <w:rPr>
                <w:sz w:val="16"/>
              </w:rPr>
              <w:t>&gt;US</w:t>
            </w:r>
            <w:r>
              <w:rPr>
                <w:sz w:val="16"/>
              </w:rPr>
              <w:t xml:space="preserve"> </w:t>
            </w:r>
            <w:r w:rsidRPr="00737A03">
              <w:rPr>
                <w:sz w:val="16"/>
              </w:rPr>
              <w:t xml:space="preserve">(all </w:t>
            </w:r>
            <w:r w:rsidRPr="009A0CBE">
              <w:rPr>
                <w:i/>
                <w:sz w:val="16"/>
              </w:rPr>
              <w:t>p</w:t>
            </w:r>
            <w:r w:rsidRPr="00737A03">
              <w:rPr>
                <w:sz w:val="16"/>
              </w:rPr>
              <w:t>&lt;0.001</w:t>
            </w:r>
          </w:p>
        </w:tc>
      </w:tr>
      <w:tr w:rsidR="004B5852" w:rsidRPr="00CE32A2" w14:paraId="10AF309E" w14:textId="77777777" w:rsidTr="00B3099B">
        <w:tc>
          <w:tcPr>
            <w:tcW w:w="717" w:type="pct"/>
            <w:vAlign w:val="center"/>
          </w:tcPr>
          <w:p w14:paraId="0E12D1ED" w14:textId="77777777" w:rsidR="004B5852" w:rsidRPr="00CE32A2" w:rsidRDefault="004B5852" w:rsidP="00B3099B">
            <w:pPr>
              <w:rPr>
                <w:sz w:val="22"/>
                <w:szCs w:val="22"/>
                <w:shd w:val="clear" w:color="auto" w:fill="FFFFFF"/>
              </w:rPr>
            </w:pPr>
          </w:p>
        </w:tc>
        <w:tc>
          <w:tcPr>
            <w:tcW w:w="174" w:type="pct"/>
            <w:vAlign w:val="center"/>
          </w:tcPr>
          <w:p w14:paraId="030C27B9" w14:textId="77777777" w:rsidR="004B5852" w:rsidRPr="005819C4" w:rsidRDefault="004B5852" w:rsidP="00B3099B">
            <w:pPr>
              <w:jc w:val="center"/>
              <w:rPr>
                <w:sz w:val="22"/>
                <w:szCs w:val="22"/>
                <w:shd w:val="clear" w:color="auto" w:fill="FFFFFF"/>
              </w:rPr>
            </w:pPr>
            <w:r w:rsidRPr="005819C4">
              <w:rPr>
                <w:sz w:val="22"/>
                <w:szCs w:val="22"/>
                <w:shd w:val="clear" w:color="auto" w:fill="FFFFFF"/>
              </w:rPr>
              <w:t>1</w:t>
            </w:r>
          </w:p>
        </w:tc>
        <w:tc>
          <w:tcPr>
            <w:tcW w:w="656" w:type="pct"/>
          </w:tcPr>
          <w:p w14:paraId="045CA7A5"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71982AB3" w14:textId="77777777" w:rsidR="004B5852" w:rsidRPr="005819C4" w:rsidRDefault="004B5852" w:rsidP="00B3099B">
            <w:pPr>
              <w:jc w:val="right"/>
              <w:rPr>
                <w:sz w:val="22"/>
                <w:szCs w:val="22"/>
                <w:shd w:val="clear" w:color="auto" w:fill="FFFFFF"/>
              </w:rPr>
            </w:pPr>
            <w:r w:rsidRPr="00970205">
              <w:rPr>
                <w:color w:val="000000"/>
                <w:sz w:val="22"/>
                <w:szCs w:val="22"/>
              </w:rPr>
              <w:t>10.2</w:t>
            </w:r>
          </w:p>
        </w:tc>
        <w:tc>
          <w:tcPr>
            <w:tcW w:w="656" w:type="pct"/>
            <w:vAlign w:val="center"/>
          </w:tcPr>
          <w:p w14:paraId="75AB09FA" w14:textId="77777777" w:rsidR="004B5852" w:rsidRPr="005819C4" w:rsidRDefault="004B5852" w:rsidP="00B3099B">
            <w:pPr>
              <w:jc w:val="right"/>
              <w:rPr>
                <w:sz w:val="22"/>
                <w:szCs w:val="22"/>
                <w:shd w:val="clear" w:color="auto" w:fill="FFFFFF"/>
              </w:rPr>
            </w:pPr>
            <w:r w:rsidRPr="00970205">
              <w:rPr>
                <w:color w:val="000000"/>
                <w:sz w:val="22"/>
                <w:szCs w:val="22"/>
              </w:rPr>
              <w:t>10</w:t>
            </w:r>
          </w:p>
        </w:tc>
        <w:tc>
          <w:tcPr>
            <w:tcW w:w="656" w:type="pct"/>
          </w:tcPr>
          <w:p w14:paraId="3DAAC191"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5AD0BA5B" w14:textId="77777777" w:rsidR="004B5852" w:rsidRPr="005819C4" w:rsidRDefault="004B5852" w:rsidP="00B3099B">
            <w:pPr>
              <w:jc w:val="right"/>
              <w:rPr>
                <w:sz w:val="22"/>
                <w:szCs w:val="22"/>
                <w:shd w:val="clear" w:color="auto" w:fill="FFFFFF"/>
              </w:rPr>
            </w:pPr>
            <w:r w:rsidRPr="00970205">
              <w:rPr>
                <w:color w:val="000000"/>
                <w:sz w:val="22"/>
                <w:szCs w:val="22"/>
              </w:rPr>
              <w:t>3.4</w:t>
            </w:r>
          </w:p>
        </w:tc>
        <w:tc>
          <w:tcPr>
            <w:tcW w:w="829" w:type="pct"/>
            <w:vMerge/>
            <w:vAlign w:val="center"/>
          </w:tcPr>
          <w:p w14:paraId="148A175E" w14:textId="77777777" w:rsidR="004B5852" w:rsidRPr="00737A03" w:rsidRDefault="004B5852" w:rsidP="00B3099B">
            <w:pPr>
              <w:jc w:val="center"/>
              <w:rPr>
                <w:color w:val="000000"/>
                <w:sz w:val="16"/>
                <w:szCs w:val="22"/>
              </w:rPr>
            </w:pPr>
          </w:p>
        </w:tc>
      </w:tr>
      <w:tr w:rsidR="004B5852" w:rsidRPr="00CE32A2" w14:paraId="65A202DD" w14:textId="77777777" w:rsidTr="00B3099B">
        <w:tc>
          <w:tcPr>
            <w:tcW w:w="717" w:type="pct"/>
            <w:vAlign w:val="center"/>
          </w:tcPr>
          <w:p w14:paraId="2BE8CB1B" w14:textId="77777777" w:rsidR="004B5852" w:rsidRPr="00CE32A2" w:rsidRDefault="004B5852" w:rsidP="00B3099B">
            <w:pPr>
              <w:rPr>
                <w:sz w:val="22"/>
                <w:szCs w:val="22"/>
                <w:shd w:val="clear" w:color="auto" w:fill="FFFFFF"/>
              </w:rPr>
            </w:pPr>
          </w:p>
        </w:tc>
        <w:tc>
          <w:tcPr>
            <w:tcW w:w="174" w:type="pct"/>
            <w:vAlign w:val="center"/>
          </w:tcPr>
          <w:p w14:paraId="1CC49D02" w14:textId="77777777" w:rsidR="004B5852" w:rsidRPr="005819C4" w:rsidRDefault="004B5852" w:rsidP="00B3099B">
            <w:pPr>
              <w:jc w:val="center"/>
              <w:rPr>
                <w:sz w:val="22"/>
                <w:szCs w:val="22"/>
                <w:shd w:val="clear" w:color="auto" w:fill="FFFFFF"/>
              </w:rPr>
            </w:pPr>
            <w:r w:rsidRPr="005819C4">
              <w:rPr>
                <w:sz w:val="22"/>
                <w:szCs w:val="22"/>
                <w:shd w:val="clear" w:color="auto" w:fill="FFFFFF"/>
              </w:rPr>
              <w:t>2</w:t>
            </w:r>
          </w:p>
        </w:tc>
        <w:tc>
          <w:tcPr>
            <w:tcW w:w="656" w:type="pct"/>
          </w:tcPr>
          <w:p w14:paraId="3DC8132B"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3F94305D" w14:textId="77777777" w:rsidR="004B5852" w:rsidRPr="005819C4" w:rsidRDefault="004B5852" w:rsidP="00B3099B">
            <w:pPr>
              <w:jc w:val="right"/>
              <w:rPr>
                <w:sz w:val="22"/>
                <w:szCs w:val="22"/>
                <w:shd w:val="clear" w:color="auto" w:fill="FFFFFF"/>
              </w:rPr>
            </w:pPr>
            <w:r w:rsidRPr="00970205">
              <w:rPr>
                <w:color w:val="000000"/>
                <w:sz w:val="22"/>
                <w:szCs w:val="22"/>
              </w:rPr>
              <w:t>0.3</w:t>
            </w:r>
          </w:p>
        </w:tc>
        <w:tc>
          <w:tcPr>
            <w:tcW w:w="656" w:type="pct"/>
            <w:vAlign w:val="center"/>
          </w:tcPr>
          <w:p w14:paraId="33102E29" w14:textId="77777777" w:rsidR="004B5852" w:rsidRPr="005819C4" w:rsidRDefault="004B5852" w:rsidP="00B3099B">
            <w:pPr>
              <w:jc w:val="right"/>
              <w:rPr>
                <w:sz w:val="22"/>
                <w:szCs w:val="22"/>
                <w:shd w:val="clear" w:color="auto" w:fill="FFFFFF"/>
              </w:rPr>
            </w:pPr>
            <w:r w:rsidRPr="00970205">
              <w:rPr>
                <w:color w:val="000000"/>
                <w:sz w:val="22"/>
                <w:szCs w:val="22"/>
              </w:rPr>
              <w:t>2.4</w:t>
            </w:r>
          </w:p>
        </w:tc>
        <w:tc>
          <w:tcPr>
            <w:tcW w:w="656" w:type="pct"/>
          </w:tcPr>
          <w:p w14:paraId="0EC7B496"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1E67A23B" w14:textId="77777777" w:rsidR="004B5852" w:rsidRPr="005819C4" w:rsidRDefault="004B5852" w:rsidP="00B3099B">
            <w:pPr>
              <w:jc w:val="right"/>
              <w:rPr>
                <w:sz w:val="22"/>
                <w:szCs w:val="22"/>
                <w:shd w:val="clear" w:color="auto" w:fill="FFFFFF"/>
              </w:rPr>
            </w:pPr>
            <w:r w:rsidRPr="00970205">
              <w:rPr>
                <w:color w:val="000000"/>
                <w:sz w:val="22"/>
                <w:szCs w:val="22"/>
              </w:rPr>
              <w:t>0</w:t>
            </w:r>
          </w:p>
        </w:tc>
        <w:tc>
          <w:tcPr>
            <w:tcW w:w="829" w:type="pct"/>
            <w:vMerge/>
            <w:vAlign w:val="center"/>
          </w:tcPr>
          <w:p w14:paraId="08C76CB5" w14:textId="77777777" w:rsidR="004B5852" w:rsidRPr="00737A03" w:rsidRDefault="004B5852" w:rsidP="00B3099B">
            <w:pPr>
              <w:jc w:val="center"/>
              <w:rPr>
                <w:color w:val="000000"/>
                <w:sz w:val="16"/>
                <w:szCs w:val="22"/>
              </w:rPr>
            </w:pPr>
          </w:p>
        </w:tc>
      </w:tr>
      <w:tr w:rsidR="004B5852" w:rsidRPr="00CE32A2" w14:paraId="2169020B" w14:textId="77777777" w:rsidTr="00B3099B">
        <w:tc>
          <w:tcPr>
            <w:tcW w:w="717" w:type="pct"/>
            <w:vAlign w:val="center"/>
          </w:tcPr>
          <w:p w14:paraId="1354D172" w14:textId="77777777" w:rsidR="004B5852" w:rsidRPr="00CE32A2" w:rsidRDefault="004B5852" w:rsidP="00B3099B">
            <w:pPr>
              <w:rPr>
                <w:sz w:val="22"/>
                <w:szCs w:val="22"/>
                <w:shd w:val="clear" w:color="auto" w:fill="FFFFFF"/>
              </w:rPr>
            </w:pPr>
            <w:r w:rsidRPr="00CE32A2">
              <w:rPr>
                <w:sz w:val="22"/>
                <w:szCs w:val="22"/>
                <w:shd w:val="clear" w:color="auto" w:fill="FFFFFF"/>
              </w:rPr>
              <w:t>Angry frequent</w:t>
            </w:r>
          </w:p>
        </w:tc>
        <w:tc>
          <w:tcPr>
            <w:tcW w:w="174" w:type="pct"/>
            <w:vAlign w:val="center"/>
          </w:tcPr>
          <w:p w14:paraId="37F3D13D" w14:textId="77777777" w:rsidR="004B5852" w:rsidRPr="005819C4" w:rsidRDefault="004B5852" w:rsidP="00B3099B">
            <w:pPr>
              <w:jc w:val="center"/>
              <w:rPr>
                <w:sz w:val="22"/>
                <w:szCs w:val="22"/>
                <w:shd w:val="clear" w:color="auto" w:fill="FFFFFF"/>
              </w:rPr>
            </w:pPr>
            <w:r w:rsidRPr="00970205">
              <w:rPr>
                <w:sz w:val="22"/>
                <w:szCs w:val="22"/>
              </w:rPr>
              <w:t>0</w:t>
            </w:r>
          </w:p>
        </w:tc>
        <w:tc>
          <w:tcPr>
            <w:tcW w:w="656" w:type="pct"/>
          </w:tcPr>
          <w:p w14:paraId="1FAEEE4C" w14:textId="77777777" w:rsidR="004B5852" w:rsidRPr="00970205" w:rsidRDefault="004B5852" w:rsidP="00B3099B">
            <w:pPr>
              <w:jc w:val="center"/>
              <w:rPr>
                <w:sz w:val="22"/>
                <w:szCs w:val="22"/>
              </w:rPr>
            </w:pPr>
            <w:r w:rsidRPr="00875177">
              <w:t>-</w:t>
            </w:r>
          </w:p>
        </w:tc>
        <w:tc>
          <w:tcPr>
            <w:tcW w:w="656" w:type="pct"/>
            <w:vAlign w:val="center"/>
          </w:tcPr>
          <w:p w14:paraId="14F8AAFC" w14:textId="77777777" w:rsidR="004B5852" w:rsidRPr="005819C4" w:rsidRDefault="004B5852" w:rsidP="00B3099B">
            <w:pPr>
              <w:jc w:val="right"/>
              <w:rPr>
                <w:sz w:val="22"/>
                <w:szCs w:val="22"/>
                <w:shd w:val="clear" w:color="auto" w:fill="FFFFFF"/>
              </w:rPr>
            </w:pPr>
            <w:r w:rsidRPr="00970205">
              <w:rPr>
                <w:color w:val="000000"/>
                <w:sz w:val="22"/>
                <w:szCs w:val="22"/>
              </w:rPr>
              <w:t>71.7</w:t>
            </w:r>
          </w:p>
        </w:tc>
        <w:tc>
          <w:tcPr>
            <w:tcW w:w="656" w:type="pct"/>
            <w:vAlign w:val="center"/>
          </w:tcPr>
          <w:p w14:paraId="22C44311" w14:textId="77777777" w:rsidR="004B5852" w:rsidRPr="005819C4" w:rsidRDefault="004B5852" w:rsidP="00B3099B">
            <w:pPr>
              <w:jc w:val="right"/>
              <w:rPr>
                <w:sz w:val="22"/>
                <w:szCs w:val="22"/>
                <w:shd w:val="clear" w:color="auto" w:fill="FFFFFF"/>
              </w:rPr>
            </w:pPr>
            <w:r w:rsidRPr="00970205">
              <w:rPr>
                <w:color w:val="000000"/>
                <w:sz w:val="22"/>
                <w:szCs w:val="22"/>
              </w:rPr>
              <w:t>74.8</w:t>
            </w:r>
          </w:p>
        </w:tc>
        <w:tc>
          <w:tcPr>
            <w:tcW w:w="656" w:type="pct"/>
          </w:tcPr>
          <w:p w14:paraId="5E4D9B85" w14:textId="77777777" w:rsidR="004B5852" w:rsidRPr="00970205" w:rsidRDefault="004B5852" w:rsidP="00B3099B">
            <w:pPr>
              <w:jc w:val="center"/>
              <w:rPr>
                <w:sz w:val="22"/>
                <w:szCs w:val="22"/>
              </w:rPr>
            </w:pPr>
            <w:r w:rsidRPr="004D1E70">
              <w:t>-</w:t>
            </w:r>
          </w:p>
        </w:tc>
        <w:tc>
          <w:tcPr>
            <w:tcW w:w="656" w:type="pct"/>
            <w:vAlign w:val="center"/>
          </w:tcPr>
          <w:p w14:paraId="62542DEF" w14:textId="77777777" w:rsidR="004B5852" w:rsidRPr="005819C4" w:rsidRDefault="004B5852" w:rsidP="00B3099B">
            <w:pPr>
              <w:jc w:val="right"/>
              <w:rPr>
                <w:sz w:val="22"/>
                <w:szCs w:val="22"/>
                <w:shd w:val="clear" w:color="auto" w:fill="FFFFFF"/>
              </w:rPr>
            </w:pPr>
            <w:r w:rsidRPr="0007634C">
              <w:rPr>
                <w:color w:val="000000"/>
                <w:sz w:val="22"/>
                <w:szCs w:val="22"/>
              </w:rPr>
              <w:t>88</w:t>
            </w:r>
          </w:p>
        </w:tc>
        <w:tc>
          <w:tcPr>
            <w:tcW w:w="829" w:type="pct"/>
            <w:vMerge w:val="restart"/>
            <w:vAlign w:val="center"/>
          </w:tcPr>
          <w:p w14:paraId="527303E3" w14:textId="77777777" w:rsidR="004B5852" w:rsidRPr="00737A03" w:rsidRDefault="004B5852" w:rsidP="00B3099B">
            <w:pPr>
              <w:jc w:val="center"/>
              <w:rPr>
                <w:color w:val="000000"/>
                <w:sz w:val="16"/>
                <w:szCs w:val="22"/>
              </w:rPr>
            </w:pPr>
            <w:r w:rsidRPr="00737A03">
              <w:rPr>
                <w:sz w:val="16"/>
              </w:rPr>
              <w:t>Ch,</w:t>
            </w:r>
            <w:r>
              <w:rPr>
                <w:sz w:val="16"/>
              </w:rPr>
              <w:t xml:space="preserve"> </w:t>
            </w:r>
            <w:r w:rsidRPr="009A0CBE">
              <w:rPr>
                <w:sz w:val="16"/>
              </w:rPr>
              <w:t>Jp</w:t>
            </w:r>
            <w:r w:rsidRPr="00737A03">
              <w:rPr>
                <w:sz w:val="16"/>
              </w:rPr>
              <w:t>&gt;US</w:t>
            </w:r>
            <w:r>
              <w:rPr>
                <w:sz w:val="16"/>
              </w:rPr>
              <w:t xml:space="preserve"> </w:t>
            </w:r>
            <w:r w:rsidRPr="00737A03">
              <w:rPr>
                <w:sz w:val="16"/>
              </w:rPr>
              <w:t xml:space="preserve">(all </w:t>
            </w:r>
            <w:r w:rsidRPr="009A0CBE">
              <w:rPr>
                <w:i/>
                <w:sz w:val="16"/>
              </w:rPr>
              <w:t>p</w:t>
            </w:r>
            <w:r w:rsidRPr="00737A03">
              <w:rPr>
                <w:sz w:val="16"/>
              </w:rPr>
              <w:t>&lt;0.001)</w:t>
            </w:r>
          </w:p>
        </w:tc>
      </w:tr>
      <w:tr w:rsidR="004B5852" w:rsidRPr="00CE32A2" w14:paraId="711A9E9F" w14:textId="77777777" w:rsidTr="00B3099B">
        <w:tc>
          <w:tcPr>
            <w:tcW w:w="717" w:type="pct"/>
            <w:vAlign w:val="center"/>
          </w:tcPr>
          <w:p w14:paraId="54802D05" w14:textId="77777777" w:rsidR="004B5852" w:rsidRPr="00CE32A2" w:rsidRDefault="004B5852" w:rsidP="00B3099B">
            <w:pPr>
              <w:rPr>
                <w:sz w:val="22"/>
                <w:szCs w:val="22"/>
                <w:shd w:val="clear" w:color="auto" w:fill="FFFFFF"/>
              </w:rPr>
            </w:pPr>
          </w:p>
        </w:tc>
        <w:tc>
          <w:tcPr>
            <w:tcW w:w="174" w:type="pct"/>
            <w:vAlign w:val="center"/>
          </w:tcPr>
          <w:p w14:paraId="544C0E87" w14:textId="77777777" w:rsidR="004B5852" w:rsidRPr="005819C4" w:rsidRDefault="004B5852" w:rsidP="00B3099B">
            <w:pPr>
              <w:jc w:val="center"/>
              <w:rPr>
                <w:sz w:val="22"/>
                <w:szCs w:val="22"/>
                <w:shd w:val="clear" w:color="auto" w:fill="FFFFFF"/>
              </w:rPr>
            </w:pPr>
            <w:r w:rsidRPr="005819C4">
              <w:rPr>
                <w:sz w:val="22"/>
                <w:szCs w:val="22"/>
                <w:shd w:val="clear" w:color="auto" w:fill="FFFFFF"/>
              </w:rPr>
              <w:t>1</w:t>
            </w:r>
          </w:p>
        </w:tc>
        <w:tc>
          <w:tcPr>
            <w:tcW w:w="656" w:type="pct"/>
          </w:tcPr>
          <w:p w14:paraId="04D63899"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2945FA1C" w14:textId="77777777" w:rsidR="004B5852" w:rsidRPr="005819C4" w:rsidRDefault="004B5852" w:rsidP="00B3099B">
            <w:pPr>
              <w:jc w:val="right"/>
              <w:rPr>
                <w:sz w:val="22"/>
                <w:szCs w:val="22"/>
                <w:shd w:val="clear" w:color="auto" w:fill="FFFFFF"/>
              </w:rPr>
            </w:pPr>
            <w:r w:rsidRPr="00970205">
              <w:rPr>
                <w:color w:val="000000"/>
                <w:sz w:val="22"/>
                <w:szCs w:val="22"/>
              </w:rPr>
              <w:t>26.1</w:t>
            </w:r>
          </w:p>
        </w:tc>
        <w:tc>
          <w:tcPr>
            <w:tcW w:w="656" w:type="pct"/>
            <w:vAlign w:val="center"/>
          </w:tcPr>
          <w:p w14:paraId="7C98C44F" w14:textId="77777777" w:rsidR="004B5852" w:rsidRPr="005819C4" w:rsidRDefault="004B5852" w:rsidP="00B3099B">
            <w:pPr>
              <w:jc w:val="right"/>
              <w:rPr>
                <w:sz w:val="22"/>
                <w:szCs w:val="22"/>
                <w:shd w:val="clear" w:color="auto" w:fill="FFFFFF"/>
              </w:rPr>
            </w:pPr>
            <w:r w:rsidRPr="00970205">
              <w:rPr>
                <w:color w:val="000000"/>
                <w:sz w:val="22"/>
                <w:szCs w:val="22"/>
              </w:rPr>
              <w:t>20.5</w:t>
            </w:r>
          </w:p>
        </w:tc>
        <w:tc>
          <w:tcPr>
            <w:tcW w:w="656" w:type="pct"/>
          </w:tcPr>
          <w:p w14:paraId="0BAFF720"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78A833CE" w14:textId="77777777" w:rsidR="004B5852" w:rsidRPr="005819C4" w:rsidRDefault="004B5852" w:rsidP="00B3099B">
            <w:pPr>
              <w:jc w:val="right"/>
              <w:rPr>
                <w:sz w:val="22"/>
                <w:szCs w:val="22"/>
                <w:shd w:val="clear" w:color="auto" w:fill="FFFFFF"/>
              </w:rPr>
            </w:pPr>
            <w:r w:rsidRPr="00970205">
              <w:rPr>
                <w:color w:val="000000"/>
                <w:sz w:val="22"/>
                <w:szCs w:val="22"/>
              </w:rPr>
              <w:t>9.9</w:t>
            </w:r>
          </w:p>
        </w:tc>
        <w:tc>
          <w:tcPr>
            <w:tcW w:w="829" w:type="pct"/>
            <w:vMerge/>
            <w:vAlign w:val="center"/>
          </w:tcPr>
          <w:p w14:paraId="67D853FA" w14:textId="77777777" w:rsidR="004B5852" w:rsidRPr="00737A03" w:rsidRDefault="004B5852" w:rsidP="00B3099B">
            <w:pPr>
              <w:jc w:val="center"/>
              <w:rPr>
                <w:color w:val="000000"/>
                <w:sz w:val="16"/>
                <w:szCs w:val="22"/>
              </w:rPr>
            </w:pPr>
          </w:p>
        </w:tc>
      </w:tr>
      <w:tr w:rsidR="004B5852" w:rsidRPr="00CE32A2" w14:paraId="1651A2A0" w14:textId="77777777" w:rsidTr="00B3099B">
        <w:tc>
          <w:tcPr>
            <w:tcW w:w="717" w:type="pct"/>
            <w:vAlign w:val="center"/>
          </w:tcPr>
          <w:p w14:paraId="25441CD2" w14:textId="77777777" w:rsidR="004B5852" w:rsidRPr="00CE32A2" w:rsidRDefault="004B5852" w:rsidP="00B3099B">
            <w:pPr>
              <w:rPr>
                <w:sz w:val="22"/>
                <w:szCs w:val="22"/>
                <w:shd w:val="clear" w:color="auto" w:fill="FFFFFF"/>
              </w:rPr>
            </w:pPr>
          </w:p>
        </w:tc>
        <w:tc>
          <w:tcPr>
            <w:tcW w:w="174" w:type="pct"/>
            <w:vAlign w:val="center"/>
          </w:tcPr>
          <w:p w14:paraId="41125CDC" w14:textId="77777777" w:rsidR="004B5852" w:rsidRPr="005819C4" w:rsidRDefault="004B5852" w:rsidP="00B3099B">
            <w:pPr>
              <w:jc w:val="center"/>
              <w:rPr>
                <w:sz w:val="22"/>
                <w:szCs w:val="22"/>
                <w:shd w:val="clear" w:color="auto" w:fill="FFFFFF"/>
              </w:rPr>
            </w:pPr>
            <w:r w:rsidRPr="005819C4">
              <w:rPr>
                <w:sz w:val="22"/>
                <w:szCs w:val="22"/>
                <w:shd w:val="clear" w:color="auto" w:fill="FFFFFF"/>
              </w:rPr>
              <w:t>2</w:t>
            </w:r>
          </w:p>
        </w:tc>
        <w:tc>
          <w:tcPr>
            <w:tcW w:w="656" w:type="pct"/>
          </w:tcPr>
          <w:p w14:paraId="78814314"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11F74A55" w14:textId="77777777" w:rsidR="004B5852" w:rsidRPr="005819C4" w:rsidRDefault="004B5852" w:rsidP="00B3099B">
            <w:pPr>
              <w:jc w:val="right"/>
              <w:rPr>
                <w:sz w:val="22"/>
                <w:szCs w:val="22"/>
                <w:shd w:val="clear" w:color="auto" w:fill="FFFFFF"/>
              </w:rPr>
            </w:pPr>
            <w:r w:rsidRPr="00970205">
              <w:rPr>
                <w:color w:val="000000"/>
                <w:sz w:val="22"/>
                <w:szCs w:val="22"/>
              </w:rPr>
              <w:t>2.2</w:t>
            </w:r>
          </w:p>
        </w:tc>
        <w:tc>
          <w:tcPr>
            <w:tcW w:w="656" w:type="pct"/>
            <w:vAlign w:val="center"/>
          </w:tcPr>
          <w:p w14:paraId="56EB604A" w14:textId="77777777" w:rsidR="004B5852" w:rsidRPr="005819C4" w:rsidRDefault="004B5852" w:rsidP="00B3099B">
            <w:pPr>
              <w:jc w:val="right"/>
              <w:rPr>
                <w:sz w:val="22"/>
                <w:szCs w:val="22"/>
                <w:shd w:val="clear" w:color="auto" w:fill="FFFFFF"/>
              </w:rPr>
            </w:pPr>
            <w:r w:rsidRPr="00970205">
              <w:rPr>
                <w:color w:val="000000"/>
                <w:sz w:val="22"/>
                <w:szCs w:val="22"/>
              </w:rPr>
              <w:t>4.8</w:t>
            </w:r>
          </w:p>
        </w:tc>
        <w:tc>
          <w:tcPr>
            <w:tcW w:w="656" w:type="pct"/>
          </w:tcPr>
          <w:p w14:paraId="1ED9E6AE"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287354FD" w14:textId="77777777" w:rsidR="004B5852" w:rsidRPr="005819C4" w:rsidRDefault="004B5852" w:rsidP="00B3099B">
            <w:pPr>
              <w:jc w:val="right"/>
              <w:rPr>
                <w:sz w:val="22"/>
                <w:szCs w:val="22"/>
                <w:shd w:val="clear" w:color="auto" w:fill="FFFFFF"/>
              </w:rPr>
            </w:pPr>
            <w:r w:rsidRPr="00970205">
              <w:rPr>
                <w:color w:val="000000"/>
                <w:sz w:val="22"/>
                <w:szCs w:val="22"/>
              </w:rPr>
              <w:t>2.1</w:t>
            </w:r>
          </w:p>
        </w:tc>
        <w:tc>
          <w:tcPr>
            <w:tcW w:w="829" w:type="pct"/>
            <w:vMerge/>
            <w:vAlign w:val="center"/>
          </w:tcPr>
          <w:p w14:paraId="6B903517" w14:textId="77777777" w:rsidR="004B5852" w:rsidRPr="00737A03" w:rsidRDefault="004B5852" w:rsidP="00B3099B">
            <w:pPr>
              <w:jc w:val="center"/>
              <w:rPr>
                <w:color w:val="000000"/>
                <w:sz w:val="16"/>
                <w:szCs w:val="22"/>
              </w:rPr>
            </w:pPr>
          </w:p>
        </w:tc>
      </w:tr>
      <w:tr w:rsidR="004B5852" w:rsidRPr="00CE32A2" w14:paraId="6D0EB22D" w14:textId="77777777" w:rsidTr="00B3099B">
        <w:tc>
          <w:tcPr>
            <w:tcW w:w="717" w:type="pct"/>
            <w:vAlign w:val="center"/>
          </w:tcPr>
          <w:p w14:paraId="54D8A3EC" w14:textId="77777777" w:rsidR="004B5852" w:rsidRPr="00CE32A2" w:rsidRDefault="004B5852" w:rsidP="00B3099B">
            <w:pPr>
              <w:rPr>
                <w:sz w:val="22"/>
                <w:szCs w:val="22"/>
                <w:shd w:val="clear" w:color="auto" w:fill="FFFFFF"/>
              </w:rPr>
            </w:pPr>
            <w:r w:rsidRPr="00CE32A2">
              <w:rPr>
                <w:sz w:val="22"/>
                <w:szCs w:val="22"/>
                <w:shd w:val="clear" w:color="auto" w:fill="FFFFFF"/>
              </w:rPr>
              <w:t>Loses temper easily</w:t>
            </w:r>
          </w:p>
        </w:tc>
        <w:tc>
          <w:tcPr>
            <w:tcW w:w="174" w:type="pct"/>
            <w:vAlign w:val="center"/>
          </w:tcPr>
          <w:p w14:paraId="16157FBC" w14:textId="77777777" w:rsidR="004B5852" w:rsidRPr="005819C4" w:rsidRDefault="004B5852" w:rsidP="00B3099B">
            <w:pPr>
              <w:jc w:val="center"/>
              <w:rPr>
                <w:sz w:val="22"/>
                <w:szCs w:val="22"/>
                <w:shd w:val="clear" w:color="auto" w:fill="FFFFFF"/>
              </w:rPr>
            </w:pPr>
            <w:r w:rsidRPr="00970205">
              <w:rPr>
                <w:sz w:val="22"/>
                <w:szCs w:val="22"/>
              </w:rPr>
              <w:t>0</w:t>
            </w:r>
          </w:p>
        </w:tc>
        <w:tc>
          <w:tcPr>
            <w:tcW w:w="656" w:type="pct"/>
          </w:tcPr>
          <w:p w14:paraId="51D21175" w14:textId="77777777" w:rsidR="004B5852" w:rsidRPr="00970205" w:rsidRDefault="004B5852" w:rsidP="00B3099B">
            <w:pPr>
              <w:jc w:val="center"/>
              <w:rPr>
                <w:sz w:val="22"/>
                <w:szCs w:val="22"/>
              </w:rPr>
            </w:pPr>
            <w:r w:rsidRPr="00875177">
              <w:t>-</w:t>
            </w:r>
          </w:p>
        </w:tc>
        <w:tc>
          <w:tcPr>
            <w:tcW w:w="656" w:type="pct"/>
            <w:vAlign w:val="center"/>
          </w:tcPr>
          <w:p w14:paraId="02F49E42" w14:textId="77777777" w:rsidR="004B5852" w:rsidRPr="005819C4" w:rsidRDefault="004B5852" w:rsidP="00B3099B">
            <w:pPr>
              <w:jc w:val="right"/>
              <w:rPr>
                <w:sz w:val="22"/>
                <w:szCs w:val="22"/>
                <w:shd w:val="clear" w:color="auto" w:fill="FFFFFF"/>
              </w:rPr>
            </w:pPr>
            <w:r w:rsidRPr="00970205">
              <w:rPr>
                <w:color w:val="000000"/>
                <w:sz w:val="22"/>
                <w:szCs w:val="22"/>
              </w:rPr>
              <w:t>45.9</w:t>
            </w:r>
          </w:p>
        </w:tc>
        <w:tc>
          <w:tcPr>
            <w:tcW w:w="656" w:type="pct"/>
            <w:vAlign w:val="center"/>
          </w:tcPr>
          <w:p w14:paraId="7D67FAE7" w14:textId="77777777" w:rsidR="004B5852" w:rsidRPr="005819C4" w:rsidRDefault="004B5852" w:rsidP="00B3099B">
            <w:pPr>
              <w:jc w:val="right"/>
              <w:rPr>
                <w:sz w:val="22"/>
                <w:szCs w:val="22"/>
                <w:shd w:val="clear" w:color="auto" w:fill="FFFFFF"/>
              </w:rPr>
            </w:pPr>
            <w:r w:rsidRPr="00970205">
              <w:rPr>
                <w:color w:val="000000"/>
                <w:sz w:val="22"/>
                <w:szCs w:val="22"/>
              </w:rPr>
              <w:t>78.3</w:t>
            </w:r>
          </w:p>
        </w:tc>
        <w:tc>
          <w:tcPr>
            <w:tcW w:w="656" w:type="pct"/>
          </w:tcPr>
          <w:p w14:paraId="19116137" w14:textId="77777777" w:rsidR="004B5852" w:rsidRPr="00970205" w:rsidRDefault="004B5852" w:rsidP="00B3099B">
            <w:pPr>
              <w:jc w:val="center"/>
              <w:rPr>
                <w:sz w:val="22"/>
                <w:szCs w:val="22"/>
              </w:rPr>
            </w:pPr>
            <w:r w:rsidRPr="004D1E70">
              <w:t>-</w:t>
            </w:r>
          </w:p>
        </w:tc>
        <w:tc>
          <w:tcPr>
            <w:tcW w:w="656" w:type="pct"/>
            <w:vAlign w:val="center"/>
          </w:tcPr>
          <w:p w14:paraId="4ACB37BF" w14:textId="77777777" w:rsidR="004B5852" w:rsidRPr="005819C4" w:rsidRDefault="004B5852" w:rsidP="00B3099B">
            <w:pPr>
              <w:jc w:val="right"/>
              <w:rPr>
                <w:sz w:val="22"/>
                <w:szCs w:val="22"/>
                <w:shd w:val="clear" w:color="auto" w:fill="FFFFFF"/>
              </w:rPr>
            </w:pPr>
            <w:r w:rsidRPr="00970205">
              <w:rPr>
                <w:color w:val="000000"/>
                <w:sz w:val="22"/>
                <w:szCs w:val="22"/>
              </w:rPr>
              <w:t>79.2</w:t>
            </w:r>
          </w:p>
        </w:tc>
        <w:tc>
          <w:tcPr>
            <w:tcW w:w="829" w:type="pct"/>
            <w:vMerge w:val="restart"/>
            <w:vAlign w:val="center"/>
          </w:tcPr>
          <w:p w14:paraId="71268023" w14:textId="77777777" w:rsidR="004B5852" w:rsidRPr="00737A03" w:rsidRDefault="004B5852" w:rsidP="00B3099B">
            <w:pPr>
              <w:jc w:val="center"/>
              <w:rPr>
                <w:color w:val="000000"/>
                <w:sz w:val="16"/>
                <w:szCs w:val="22"/>
              </w:rPr>
            </w:pPr>
            <w:r w:rsidRPr="00737A03">
              <w:rPr>
                <w:sz w:val="16"/>
              </w:rPr>
              <w:t>Ch&gt;</w:t>
            </w:r>
            <w:r w:rsidRPr="009A0CBE">
              <w:rPr>
                <w:sz w:val="16"/>
              </w:rPr>
              <w:t>Jp</w:t>
            </w:r>
            <w:r w:rsidRPr="00737A03">
              <w:rPr>
                <w:sz w:val="16"/>
              </w:rPr>
              <w:t>,</w:t>
            </w:r>
            <w:r>
              <w:rPr>
                <w:sz w:val="16"/>
              </w:rPr>
              <w:t xml:space="preserve"> </w:t>
            </w:r>
            <w:r w:rsidRPr="00737A03">
              <w:rPr>
                <w:sz w:val="16"/>
              </w:rPr>
              <w:t xml:space="preserve">US (all </w:t>
            </w:r>
            <w:r w:rsidRPr="009A0CBE">
              <w:rPr>
                <w:i/>
                <w:sz w:val="16"/>
              </w:rPr>
              <w:t>p</w:t>
            </w:r>
            <w:r w:rsidRPr="00737A03">
              <w:rPr>
                <w:sz w:val="16"/>
              </w:rPr>
              <w:t>&lt;0.001)</w:t>
            </w:r>
          </w:p>
        </w:tc>
      </w:tr>
      <w:tr w:rsidR="004B5852" w:rsidRPr="00CE32A2" w14:paraId="01157FBC" w14:textId="77777777" w:rsidTr="00B3099B">
        <w:tc>
          <w:tcPr>
            <w:tcW w:w="717" w:type="pct"/>
            <w:vAlign w:val="center"/>
          </w:tcPr>
          <w:p w14:paraId="67D6651A" w14:textId="77777777" w:rsidR="004B5852" w:rsidRPr="00CE32A2" w:rsidRDefault="004B5852" w:rsidP="00B3099B">
            <w:pPr>
              <w:rPr>
                <w:sz w:val="22"/>
                <w:szCs w:val="22"/>
                <w:shd w:val="clear" w:color="auto" w:fill="FFFFFF"/>
              </w:rPr>
            </w:pPr>
          </w:p>
        </w:tc>
        <w:tc>
          <w:tcPr>
            <w:tcW w:w="174" w:type="pct"/>
            <w:vAlign w:val="center"/>
          </w:tcPr>
          <w:p w14:paraId="26F180EC" w14:textId="77777777" w:rsidR="004B5852" w:rsidRPr="005819C4" w:rsidRDefault="004B5852" w:rsidP="00B3099B">
            <w:pPr>
              <w:jc w:val="center"/>
              <w:rPr>
                <w:sz w:val="22"/>
                <w:szCs w:val="22"/>
                <w:shd w:val="clear" w:color="auto" w:fill="FFFFFF"/>
              </w:rPr>
            </w:pPr>
            <w:r w:rsidRPr="005819C4">
              <w:rPr>
                <w:sz w:val="22"/>
                <w:szCs w:val="22"/>
                <w:shd w:val="clear" w:color="auto" w:fill="FFFFFF"/>
              </w:rPr>
              <w:t>1</w:t>
            </w:r>
          </w:p>
        </w:tc>
        <w:tc>
          <w:tcPr>
            <w:tcW w:w="656" w:type="pct"/>
          </w:tcPr>
          <w:p w14:paraId="19EB957C"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7DD26EEA" w14:textId="77777777" w:rsidR="004B5852" w:rsidRPr="005819C4" w:rsidRDefault="004B5852" w:rsidP="00B3099B">
            <w:pPr>
              <w:jc w:val="right"/>
              <w:rPr>
                <w:sz w:val="22"/>
                <w:szCs w:val="22"/>
                <w:shd w:val="clear" w:color="auto" w:fill="FFFFFF"/>
              </w:rPr>
            </w:pPr>
            <w:r w:rsidRPr="00970205">
              <w:rPr>
                <w:color w:val="000000"/>
                <w:sz w:val="22"/>
                <w:szCs w:val="22"/>
              </w:rPr>
              <w:t>43.9</w:t>
            </w:r>
          </w:p>
        </w:tc>
        <w:tc>
          <w:tcPr>
            <w:tcW w:w="656" w:type="pct"/>
            <w:vAlign w:val="center"/>
          </w:tcPr>
          <w:p w14:paraId="0CF6020B" w14:textId="77777777" w:rsidR="004B5852" w:rsidRPr="005819C4" w:rsidRDefault="004B5852" w:rsidP="00B3099B">
            <w:pPr>
              <w:jc w:val="right"/>
              <w:rPr>
                <w:sz w:val="22"/>
                <w:szCs w:val="22"/>
                <w:shd w:val="clear" w:color="auto" w:fill="FFFFFF"/>
              </w:rPr>
            </w:pPr>
            <w:r w:rsidRPr="00970205">
              <w:rPr>
                <w:color w:val="000000"/>
                <w:sz w:val="22"/>
                <w:szCs w:val="22"/>
              </w:rPr>
              <w:t>16.6</w:t>
            </w:r>
          </w:p>
        </w:tc>
        <w:tc>
          <w:tcPr>
            <w:tcW w:w="656" w:type="pct"/>
          </w:tcPr>
          <w:p w14:paraId="54B91D5D"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5CA8498E" w14:textId="77777777" w:rsidR="004B5852" w:rsidRPr="005819C4" w:rsidRDefault="004B5852" w:rsidP="00B3099B">
            <w:pPr>
              <w:jc w:val="right"/>
              <w:rPr>
                <w:sz w:val="22"/>
                <w:szCs w:val="22"/>
                <w:shd w:val="clear" w:color="auto" w:fill="FFFFFF"/>
              </w:rPr>
            </w:pPr>
            <w:r w:rsidRPr="00970205">
              <w:rPr>
                <w:color w:val="000000"/>
                <w:sz w:val="22"/>
                <w:szCs w:val="22"/>
              </w:rPr>
              <w:t>16.4</w:t>
            </w:r>
          </w:p>
        </w:tc>
        <w:tc>
          <w:tcPr>
            <w:tcW w:w="829" w:type="pct"/>
            <w:vMerge/>
            <w:vAlign w:val="center"/>
          </w:tcPr>
          <w:p w14:paraId="3F1AC572" w14:textId="77777777" w:rsidR="004B5852" w:rsidRPr="00737A03" w:rsidRDefault="004B5852" w:rsidP="00B3099B">
            <w:pPr>
              <w:jc w:val="center"/>
              <w:rPr>
                <w:color w:val="000000"/>
                <w:sz w:val="16"/>
                <w:szCs w:val="22"/>
              </w:rPr>
            </w:pPr>
          </w:p>
        </w:tc>
      </w:tr>
      <w:tr w:rsidR="004B5852" w:rsidRPr="00CE32A2" w14:paraId="5FF5B9D3" w14:textId="77777777" w:rsidTr="00B3099B">
        <w:tc>
          <w:tcPr>
            <w:tcW w:w="717" w:type="pct"/>
            <w:vAlign w:val="center"/>
          </w:tcPr>
          <w:p w14:paraId="30D1F031" w14:textId="77777777" w:rsidR="004B5852" w:rsidRPr="00CE32A2" w:rsidRDefault="004B5852" w:rsidP="00B3099B">
            <w:pPr>
              <w:rPr>
                <w:sz w:val="22"/>
                <w:szCs w:val="22"/>
                <w:shd w:val="clear" w:color="auto" w:fill="FFFFFF"/>
              </w:rPr>
            </w:pPr>
          </w:p>
        </w:tc>
        <w:tc>
          <w:tcPr>
            <w:tcW w:w="174" w:type="pct"/>
            <w:vAlign w:val="center"/>
          </w:tcPr>
          <w:p w14:paraId="00F857AE" w14:textId="77777777" w:rsidR="004B5852" w:rsidRPr="005819C4" w:rsidRDefault="004B5852" w:rsidP="00B3099B">
            <w:pPr>
              <w:jc w:val="center"/>
              <w:rPr>
                <w:sz w:val="22"/>
                <w:szCs w:val="22"/>
                <w:shd w:val="clear" w:color="auto" w:fill="FFFFFF"/>
              </w:rPr>
            </w:pPr>
            <w:r w:rsidRPr="005819C4">
              <w:rPr>
                <w:sz w:val="22"/>
                <w:szCs w:val="22"/>
                <w:shd w:val="clear" w:color="auto" w:fill="FFFFFF"/>
              </w:rPr>
              <w:t>2</w:t>
            </w:r>
          </w:p>
        </w:tc>
        <w:tc>
          <w:tcPr>
            <w:tcW w:w="656" w:type="pct"/>
          </w:tcPr>
          <w:p w14:paraId="52485EF3"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3D6F8355" w14:textId="77777777" w:rsidR="004B5852" w:rsidRPr="005819C4" w:rsidRDefault="004B5852" w:rsidP="00B3099B">
            <w:pPr>
              <w:jc w:val="right"/>
              <w:rPr>
                <w:sz w:val="22"/>
                <w:szCs w:val="22"/>
                <w:shd w:val="clear" w:color="auto" w:fill="FFFFFF"/>
              </w:rPr>
            </w:pPr>
            <w:r w:rsidRPr="00970205">
              <w:rPr>
                <w:color w:val="000000"/>
                <w:sz w:val="22"/>
                <w:szCs w:val="22"/>
              </w:rPr>
              <w:t>10.2</w:t>
            </w:r>
          </w:p>
        </w:tc>
        <w:tc>
          <w:tcPr>
            <w:tcW w:w="656" w:type="pct"/>
            <w:vAlign w:val="center"/>
          </w:tcPr>
          <w:p w14:paraId="7A0E228D" w14:textId="77777777" w:rsidR="004B5852" w:rsidRPr="005819C4" w:rsidRDefault="004B5852" w:rsidP="00B3099B">
            <w:pPr>
              <w:jc w:val="right"/>
              <w:rPr>
                <w:sz w:val="22"/>
                <w:szCs w:val="22"/>
                <w:shd w:val="clear" w:color="auto" w:fill="FFFFFF"/>
              </w:rPr>
            </w:pPr>
            <w:r w:rsidRPr="00970205">
              <w:rPr>
                <w:color w:val="000000"/>
                <w:sz w:val="22"/>
                <w:szCs w:val="22"/>
              </w:rPr>
              <w:t>5</w:t>
            </w:r>
          </w:p>
        </w:tc>
        <w:tc>
          <w:tcPr>
            <w:tcW w:w="656" w:type="pct"/>
          </w:tcPr>
          <w:p w14:paraId="0B5070CA"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2803A8B6" w14:textId="77777777" w:rsidR="004B5852" w:rsidRPr="005819C4" w:rsidRDefault="004B5852" w:rsidP="00B3099B">
            <w:pPr>
              <w:jc w:val="right"/>
              <w:rPr>
                <w:sz w:val="22"/>
                <w:szCs w:val="22"/>
                <w:shd w:val="clear" w:color="auto" w:fill="FFFFFF"/>
              </w:rPr>
            </w:pPr>
            <w:r w:rsidRPr="00970205">
              <w:rPr>
                <w:color w:val="000000"/>
                <w:sz w:val="22"/>
                <w:szCs w:val="22"/>
              </w:rPr>
              <w:t>4.4</w:t>
            </w:r>
          </w:p>
        </w:tc>
        <w:tc>
          <w:tcPr>
            <w:tcW w:w="829" w:type="pct"/>
            <w:vMerge/>
            <w:vAlign w:val="center"/>
          </w:tcPr>
          <w:p w14:paraId="2F6C11DB" w14:textId="77777777" w:rsidR="004B5852" w:rsidRPr="00737A03" w:rsidRDefault="004B5852" w:rsidP="00B3099B">
            <w:pPr>
              <w:jc w:val="center"/>
              <w:rPr>
                <w:color w:val="000000"/>
                <w:sz w:val="16"/>
                <w:szCs w:val="22"/>
              </w:rPr>
            </w:pPr>
          </w:p>
        </w:tc>
      </w:tr>
      <w:tr w:rsidR="004B5852" w:rsidRPr="00CE32A2" w14:paraId="254E6CAB" w14:textId="77777777" w:rsidTr="00B3099B">
        <w:tc>
          <w:tcPr>
            <w:tcW w:w="717" w:type="pct"/>
            <w:vAlign w:val="center"/>
          </w:tcPr>
          <w:p w14:paraId="70E6C77D" w14:textId="77777777" w:rsidR="004B5852" w:rsidRPr="00CE32A2" w:rsidRDefault="004B5852" w:rsidP="00B3099B">
            <w:pPr>
              <w:rPr>
                <w:sz w:val="22"/>
                <w:szCs w:val="22"/>
                <w:shd w:val="clear" w:color="auto" w:fill="FFFFFF"/>
              </w:rPr>
            </w:pPr>
            <w:r w:rsidRPr="00CE32A2">
              <w:rPr>
                <w:sz w:val="22"/>
                <w:szCs w:val="22"/>
                <w:shd w:val="clear" w:color="auto" w:fill="FFFFFF"/>
              </w:rPr>
              <w:t>Irritability problems</w:t>
            </w:r>
          </w:p>
        </w:tc>
        <w:tc>
          <w:tcPr>
            <w:tcW w:w="174" w:type="pct"/>
            <w:vAlign w:val="center"/>
          </w:tcPr>
          <w:p w14:paraId="607FFF91" w14:textId="77777777" w:rsidR="004B5852" w:rsidRPr="005819C4" w:rsidRDefault="004B5852" w:rsidP="00B3099B">
            <w:pPr>
              <w:jc w:val="center"/>
              <w:rPr>
                <w:sz w:val="22"/>
                <w:szCs w:val="22"/>
                <w:shd w:val="clear" w:color="auto" w:fill="FFFFFF"/>
              </w:rPr>
            </w:pPr>
            <w:r w:rsidRPr="00970205">
              <w:rPr>
                <w:sz w:val="22"/>
                <w:szCs w:val="22"/>
              </w:rPr>
              <w:t>0</w:t>
            </w:r>
          </w:p>
        </w:tc>
        <w:tc>
          <w:tcPr>
            <w:tcW w:w="656" w:type="pct"/>
          </w:tcPr>
          <w:p w14:paraId="297C52F1" w14:textId="77777777" w:rsidR="004B5852" w:rsidRPr="00970205" w:rsidRDefault="004B5852" w:rsidP="00B3099B">
            <w:pPr>
              <w:jc w:val="center"/>
              <w:rPr>
                <w:sz w:val="22"/>
                <w:szCs w:val="22"/>
              </w:rPr>
            </w:pPr>
            <w:r w:rsidRPr="00875177">
              <w:t>-</w:t>
            </w:r>
          </w:p>
        </w:tc>
        <w:tc>
          <w:tcPr>
            <w:tcW w:w="656" w:type="pct"/>
            <w:vAlign w:val="center"/>
          </w:tcPr>
          <w:p w14:paraId="2186A54B" w14:textId="77777777" w:rsidR="004B5852" w:rsidRPr="005819C4" w:rsidRDefault="004B5852" w:rsidP="00B3099B">
            <w:pPr>
              <w:jc w:val="right"/>
              <w:rPr>
                <w:sz w:val="22"/>
                <w:szCs w:val="22"/>
                <w:shd w:val="clear" w:color="auto" w:fill="FFFFFF"/>
              </w:rPr>
            </w:pPr>
            <w:r w:rsidRPr="00970205">
              <w:rPr>
                <w:color w:val="000000"/>
                <w:sz w:val="22"/>
                <w:szCs w:val="22"/>
              </w:rPr>
              <w:t>50.1</w:t>
            </w:r>
          </w:p>
        </w:tc>
        <w:tc>
          <w:tcPr>
            <w:tcW w:w="656" w:type="pct"/>
            <w:vAlign w:val="center"/>
          </w:tcPr>
          <w:p w14:paraId="457FFB7F" w14:textId="77777777" w:rsidR="004B5852" w:rsidRPr="005819C4" w:rsidRDefault="004B5852" w:rsidP="00B3099B">
            <w:pPr>
              <w:jc w:val="right"/>
              <w:rPr>
                <w:sz w:val="22"/>
                <w:szCs w:val="22"/>
                <w:shd w:val="clear" w:color="auto" w:fill="FFFFFF"/>
              </w:rPr>
            </w:pPr>
            <w:r w:rsidRPr="00970205">
              <w:rPr>
                <w:color w:val="000000"/>
                <w:sz w:val="22"/>
                <w:szCs w:val="22"/>
              </w:rPr>
              <w:t>82.3</w:t>
            </w:r>
          </w:p>
        </w:tc>
        <w:tc>
          <w:tcPr>
            <w:tcW w:w="656" w:type="pct"/>
          </w:tcPr>
          <w:p w14:paraId="59E01B64" w14:textId="77777777" w:rsidR="004B5852" w:rsidRPr="00970205" w:rsidRDefault="004B5852" w:rsidP="00B3099B">
            <w:pPr>
              <w:jc w:val="center"/>
              <w:rPr>
                <w:sz w:val="22"/>
                <w:szCs w:val="22"/>
              </w:rPr>
            </w:pPr>
            <w:r w:rsidRPr="004D1E70">
              <w:t>-</w:t>
            </w:r>
          </w:p>
        </w:tc>
        <w:tc>
          <w:tcPr>
            <w:tcW w:w="656" w:type="pct"/>
            <w:vAlign w:val="center"/>
          </w:tcPr>
          <w:p w14:paraId="0587A685" w14:textId="77777777" w:rsidR="004B5852" w:rsidRPr="005819C4" w:rsidRDefault="004B5852" w:rsidP="00B3099B">
            <w:pPr>
              <w:jc w:val="right"/>
              <w:rPr>
                <w:sz w:val="22"/>
                <w:szCs w:val="22"/>
                <w:shd w:val="clear" w:color="auto" w:fill="FFFFFF"/>
              </w:rPr>
            </w:pPr>
            <w:r w:rsidRPr="00970205">
              <w:rPr>
                <w:color w:val="000000"/>
                <w:sz w:val="22"/>
                <w:szCs w:val="22"/>
              </w:rPr>
              <w:t>87.6</w:t>
            </w:r>
          </w:p>
        </w:tc>
        <w:tc>
          <w:tcPr>
            <w:tcW w:w="829" w:type="pct"/>
            <w:vMerge w:val="restart"/>
            <w:vAlign w:val="center"/>
          </w:tcPr>
          <w:p w14:paraId="400BF1F7" w14:textId="77777777" w:rsidR="004B5852" w:rsidRPr="00737A03" w:rsidRDefault="004B5852" w:rsidP="00B3099B">
            <w:pPr>
              <w:jc w:val="center"/>
              <w:rPr>
                <w:color w:val="000000"/>
                <w:sz w:val="16"/>
                <w:szCs w:val="22"/>
              </w:rPr>
            </w:pPr>
            <w:r w:rsidRPr="00737A03">
              <w:rPr>
                <w:sz w:val="16"/>
              </w:rPr>
              <w:t>Ch&gt;US (</w:t>
            </w:r>
            <w:r w:rsidRPr="009A0CBE">
              <w:rPr>
                <w:i/>
                <w:sz w:val="16"/>
              </w:rPr>
              <w:t>p</w:t>
            </w:r>
            <w:r w:rsidRPr="00737A03">
              <w:rPr>
                <w:sz w:val="16"/>
              </w:rPr>
              <w:t>&lt;0.001); Ch&gt;</w:t>
            </w:r>
            <w:r w:rsidRPr="009A0CBE">
              <w:rPr>
                <w:sz w:val="16"/>
              </w:rPr>
              <w:t>Jp</w:t>
            </w:r>
            <w:r w:rsidRPr="00737A03">
              <w:rPr>
                <w:sz w:val="16"/>
              </w:rPr>
              <w:t xml:space="preserve"> (</w:t>
            </w:r>
            <w:r w:rsidRPr="009A0CBE">
              <w:rPr>
                <w:i/>
                <w:sz w:val="16"/>
              </w:rPr>
              <w:t>p</w:t>
            </w:r>
            <w:r w:rsidRPr="00737A03">
              <w:rPr>
                <w:sz w:val="16"/>
              </w:rPr>
              <w:t xml:space="preserve">&lt;0.001); </w:t>
            </w:r>
            <w:r w:rsidRPr="009A0CBE">
              <w:rPr>
                <w:sz w:val="16"/>
              </w:rPr>
              <w:t>Jp</w:t>
            </w:r>
            <w:r w:rsidRPr="00737A03">
              <w:rPr>
                <w:sz w:val="16"/>
              </w:rPr>
              <w:t>&gt;US (</w:t>
            </w:r>
            <w:r w:rsidRPr="009A0CBE">
              <w:rPr>
                <w:i/>
                <w:sz w:val="16"/>
              </w:rPr>
              <w:t>p</w:t>
            </w:r>
            <w:r w:rsidRPr="00737A03">
              <w:rPr>
                <w:sz w:val="16"/>
              </w:rPr>
              <w:t>=0.013)</w:t>
            </w:r>
          </w:p>
        </w:tc>
      </w:tr>
      <w:tr w:rsidR="004B5852" w:rsidRPr="00CE32A2" w14:paraId="647F6B59" w14:textId="77777777" w:rsidTr="00B3099B">
        <w:tc>
          <w:tcPr>
            <w:tcW w:w="717" w:type="pct"/>
            <w:vAlign w:val="center"/>
          </w:tcPr>
          <w:p w14:paraId="4CABB117" w14:textId="77777777" w:rsidR="004B5852" w:rsidRPr="00CE32A2" w:rsidRDefault="004B5852" w:rsidP="00B3099B">
            <w:pPr>
              <w:rPr>
                <w:sz w:val="22"/>
                <w:szCs w:val="22"/>
                <w:shd w:val="clear" w:color="auto" w:fill="FFFFFF"/>
              </w:rPr>
            </w:pPr>
          </w:p>
        </w:tc>
        <w:tc>
          <w:tcPr>
            <w:tcW w:w="174" w:type="pct"/>
            <w:vAlign w:val="center"/>
          </w:tcPr>
          <w:p w14:paraId="71B59871" w14:textId="77777777" w:rsidR="004B5852" w:rsidRPr="005819C4" w:rsidRDefault="004B5852" w:rsidP="00B3099B">
            <w:pPr>
              <w:jc w:val="center"/>
              <w:rPr>
                <w:sz w:val="22"/>
                <w:szCs w:val="22"/>
                <w:shd w:val="clear" w:color="auto" w:fill="FFFFFF"/>
              </w:rPr>
            </w:pPr>
            <w:r w:rsidRPr="005819C4">
              <w:rPr>
                <w:sz w:val="22"/>
                <w:szCs w:val="22"/>
                <w:shd w:val="clear" w:color="auto" w:fill="FFFFFF"/>
              </w:rPr>
              <w:t>1</w:t>
            </w:r>
          </w:p>
        </w:tc>
        <w:tc>
          <w:tcPr>
            <w:tcW w:w="656" w:type="pct"/>
          </w:tcPr>
          <w:p w14:paraId="5EA62621"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27119C3A" w14:textId="77777777" w:rsidR="004B5852" w:rsidRPr="005819C4" w:rsidRDefault="004B5852" w:rsidP="00B3099B">
            <w:pPr>
              <w:jc w:val="right"/>
              <w:rPr>
                <w:sz w:val="22"/>
                <w:szCs w:val="22"/>
                <w:shd w:val="clear" w:color="auto" w:fill="FFFFFF"/>
              </w:rPr>
            </w:pPr>
            <w:r w:rsidRPr="00970205">
              <w:rPr>
                <w:color w:val="000000"/>
                <w:sz w:val="22"/>
                <w:szCs w:val="22"/>
              </w:rPr>
              <w:t>42.2</w:t>
            </w:r>
          </w:p>
        </w:tc>
        <w:tc>
          <w:tcPr>
            <w:tcW w:w="656" w:type="pct"/>
            <w:vAlign w:val="center"/>
          </w:tcPr>
          <w:p w14:paraId="69A3278C" w14:textId="77777777" w:rsidR="004B5852" w:rsidRPr="005819C4" w:rsidRDefault="004B5852" w:rsidP="00B3099B">
            <w:pPr>
              <w:jc w:val="right"/>
              <w:rPr>
                <w:sz w:val="22"/>
                <w:szCs w:val="22"/>
                <w:shd w:val="clear" w:color="auto" w:fill="FFFFFF"/>
              </w:rPr>
            </w:pPr>
            <w:r w:rsidRPr="00970205">
              <w:rPr>
                <w:color w:val="000000"/>
                <w:sz w:val="22"/>
                <w:szCs w:val="22"/>
              </w:rPr>
              <w:t>13.8</w:t>
            </w:r>
          </w:p>
        </w:tc>
        <w:tc>
          <w:tcPr>
            <w:tcW w:w="656" w:type="pct"/>
          </w:tcPr>
          <w:p w14:paraId="333114D4"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7CF8E33A" w14:textId="77777777" w:rsidR="004B5852" w:rsidRPr="005819C4" w:rsidRDefault="004B5852" w:rsidP="00B3099B">
            <w:pPr>
              <w:jc w:val="right"/>
              <w:rPr>
                <w:sz w:val="22"/>
                <w:szCs w:val="22"/>
                <w:shd w:val="clear" w:color="auto" w:fill="FFFFFF"/>
              </w:rPr>
            </w:pPr>
            <w:r w:rsidRPr="00970205">
              <w:rPr>
                <w:color w:val="000000"/>
                <w:sz w:val="22"/>
                <w:szCs w:val="22"/>
              </w:rPr>
              <w:t>9.5</w:t>
            </w:r>
          </w:p>
        </w:tc>
        <w:tc>
          <w:tcPr>
            <w:tcW w:w="829" w:type="pct"/>
            <w:vMerge/>
          </w:tcPr>
          <w:p w14:paraId="73321C95" w14:textId="77777777" w:rsidR="004B5852" w:rsidRPr="008537BB" w:rsidRDefault="004B5852" w:rsidP="00B3099B">
            <w:pPr>
              <w:jc w:val="right"/>
              <w:rPr>
                <w:color w:val="000000"/>
                <w:sz w:val="22"/>
                <w:szCs w:val="22"/>
              </w:rPr>
            </w:pPr>
          </w:p>
        </w:tc>
      </w:tr>
      <w:tr w:rsidR="004B5852" w:rsidRPr="00CE32A2" w14:paraId="04EEB6DE" w14:textId="77777777" w:rsidTr="00B3099B">
        <w:tc>
          <w:tcPr>
            <w:tcW w:w="717" w:type="pct"/>
            <w:vAlign w:val="center"/>
          </w:tcPr>
          <w:p w14:paraId="074632D7" w14:textId="77777777" w:rsidR="004B5852" w:rsidRPr="00CE32A2" w:rsidRDefault="004B5852" w:rsidP="00B3099B">
            <w:pPr>
              <w:rPr>
                <w:sz w:val="22"/>
                <w:szCs w:val="22"/>
                <w:shd w:val="clear" w:color="auto" w:fill="FFFFFF"/>
              </w:rPr>
            </w:pPr>
          </w:p>
        </w:tc>
        <w:tc>
          <w:tcPr>
            <w:tcW w:w="174" w:type="pct"/>
            <w:vAlign w:val="center"/>
          </w:tcPr>
          <w:p w14:paraId="2B191F19" w14:textId="77777777" w:rsidR="004B5852" w:rsidRPr="005819C4" w:rsidRDefault="004B5852" w:rsidP="00B3099B">
            <w:pPr>
              <w:jc w:val="center"/>
              <w:rPr>
                <w:sz w:val="22"/>
                <w:szCs w:val="22"/>
                <w:shd w:val="clear" w:color="auto" w:fill="FFFFFF"/>
              </w:rPr>
            </w:pPr>
            <w:r w:rsidRPr="005819C4">
              <w:rPr>
                <w:sz w:val="22"/>
                <w:szCs w:val="22"/>
                <w:shd w:val="clear" w:color="auto" w:fill="FFFFFF"/>
              </w:rPr>
              <w:t>2</w:t>
            </w:r>
          </w:p>
        </w:tc>
        <w:tc>
          <w:tcPr>
            <w:tcW w:w="656" w:type="pct"/>
          </w:tcPr>
          <w:p w14:paraId="7DCAD65F" w14:textId="77777777" w:rsidR="004B5852" w:rsidRPr="005819C4" w:rsidRDefault="004B5852" w:rsidP="00B3099B">
            <w:pPr>
              <w:jc w:val="center"/>
              <w:rPr>
                <w:sz w:val="22"/>
                <w:szCs w:val="22"/>
                <w:shd w:val="clear" w:color="auto" w:fill="FFFFFF"/>
              </w:rPr>
            </w:pPr>
            <w:r w:rsidRPr="00875177">
              <w:t>-</w:t>
            </w:r>
          </w:p>
        </w:tc>
        <w:tc>
          <w:tcPr>
            <w:tcW w:w="656" w:type="pct"/>
            <w:vAlign w:val="center"/>
          </w:tcPr>
          <w:p w14:paraId="698F07F9" w14:textId="77777777" w:rsidR="004B5852" w:rsidRPr="005819C4" w:rsidRDefault="004B5852" w:rsidP="00B3099B">
            <w:pPr>
              <w:jc w:val="right"/>
              <w:rPr>
                <w:sz w:val="22"/>
                <w:szCs w:val="22"/>
                <w:shd w:val="clear" w:color="auto" w:fill="FFFFFF"/>
              </w:rPr>
            </w:pPr>
            <w:r w:rsidRPr="00970205">
              <w:rPr>
                <w:color w:val="000000"/>
                <w:sz w:val="22"/>
                <w:szCs w:val="22"/>
              </w:rPr>
              <w:t>7.7</w:t>
            </w:r>
          </w:p>
        </w:tc>
        <w:tc>
          <w:tcPr>
            <w:tcW w:w="656" w:type="pct"/>
            <w:vAlign w:val="center"/>
          </w:tcPr>
          <w:p w14:paraId="2F31D943" w14:textId="77777777" w:rsidR="004B5852" w:rsidRPr="005819C4" w:rsidRDefault="004B5852" w:rsidP="00B3099B">
            <w:pPr>
              <w:jc w:val="right"/>
              <w:rPr>
                <w:sz w:val="22"/>
                <w:szCs w:val="22"/>
                <w:shd w:val="clear" w:color="auto" w:fill="FFFFFF"/>
              </w:rPr>
            </w:pPr>
            <w:r w:rsidRPr="00970205">
              <w:rPr>
                <w:color w:val="000000"/>
                <w:sz w:val="22"/>
                <w:szCs w:val="22"/>
              </w:rPr>
              <w:t>3.9</w:t>
            </w:r>
          </w:p>
        </w:tc>
        <w:tc>
          <w:tcPr>
            <w:tcW w:w="656" w:type="pct"/>
          </w:tcPr>
          <w:p w14:paraId="2668B835" w14:textId="77777777" w:rsidR="004B5852" w:rsidRPr="005819C4" w:rsidRDefault="004B5852" w:rsidP="00B3099B">
            <w:pPr>
              <w:jc w:val="center"/>
              <w:rPr>
                <w:sz w:val="22"/>
                <w:szCs w:val="22"/>
                <w:shd w:val="clear" w:color="auto" w:fill="FFFFFF"/>
              </w:rPr>
            </w:pPr>
            <w:r w:rsidRPr="004D1E70">
              <w:t>-</w:t>
            </w:r>
          </w:p>
        </w:tc>
        <w:tc>
          <w:tcPr>
            <w:tcW w:w="656" w:type="pct"/>
            <w:vAlign w:val="center"/>
          </w:tcPr>
          <w:p w14:paraId="1A6F8D11" w14:textId="77777777" w:rsidR="004B5852" w:rsidRPr="005819C4" w:rsidRDefault="004B5852" w:rsidP="00B3099B">
            <w:pPr>
              <w:jc w:val="right"/>
              <w:rPr>
                <w:sz w:val="22"/>
                <w:szCs w:val="22"/>
                <w:shd w:val="clear" w:color="auto" w:fill="FFFFFF"/>
              </w:rPr>
            </w:pPr>
            <w:r w:rsidRPr="00970205">
              <w:rPr>
                <w:color w:val="000000"/>
                <w:sz w:val="22"/>
                <w:szCs w:val="22"/>
              </w:rPr>
              <w:t>3</w:t>
            </w:r>
          </w:p>
        </w:tc>
        <w:tc>
          <w:tcPr>
            <w:tcW w:w="829" w:type="pct"/>
            <w:vMerge/>
          </w:tcPr>
          <w:p w14:paraId="4483876A" w14:textId="77777777" w:rsidR="004B5852" w:rsidRPr="008537BB" w:rsidRDefault="004B5852" w:rsidP="00B3099B">
            <w:pPr>
              <w:jc w:val="right"/>
              <w:rPr>
                <w:color w:val="000000"/>
                <w:sz w:val="22"/>
                <w:szCs w:val="22"/>
              </w:rPr>
            </w:pPr>
          </w:p>
        </w:tc>
      </w:tr>
      <w:tr w:rsidR="004B5852" w:rsidRPr="00CE32A2" w14:paraId="775A6AF2" w14:textId="77777777" w:rsidTr="00B3099B">
        <w:tc>
          <w:tcPr>
            <w:tcW w:w="717" w:type="pct"/>
            <w:vAlign w:val="center"/>
          </w:tcPr>
          <w:p w14:paraId="54EA0F74" w14:textId="77777777" w:rsidR="004B5852" w:rsidRPr="00CE32A2" w:rsidRDefault="004B5852" w:rsidP="00B3099B">
            <w:pPr>
              <w:rPr>
                <w:sz w:val="22"/>
                <w:szCs w:val="22"/>
                <w:shd w:val="clear" w:color="auto" w:fill="FFFFFF"/>
              </w:rPr>
            </w:pPr>
            <w:r w:rsidRPr="00CE32A2">
              <w:rPr>
                <w:b/>
                <w:bCs/>
                <w:sz w:val="22"/>
                <w:szCs w:val="22"/>
                <w:shd w:val="clear" w:color="auto" w:fill="FFFFFF"/>
              </w:rPr>
              <w:t>Youth Report</w:t>
            </w:r>
          </w:p>
        </w:tc>
        <w:tc>
          <w:tcPr>
            <w:tcW w:w="174" w:type="pct"/>
          </w:tcPr>
          <w:p w14:paraId="325FC6CF" w14:textId="77777777" w:rsidR="004B5852" w:rsidRPr="00CE32A2" w:rsidRDefault="004B5852" w:rsidP="00B3099B">
            <w:pPr>
              <w:jc w:val="center"/>
              <w:rPr>
                <w:b/>
                <w:bCs/>
                <w:sz w:val="22"/>
                <w:szCs w:val="22"/>
                <w:shd w:val="clear" w:color="auto" w:fill="FFFFFF"/>
              </w:rPr>
            </w:pPr>
          </w:p>
        </w:tc>
        <w:tc>
          <w:tcPr>
            <w:tcW w:w="656" w:type="pct"/>
            <w:vAlign w:val="center"/>
          </w:tcPr>
          <w:p w14:paraId="1F5ABBBB"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Brazil</w:t>
            </w:r>
          </w:p>
        </w:tc>
        <w:tc>
          <w:tcPr>
            <w:tcW w:w="656" w:type="pct"/>
            <w:vAlign w:val="center"/>
          </w:tcPr>
          <w:p w14:paraId="76E0C82D" w14:textId="77777777" w:rsidR="004B5852" w:rsidRPr="00CE32A2" w:rsidRDefault="004B5852" w:rsidP="00B3099B">
            <w:pPr>
              <w:jc w:val="center"/>
              <w:rPr>
                <w:sz w:val="22"/>
                <w:szCs w:val="22"/>
                <w:shd w:val="clear" w:color="auto" w:fill="FFFFFF"/>
              </w:rPr>
            </w:pPr>
            <w:r w:rsidRPr="00CE32A2">
              <w:rPr>
                <w:b/>
                <w:bCs/>
                <w:sz w:val="22"/>
                <w:szCs w:val="22"/>
                <w:shd w:val="clear" w:color="auto" w:fill="FFFFFF"/>
              </w:rPr>
              <w:t>China</w:t>
            </w:r>
          </w:p>
        </w:tc>
        <w:tc>
          <w:tcPr>
            <w:tcW w:w="656" w:type="pct"/>
            <w:vAlign w:val="center"/>
          </w:tcPr>
          <w:p w14:paraId="286C5EFC"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Japan</w:t>
            </w:r>
          </w:p>
        </w:tc>
        <w:tc>
          <w:tcPr>
            <w:tcW w:w="656" w:type="pct"/>
            <w:vAlign w:val="center"/>
          </w:tcPr>
          <w:p w14:paraId="6084AE1B"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Spain</w:t>
            </w:r>
          </w:p>
        </w:tc>
        <w:tc>
          <w:tcPr>
            <w:tcW w:w="656" w:type="pct"/>
            <w:vAlign w:val="center"/>
          </w:tcPr>
          <w:p w14:paraId="5D18235D" w14:textId="77777777" w:rsidR="004B5852" w:rsidRPr="00CE32A2" w:rsidRDefault="004B5852" w:rsidP="00B3099B">
            <w:pPr>
              <w:jc w:val="center"/>
              <w:rPr>
                <w:b/>
                <w:bCs/>
                <w:sz w:val="22"/>
                <w:szCs w:val="22"/>
                <w:shd w:val="clear" w:color="auto" w:fill="FFFFFF"/>
              </w:rPr>
            </w:pPr>
            <w:r w:rsidRPr="00CE32A2">
              <w:rPr>
                <w:b/>
                <w:bCs/>
                <w:sz w:val="22"/>
                <w:szCs w:val="22"/>
                <w:shd w:val="clear" w:color="auto" w:fill="FFFFFF"/>
              </w:rPr>
              <w:t>US</w:t>
            </w:r>
          </w:p>
        </w:tc>
        <w:tc>
          <w:tcPr>
            <w:tcW w:w="829" w:type="pct"/>
          </w:tcPr>
          <w:p w14:paraId="021193A9" w14:textId="77777777" w:rsidR="004B5852" w:rsidRPr="00CE32A2" w:rsidRDefault="004B5852" w:rsidP="00B3099B">
            <w:pPr>
              <w:jc w:val="center"/>
              <w:rPr>
                <w:b/>
                <w:bCs/>
                <w:sz w:val="22"/>
                <w:szCs w:val="22"/>
                <w:shd w:val="clear" w:color="auto" w:fill="FFFFFF"/>
              </w:rPr>
            </w:pPr>
          </w:p>
        </w:tc>
      </w:tr>
      <w:tr w:rsidR="004B5852" w:rsidRPr="00CE32A2" w14:paraId="68EE054D" w14:textId="77777777" w:rsidTr="00B3099B">
        <w:tc>
          <w:tcPr>
            <w:tcW w:w="717" w:type="pct"/>
            <w:vAlign w:val="center"/>
          </w:tcPr>
          <w:p w14:paraId="62C5BABA" w14:textId="77777777" w:rsidR="004B5852" w:rsidRPr="00CE32A2" w:rsidRDefault="004B5852" w:rsidP="00B3099B">
            <w:pPr>
              <w:rPr>
                <w:sz w:val="22"/>
                <w:szCs w:val="22"/>
                <w:shd w:val="clear" w:color="auto" w:fill="FFFFFF"/>
              </w:rPr>
            </w:pPr>
            <w:r w:rsidRPr="00CE32A2">
              <w:rPr>
                <w:b/>
                <w:bCs/>
                <w:sz w:val="22"/>
                <w:szCs w:val="22"/>
                <w:shd w:val="clear" w:color="auto" w:fill="FFFFFF"/>
              </w:rPr>
              <w:t>Item</w:t>
            </w:r>
            <w:r>
              <w:rPr>
                <w:b/>
                <w:bCs/>
                <w:sz w:val="22"/>
                <w:szCs w:val="22"/>
                <w:shd w:val="clear" w:color="auto" w:fill="FFFFFF"/>
              </w:rPr>
              <w:t xml:space="preserve"> and score</w:t>
            </w:r>
          </w:p>
        </w:tc>
        <w:tc>
          <w:tcPr>
            <w:tcW w:w="174" w:type="pct"/>
            <w:vAlign w:val="center"/>
          </w:tcPr>
          <w:p w14:paraId="5699693B" w14:textId="77777777" w:rsidR="004B5852" w:rsidRPr="00C05198" w:rsidRDefault="004B5852" w:rsidP="00B3099B">
            <w:pPr>
              <w:jc w:val="center"/>
              <w:rPr>
                <w:sz w:val="22"/>
                <w:szCs w:val="22"/>
                <w:shd w:val="clear" w:color="auto" w:fill="FFFFFF"/>
              </w:rPr>
            </w:pPr>
          </w:p>
        </w:tc>
        <w:tc>
          <w:tcPr>
            <w:tcW w:w="656" w:type="pct"/>
            <w:vAlign w:val="center"/>
          </w:tcPr>
          <w:p w14:paraId="5666D958" w14:textId="77777777" w:rsidR="004B5852" w:rsidRPr="00CE32A2" w:rsidRDefault="004B5852" w:rsidP="00B3099B">
            <w:pPr>
              <w:jc w:val="center"/>
              <w:rPr>
                <w:sz w:val="22"/>
                <w:szCs w:val="22"/>
                <w:shd w:val="clear" w:color="auto" w:fill="FFFFFF"/>
              </w:rPr>
            </w:pPr>
            <w:r w:rsidRPr="00C05198">
              <w:rPr>
                <w:sz w:val="22"/>
                <w:szCs w:val="22"/>
                <w:shd w:val="clear" w:color="auto" w:fill="FFFFFF"/>
              </w:rPr>
              <w:t>%</w:t>
            </w:r>
          </w:p>
        </w:tc>
        <w:tc>
          <w:tcPr>
            <w:tcW w:w="656" w:type="pct"/>
            <w:vAlign w:val="center"/>
          </w:tcPr>
          <w:p w14:paraId="42ACE7CD" w14:textId="77777777" w:rsidR="004B5852" w:rsidRPr="00CE32A2" w:rsidRDefault="004B5852" w:rsidP="00B3099B">
            <w:pPr>
              <w:jc w:val="center"/>
              <w:rPr>
                <w:sz w:val="22"/>
                <w:szCs w:val="22"/>
                <w:shd w:val="clear" w:color="auto" w:fill="FFFFFF"/>
              </w:rPr>
            </w:pPr>
            <w:r w:rsidRPr="00C05198">
              <w:rPr>
                <w:sz w:val="22"/>
                <w:szCs w:val="22"/>
                <w:shd w:val="clear" w:color="auto" w:fill="FFFFFF"/>
              </w:rPr>
              <w:t>%</w:t>
            </w:r>
          </w:p>
        </w:tc>
        <w:tc>
          <w:tcPr>
            <w:tcW w:w="656" w:type="pct"/>
            <w:vAlign w:val="center"/>
          </w:tcPr>
          <w:p w14:paraId="7E456D59" w14:textId="77777777" w:rsidR="004B5852" w:rsidRPr="00CE32A2" w:rsidRDefault="004B5852" w:rsidP="00B3099B">
            <w:pPr>
              <w:jc w:val="center"/>
              <w:rPr>
                <w:sz w:val="22"/>
                <w:szCs w:val="22"/>
                <w:shd w:val="clear" w:color="auto" w:fill="FFFFFF"/>
              </w:rPr>
            </w:pPr>
            <w:r w:rsidRPr="00C05198">
              <w:rPr>
                <w:sz w:val="22"/>
                <w:szCs w:val="22"/>
                <w:shd w:val="clear" w:color="auto" w:fill="FFFFFF"/>
              </w:rPr>
              <w:t>%</w:t>
            </w:r>
          </w:p>
        </w:tc>
        <w:tc>
          <w:tcPr>
            <w:tcW w:w="656" w:type="pct"/>
            <w:vAlign w:val="center"/>
          </w:tcPr>
          <w:p w14:paraId="4880F348" w14:textId="77777777" w:rsidR="004B5852" w:rsidRPr="00CE32A2" w:rsidRDefault="004B5852" w:rsidP="00B3099B">
            <w:pPr>
              <w:jc w:val="center"/>
              <w:rPr>
                <w:sz w:val="22"/>
                <w:szCs w:val="22"/>
                <w:shd w:val="clear" w:color="auto" w:fill="FFFFFF"/>
              </w:rPr>
            </w:pPr>
            <w:r w:rsidRPr="00C05198">
              <w:rPr>
                <w:sz w:val="22"/>
                <w:szCs w:val="22"/>
                <w:shd w:val="clear" w:color="auto" w:fill="FFFFFF"/>
              </w:rPr>
              <w:t>%</w:t>
            </w:r>
          </w:p>
        </w:tc>
        <w:tc>
          <w:tcPr>
            <w:tcW w:w="656" w:type="pct"/>
            <w:vAlign w:val="center"/>
          </w:tcPr>
          <w:p w14:paraId="1601E60E" w14:textId="77777777" w:rsidR="004B5852" w:rsidRPr="00CE32A2" w:rsidRDefault="004B5852" w:rsidP="00B3099B">
            <w:pPr>
              <w:jc w:val="center"/>
              <w:rPr>
                <w:sz w:val="22"/>
                <w:szCs w:val="22"/>
                <w:shd w:val="clear" w:color="auto" w:fill="FFFFFF"/>
              </w:rPr>
            </w:pPr>
            <w:r w:rsidRPr="00C05198">
              <w:rPr>
                <w:sz w:val="22"/>
                <w:szCs w:val="22"/>
                <w:shd w:val="clear" w:color="auto" w:fill="FFFFFF"/>
              </w:rPr>
              <w:t>%</w:t>
            </w:r>
          </w:p>
        </w:tc>
        <w:tc>
          <w:tcPr>
            <w:tcW w:w="829" w:type="pct"/>
          </w:tcPr>
          <w:p w14:paraId="61E352D8" w14:textId="77777777" w:rsidR="004B5852" w:rsidRPr="00C05198" w:rsidRDefault="004B5852" w:rsidP="00B3099B">
            <w:pPr>
              <w:jc w:val="center"/>
              <w:rPr>
                <w:sz w:val="22"/>
                <w:szCs w:val="22"/>
                <w:shd w:val="clear" w:color="auto" w:fill="FFFFFF"/>
              </w:rPr>
            </w:pPr>
          </w:p>
        </w:tc>
      </w:tr>
      <w:tr w:rsidR="004B5852" w:rsidRPr="00CE32A2" w14:paraId="4B9E77D6" w14:textId="77777777" w:rsidTr="00B3099B">
        <w:tc>
          <w:tcPr>
            <w:tcW w:w="717" w:type="pct"/>
            <w:vAlign w:val="center"/>
          </w:tcPr>
          <w:p w14:paraId="0E4E5D34" w14:textId="77777777" w:rsidR="004B5852" w:rsidRPr="00CE32A2" w:rsidRDefault="004B5852" w:rsidP="00B3099B">
            <w:pPr>
              <w:rPr>
                <w:sz w:val="22"/>
                <w:szCs w:val="22"/>
                <w:shd w:val="clear" w:color="auto" w:fill="FFFFFF"/>
              </w:rPr>
            </w:pPr>
            <w:r w:rsidRPr="00CE32A2">
              <w:rPr>
                <w:sz w:val="22"/>
                <w:szCs w:val="22"/>
                <w:shd w:val="clear" w:color="auto" w:fill="FFFFFF"/>
              </w:rPr>
              <w:t>Annoyed</w:t>
            </w:r>
          </w:p>
        </w:tc>
        <w:tc>
          <w:tcPr>
            <w:tcW w:w="174" w:type="pct"/>
            <w:vAlign w:val="center"/>
          </w:tcPr>
          <w:p w14:paraId="6F5A3B86" w14:textId="77777777" w:rsidR="004B5852" w:rsidRPr="00CE32A2" w:rsidRDefault="004B5852" w:rsidP="00B3099B">
            <w:pPr>
              <w:jc w:val="center"/>
              <w:rPr>
                <w:sz w:val="22"/>
                <w:szCs w:val="22"/>
                <w:shd w:val="clear" w:color="auto" w:fill="FFFFFF"/>
              </w:rPr>
            </w:pPr>
            <w:r w:rsidRPr="00597610">
              <w:rPr>
                <w:sz w:val="22"/>
                <w:szCs w:val="22"/>
              </w:rPr>
              <w:t>0</w:t>
            </w:r>
          </w:p>
        </w:tc>
        <w:tc>
          <w:tcPr>
            <w:tcW w:w="656" w:type="pct"/>
            <w:vAlign w:val="center"/>
          </w:tcPr>
          <w:p w14:paraId="73AA8740" w14:textId="77777777" w:rsidR="004B5852" w:rsidRPr="00970205" w:rsidRDefault="004B5852" w:rsidP="00B3099B">
            <w:pPr>
              <w:jc w:val="right"/>
              <w:rPr>
                <w:color w:val="000000"/>
                <w:sz w:val="22"/>
                <w:szCs w:val="22"/>
              </w:rPr>
            </w:pPr>
            <w:r w:rsidRPr="00970205">
              <w:rPr>
                <w:color w:val="000000"/>
                <w:sz w:val="22"/>
                <w:szCs w:val="22"/>
              </w:rPr>
              <w:t>45.9</w:t>
            </w:r>
          </w:p>
        </w:tc>
        <w:tc>
          <w:tcPr>
            <w:tcW w:w="656" w:type="pct"/>
            <w:vAlign w:val="center"/>
          </w:tcPr>
          <w:p w14:paraId="7013A0F3" w14:textId="77777777" w:rsidR="004B5852" w:rsidRPr="00970205" w:rsidRDefault="004B5852" w:rsidP="00B3099B">
            <w:pPr>
              <w:jc w:val="right"/>
              <w:rPr>
                <w:color w:val="000000"/>
                <w:sz w:val="22"/>
                <w:szCs w:val="22"/>
              </w:rPr>
            </w:pPr>
            <w:r w:rsidRPr="00970205">
              <w:rPr>
                <w:color w:val="000000"/>
                <w:sz w:val="22"/>
                <w:szCs w:val="22"/>
              </w:rPr>
              <w:t>46.8</w:t>
            </w:r>
          </w:p>
        </w:tc>
        <w:tc>
          <w:tcPr>
            <w:tcW w:w="656" w:type="pct"/>
          </w:tcPr>
          <w:p w14:paraId="3C129079" w14:textId="77777777" w:rsidR="004B5852" w:rsidRPr="00970205" w:rsidRDefault="004B5852" w:rsidP="00B3099B">
            <w:pPr>
              <w:jc w:val="center"/>
              <w:rPr>
                <w:color w:val="000000"/>
                <w:sz w:val="22"/>
                <w:szCs w:val="22"/>
              </w:rPr>
            </w:pPr>
            <w:r w:rsidRPr="004D1E70">
              <w:t>-</w:t>
            </w:r>
          </w:p>
        </w:tc>
        <w:tc>
          <w:tcPr>
            <w:tcW w:w="656" w:type="pct"/>
            <w:vAlign w:val="center"/>
          </w:tcPr>
          <w:p w14:paraId="2F3D5816" w14:textId="77777777" w:rsidR="004B5852" w:rsidRPr="00970205" w:rsidRDefault="004B5852" w:rsidP="00B3099B">
            <w:pPr>
              <w:jc w:val="right"/>
              <w:rPr>
                <w:color w:val="000000"/>
                <w:sz w:val="22"/>
                <w:szCs w:val="22"/>
              </w:rPr>
            </w:pPr>
            <w:r w:rsidRPr="00970205">
              <w:rPr>
                <w:color w:val="000000"/>
                <w:sz w:val="22"/>
                <w:szCs w:val="22"/>
              </w:rPr>
              <w:t>68</w:t>
            </w:r>
          </w:p>
        </w:tc>
        <w:tc>
          <w:tcPr>
            <w:tcW w:w="656" w:type="pct"/>
            <w:vAlign w:val="center"/>
          </w:tcPr>
          <w:p w14:paraId="5F690D92" w14:textId="77777777" w:rsidR="004B5852" w:rsidRPr="00970205" w:rsidRDefault="004B5852" w:rsidP="00B3099B">
            <w:pPr>
              <w:jc w:val="right"/>
              <w:rPr>
                <w:color w:val="000000"/>
                <w:sz w:val="22"/>
                <w:szCs w:val="22"/>
              </w:rPr>
            </w:pPr>
            <w:r w:rsidRPr="00970205">
              <w:rPr>
                <w:color w:val="000000"/>
                <w:sz w:val="22"/>
                <w:szCs w:val="22"/>
              </w:rPr>
              <w:t>42.6</w:t>
            </w:r>
          </w:p>
        </w:tc>
        <w:tc>
          <w:tcPr>
            <w:tcW w:w="829" w:type="pct"/>
            <w:vMerge w:val="restart"/>
            <w:vAlign w:val="center"/>
          </w:tcPr>
          <w:p w14:paraId="5C3A821D" w14:textId="77777777" w:rsidR="004B5852" w:rsidRPr="00737A03" w:rsidRDefault="004B5852" w:rsidP="00B3099B">
            <w:pPr>
              <w:jc w:val="center"/>
              <w:rPr>
                <w:color w:val="000000"/>
                <w:sz w:val="16"/>
                <w:szCs w:val="22"/>
              </w:rPr>
            </w:pPr>
            <w:r w:rsidRPr="00737A03">
              <w:rPr>
                <w:sz w:val="16"/>
              </w:rPr>
              <w:t>Br,</w:t>
            </w:r>
            <w:r>
              <w:rPr>
                <w:sz w:val="16"/>
              </w:rPr>
              <w:t xml:space="preserve"> </w:t>
            </w:r>
            <w:r w:rsidRPr="00737A03">
              <w:rPr>
                <w:sz w:val="16"/>
              </w:rPr>
              <w:t>Ch,</w:t>
            </w:r>
            <w:r>
              <w:rPr>
                <w:sz w:val="16"/>
              </w:rPr>
              <w:t xml:space="preserve"> </w:t>
            </w:r>
            <w:r w:rsidRPr="00737A03">
              <w:rPr>
                <w:sz w:val="16"/>
              </w:rPr>
              <w:t>US&gt;</w:t>
            </w:r>
            <w:r w:rsidRPr="009A0CBE">
              <w:rPr>
                <w:sz w:val="16"/>
              </w:rPr>
              <w:t>Sp</w:t>
            </w:r>
            <w:r w:rsidRPr="00737A03">
              <w:rPr>
                <w:sz w:val="16"/>
              </w:rPr>
              <w:t xml:space="preserve"> (all </w:t>
            </w:r>
            <w:r w:rsidRPr="009A0CBE">
              <w:rPr>
                <w:i/>
                <w:sz w:val="16"/>
              </w:rPr>
              <w:t>p</w:t>
            </w:r>
            <w:r w:rsidRPr="00737A03">
              <w:rPr>
                <w:sz w:val="16"/>
              </w:rPr>
              <w:t>&lt;0.001)</w:t>
            </w:r>
          </w:p>
        </w:tc>
      </w:tr>
      <w:tr w:rsidR="004B5852" w:rsidRPr="00CE32A2" w14:paraId="694F7449" w14:textId="77777777" w:rsidTr="00B3099B">
        <w:tc>
          <w:tcPr>
            <w:tcW w:w="717" w:type="pct"/>
            <w:vAlign w:val="center"/>
          </w:tcPr>
          <w:p w14:paraId="19683CC3" w14:textId="77777777" w:rsidR="004B5852" w:rsidRPr="00CE32A2" w:rsidRDefault="004B5852" w:rsidP="00B3099B">
            <w:pPr>
              <w:rPr>
                <w:sz w:val="22"/>
                <w:szCs w:val="22"/>
                <w:shd w:val="clear" w:color="auto" w:fill="FFFFFF"/>
              </w:rPr>
            </w:pPr>
          </w:p>
        </w:tc>
        <w:tc>
          <w:tcPr>
            <w:tcW w:w="174" w:type="pct"/>
            <w:vAlign w:val="center"/>
          </w:tcPr>
          <w:p w14:paraId="4EEFCD85" w14:textId="77777777" w:rsidR="004B5852" w:rsidRPr="00CE32A2" w:rsidRDefault="004B5852" w:rsidP="00B3099B">
            <w:pPr>
              <w:jc w:val="center"/>
              <w:rPr>
                <w:sz w:val="22"/>
                <w:szCs w:val="22"/>
                <w:shd w:val="clear" w:color="auto" w:fill="FFFFFF"/>
              </w:rPr>
            </w:pPr>
            <w:r w:rsidRPr="005819C4">
              <w:rPr>
                <w:sz w:val="22"/>
                <w:szCs w:val="22"/>
                <w:shd w:val="clear" w:color="auto" w:fill="FFFFFF"/>
              </w:rPr>
              <w:t>1</w:t>
            </w:r>
          </w:p>
        </w:tc>
        <w:tc>
          <w:tcPr>
            <w:tcW w:w="656" w:type="pct"/>
            <w:vAlign w:val="center"/>
          </w:tcPr>
          <w:p w14:paraId="60AC487F" w14:textId="77777777" w:rsidR="004B5852" w:rsidRPr="00970205" w:rsidRDefault="004B5852" w:rsidP="00B3099B">
            <w:pPr>
              <w:jc w:val="right"/>
              <w:rPr>
                <w:color w:val="000000"/>
                <w:sz w:val="22"/>
                <w:szCs w:val="22"/>
              </w:rPr>
            </w:pPr>
            <w:r w:rsidRPr="00970205">
              <w:rPr>
                <w:color w:val="000000"/>
                <w:sz w:val="22"/>
                <w:szCs w:val="22"/>
              </w:rPr>
              <w:t>39.9</w:t>
            </w:r>
          </w:p>
        </w:tc>
        <w:tc>
          <w:tcPr>
            <w:tcW w:w="656" w:type="pct"/>
            <w:vAlign w:val="center"/>
          </w:tcPr>
          <w:p w14:paraId="4C662087" w14:textId="77777777" w:rsidR="004B5852" w:rsidRPr="00970205" w:rsidRDefault="004B5852" w:rsidP="00B3099B">
            <w:pPr>
              <w:jc w:val="right"/>
              <w:rPr>
                <w:color w:val="000000"/>
                <w:sz w:val="22"/>
                <w:szCs w:val="22"/>
              </w:rPr>
            </w:pPr>
            <w:r w:rsidRPr="00970205">
              <w:rPr>
                <w:color w:val="000000"/>
                <w:sz w:val="22"/>
                <w:szCs w:val="22"/>
              </w:rPr>
              <w:t>48.4</w:t>
            </w:r>
          </w:p>
        </w:tc>
        <w:tc>
          <w:tcPr>
            <w:tcW w:w="656" w:type="pct"/>
          </w:tcPr>
          <w:p w14:paraId="04FAC692" w14:textId="77777777" w:rsidR="004B5852" w:rsidRPr="00970205" w:rsidRDefault="004B5852" w:rsidP="00B3099B">
            <w:pPr>
              <w:jc w:val="center"/>
              <w:rPr>
                <w:color w:val="000000"/>
                <w:sz w:val="22"/>
                <w:szCs w:val="22"/>
              </w:rPr>
            </w:pPr>
            <w:r w:rsidRPr="004D1E70">
              <w:t>-</w:t>
            </w:r>
          </w:p>
        </w:tc>
        <w:tc>
          <w:tcPr>
            <w:tcW w:w="656" w:type="pct"/>
            <w:vAlign w:val="center"/>
          </w:tcPr>
          <w:p w14:paraId="23A07541" w14:textId="77777777" w:rsidR="004B5852" w:rsidRPr="00970205" w:rsidRDefault="004B5852" w:rsidP="00B3099B">
            <w:pPr>
              <w:jc w:val="right"/>
              <w:rPr>
                <w:color w:val="000000"/>
                <w:sz w:val="22"/>
                <w:szCs w:val="22"/>
              </w:rPr>
            </w:pPr>
            <w:r w:rsidRPr="00970205">
              <w:rPr>
                <w:color w:val="000000"/>
                <w:sz w:val="22"/>
                <w:szCs w:val="22"/>
              </w:rPr>
              <w:t>30.5</w:t>
            </w:r>
          </w:p>
        </w:tc>
        <w:tc>
          <w:tcPr>
            <w:tcW w:w="656" w:type="pct"/>
            <w:vAlign w:val="center"/>
          </w:tcPr>
          <w:p w14:paraId="5DBF0A84" w14:textId="77777777" w:rsidR="004B5852" w:rsidRPr="00970205" w:rsidRDefault="004B5852" w:rsidP="00B3099B">
            <w:pPr>
              <w:jc w:val="right"/>
              <w:rPr>
                <w:color w:val="000000"/>
                <w:sz w:val="22"/>
                <w:szCs w:val="22"/>
              </w:rPr>
            </w:pPr>
            <w:r w:rsidRPr="00970205">
              <w:rPr>
                <w:color w:val="000000"/>
                <w:sz w:val="22"/>
                <w:szCs w:val="22"/>
              </w:rPr>
              <w:t>49.7</w:t>
            </w:r>
          </w:p>
        </w:tc>
        <w:tc>
          <w:tcPr>
            <w:tcW w:w="829" w:type="pct"/>
            <w:vMerge/>
            <w:vAlign w:val="center"/>
          </w:tcPr>
          <w:p w14:paraId="050343DF" w14:textId="77777777" w:rsidR="004B5852" w:rsidRPr="00737A03" w:rsidRDefault="004B5852" w:rsidP="00B3099B">
            <w:pPr>
              <w:jc w:val="center"/>
              <w:rPr>
                <w:color w:val="000000"/>
                <w:sz w:val="16"/>
                <w:szCs w:val="22"/>
              </w:rPr>
            </w:pPr>
          </w:p>
        </w:tc>
      </w:tr>
      <w:tr w:rsidR="004B5852" w:rsidRPr="00CE32A2" w14:paraId="0FB2DA59" w14:textId="77777777" w:rsidTr="00B3099B">
        <w:tc>
          <w:tcPr>
            <w:tcW w:w="717" w:type="pct"/>
            <w:vAlign w:val="center"/>
          </w:tcPr>
          <w:p w14:paraId="282D1027" w14:textId="77777777" w:rsidR="004B5852" w:rsidRPr="00CE32A2" w:rsidRDefault="004B5852" w:rsidP="00B3099B">
            <w:pPr>
              <w:rPr>
                <w:sz w:val="22"/>
                <w:szCs w:val="22"/>
                <w:shd w:val="clear" w:color="auto" w:fill="FFFFFF"/>
              </w:rPr>
            </w:pPr>
          </w:p>
        </w:tc>
        <w:tc>
          <w:tcPr>
            <w:tcW w:w="174" w:type="pct"/>
            <w:vAlign w:val="center"/>
          </w:tcPr>
          <w:p w14:paraId="63D176C4" w14:textId="77777777" w:rsidR="004B5852" w:rsidRPr="00CE32A2" w:rsidRDefault="004B5852" w:rsidP="00B3099B">
            <w:pPr>
              <w:jc w:val="center"/>
              <w:rPr>
                <w:sz w:val="22"/>
                <w:szCs w:val="22"/>
                <w:shd w:val="clear" w:color="auto" w:fill="FFFFFF"/>
              </w:rPr>
            </w:pPr>
            <w:r w:rsidRPr="005819C4">
              <w:rPr>
                <w:sz w:val="22"/>
                <w:szCs w:val="22"/>
                <w:shd w:val="clear" w:color="auto" w:fill="FFFFFF"/>
              </w:rPr>
              <w:t>2</w:t>
            </w:r>
          </w:p>
        </w:tc>
        <w:tc>
          <w:tcPr>
            <w:tcW w:w="656" w:type="pct"/>
            <w:vAlign w:val="center"/>
          </w:tcPr>
          <w:p w14:paraId="75C62BCB" w14:textId="77777777" w:rsidR="004B5852" w:rsidRPr="00970205" w:rsidRDefault="004B5852" w:rsidP="00B3099B">
            <w:pPr>
              <w:jc w:val="right"/>
              <w:rPr>
                <w:color w:val="000000"/>
                <w:sz w:val="22"/>
                <w:szCs w:val="22"/>
              </w:rPr>
            </w:pPr>
            <w:r w:rsidRPr="00970205">
              <w:rPr>
                <w:color w:val="000000"/>
                <w:sz w:val="22"/>
                <w:szCs w:val="22"/>
              </w:rPr>
              <w:t>14.3</w:t>
            </w:r>
          </w:p>
        </w:tc>
        <w:tc>
          <w:tcPr>
            <w:tcW w:w="656" w:type="pct"/>
            <w:vAlign w:val="center"/>
          </w:tcPr>
          <w:p w14:paraId="4E8B0ED8" w14:textId="77777777" w:rsidR="004B5852" w:rsidRPr="00970205" w:rsidRDefault="004B5852" w:rsidP="00B3099B">
            <w:pPr>
              <w:jc w:val="right"/>
              <w:rPr>
                <w:color w:val="000000"/>
                <w:sz w:val="22"/>
                <w:szCs w:val="22"/>
              </w:rPr>
            </w:pPr>
            <w:r w:rsidRPr="00970205">
              <w:rPr>
                <w:color w:val="000000"/>
                <w:sz w:val="22"/>
                <w:szCs w:val="22"/>
              </w:rPr>
              <w:t>4.8</w:t>
            </w:r>
          </w:p>
        </w:tc>
        <w:tc>
          <w:tcPr>
            <w:tcW w:w="656" w:type="pct"/>
          </w:tcPr>
          <w:p w14:paraId="47C5574D" w14:textId="77777777" w:rsidR="004B5852" w:rsidRPr="00970205" w:rsidRDefault="004B5852" w:rsidP="00B3099B">
            <w:pPr>
              <w:jc w:val="center"/>
              <w:rPr>
                <w:color w:val="000000"/>
                <w:sz w:val="22"/>
                <w:szCs w:val="22"/>
              </w:rPr>
            </w:pPr>
            <w:r w:rsidRPr="004D1E70">
              <w:t>-</w:t>
            </w:r>
          </w:p>
        </w:tc>
        <w:tc>
          <w:tcPr>
            <w:tcW w:w="656" w:type="pct"/>
            <w:vAlign w:val="center"/>
          </w:tcPr>
          <w:p w14:paraId="78B2EED9" w14:textId="77777777" w:rsidR="004B5852" w:rsidRPr="00970205" w:rsidRDefault="004B5852" w:rsidP="00B3099B">
            <w:pPr>
              <w:jc w:val="right"/>
              <w:rPr>
                <w:color w:val="000000"/>
                <w:sz w:val="22"/>
                <w:szCs w:val="22"/>
              </w:rPr>
            </w:pPr>
            <w:r w:rsidRPr="00970205">
              <w:rPr>
                <w:color w:val="000000"/>
                <w:sz w:val="22"/>
                <w:szCs w:val="22"/>
              </w:rPr>
              <w:t>1.6</w:t>
            </w:r>
          </w:p>
        </w:tc>
        <w:tc>
          <w:tcPr>
            <w:tcW w:w="656" w:type="pct"/>
            <w:vAlign w:val="center"/>
          </w:tcPr>
          <w:p w14:paraId="0381FEC9" w14:textId="77777777" w:rsidR="004B5852" w:rsidRPr="00970205" w:rsidRDefault="004B5852" w:rsidP="00B3099B">
            <w:pPr>
              <w:jc w:val="right"/>
              <w:rPr>
                <w:color w:val="000000"/>
                <w:sz w:val="22"/>
                <w:szCs w:val="22"/>
              </w:rPr>
            </w:pPr>
            <w:r w:rsidRPr="00970205">
              <w:rPr>
                <w:color w:val="000000"/>
                <w:sz w:val="22"/>
                <w:szCs w:val="22"/>
              </w:rPr>
              <w:t>7.7</w:t>
            </w:r>
          </w:p>
        </w:tc>
        <w:tc>
          <w:tcPr>
            <w:tcW w:w="829" w:type="pct"/>
            <w:vMerge/>
            <w:vAlign w:val="center"/>
          </w:tcPr>
          <w:p w14:paraId="2D18138D" w14:textId="77777777" w:rsidR="004B5852" w:rsidRPr="00737A03" w:rsidRDefault="004B5852" w:rsidP="00B3099B">
            <w:pPr>
              <w:jc w:val="center"/>
              <w:rPr>
                <w:color w:val="000000"/>
                <w:sz w:val="16"/>
                <w:szCs w:val="22"/>
              </w:rPr>
            </w:pPr>
          </w:p>
        </w:tc>
      </w:tr>
      <w:tr w:rsidR="004B5852" w:rsidRPr="00CE32A2" w14:paraId="73F0F185" w14:textId="77777777" w:rsidTr="00B3099B">
        <w:tc>
          <w:tcPr>
            <w:tcW w:w="717" w:type="pct"/>
            <w:vAlign w:val="center"/>
          </w:tcPr>
          <w:p w14:paraId="5B6F3ECE" w14:textId="77777777" w:rsidR="004B5852" w:rsidRPr="00CE32A2" w:rsidRDefault="004B5852" w:rsidP="00B3099B">
            <w:pPr>
              <w:rPr>
                <w:sz w:val="22"/>
                <w:szCs w:val="22"/>
                <w:shd w:val="clear" w:color="auto" w:fill="FFFFFF"/>
              </w:rPr>
            </w:pPr>
            <w:r w:rsidRPr="00CE32A2">
              <w:rPr>
                <w:sz w:val="22"/>
                <w:szCs w:val="22"/>
                <w:shd w:val="clear" w:color="auto" w:fill="FFFFFF"/>
              </w:rPr>
              <w:t>Often lose temper</w:t>
            </w:r>
          </w:p>
        </w:tc>
        <w:tc>
          <w:tcPr>
            <w:tcW w:w="174" w:type="pct"/>
            <w:vAlign w:val="center"/>
          </w:tcPr>
          <w:p w14:paraId="55C940B2" w14:textId="77777777" w:rsidR="004B5852" w:rsidRPr="00CE32A2" w:rsidRDefault="004B5852" w:rsidP="00B3099B">
            <w:pPr>
              <w:jc w:val="center"/>
              <w:rPr>
                <w:sz w:val="22"/>
                <w:szCs w:val="22"/>
                <w:shd w:val="clear" w:color="auto" w:fill="FFFFFF"/>
              </w:rPr>
            </w:pPr>
            <w:r w:rsidRPr="00597610">
              <w:rPr>
                <w:sz w:val="22"/>
                <w:szCs w:val="22"/>
              </w:rPr>
              <w:t>0</w:t>
            </w:r>
          </w:p>
        </w:tc>
        <w:tc>
          <w:tcPr>
            <w:tcW w:w="656" w:type="pct"/>
            <w:vAlign w:val="center"/>
          </w:tcPr>
          <w:p w14:paraId="24C3E108" w14:textId="77777777" w:rsidR="004B5852" w:rsidRPr="00970205" w:rsidRDefault="004B5852" w:rsidP="00B3099B">
            <w:pPr>
              <w:jc w:val="right"/>
              <w:rPr>
                <w:color w:val="000000"/>
                <w:sz w:val="22"/>
                <w:szCs w:val="22"/>
              </w:rPr>
            </w:pPr>
            <w:r w:rsidRPr="00970205">
              <w:rPr>
                <w:color w:val="000000"/>
                <w:sz w:val="22"/>
                <w:szCs w:val="22"/>
              </w:rPr>
              <w:t>44.4</w:t>
            </w:r>
          </w:p>
        </w:tc>
        <w:tc>
          <w:tcPr>
            <w:tcW w:w="656" w:type="pct"/>
            <w:vAlign w:val="center"/>
          </w:tcPr>
          <w:p w14:paraId="099CA6C2" w14:textId="77777777" w:rsidR="004B5852" w:rsidRPr="00970205" w:rsidRDefault="004B5852" w:rsidP="00B3099B">
            <w:pPr>
              <w:jc w:val="right"/>
              <w:rPr>
                <w:color w:val="000000"/>
                <w:sz w:val="22"/>
                <w:szCs w:val="22"/>
              </w:rPr>
            </w:pPr>
            <w:r w:rsidRPr="00970205">
              <w:rPr>
                <w:color w:val="000000"/>
                <w:sz w:val="22"/>
                <w:szCs w:val="22"/>
              </w:rPr>
              <w:t>60.8</w:t>
            </w:r>
          </w:p>
        </w:tc>
        <w:tc>
          <w:tcPr>
            <w:tcW w:w="656" w:type="pct"/>
          </w:tcPr>
          <w:p w14:paraId="59B61274" w14:textId="77777777" w:rsidR="004B5852" w:rsidRPr="00970205" w:rsidRDefault="004B5852" w:rsidP="00B3099B">
            <w:pPr>
              <w:jc w:val="center"/>
              <w:rPr>
                <w:color w:val="000000"/>
                <w:sz w:val="22"/>
                <w:szCs w:val="22"/>
              </w:rPr>
            </w:pPr>
            <w:r w:rsidRPr="004D1E70">
              <w:t>-</w:t>
            </w:r>
          </w:p>
        </w:tc>
        <w:tc>
          <w:tcPr>
            <w:tcW w:w="656" w:type="pct"/>
            <w:vAlign w:val="center"/>
          </w:tcPr>
          <w:p w14:paraId="38EECBE6" w14:textId="77777777" w:rsidR="004B5852" w:rsidRPr="00970205" w:rsidRDefault="004B5852" w:rsidP="00B3099B">
            <w:pPr>
              <w:jc w:val="right"/>
              <w:rPr>
                <w:color w:val="000000"/>
                <w:sz w:val="22"/>
                <w:szCs w:val="22"/>
              </w:rPr>
            </w:pPr>
            <w:r w:rsidRPr="00970205">
              <w:rPr>
                <w:color w:val="000000"/>
                <w:sz w:val="22"/>
                <w:szCs w:val="22"/>
              </w:rPr>
              <w:t>60.4</w:t>
            </w:r>
          </w:p>
        </w:tc>
        <w:tc>
          <w:tcPr>
            <w:tcW w:w="656" w:type="pct"/>
            <w:vAlign w:val="center"/>
          </w:tcPr>
          <w:p w14:paraId="3C1115A4" w14:textId="77777777" w:rsidR="004B5852" w:rsidRPr="00970205" w:rsidRDefault="004B5852" w:rsidP="00B3099B">
            <w:pPr>
              <w:jc w:val="right"/>
              <w:rPr>
                <w:color w:val="000000"/>
                <w:sz w:val="22"/>
                <w:szCs w:val="22"/>
              </w:rPr>
            </w:pPr>
            <w:r w:rsidRPr="00970205">
              <w:rPr>
                <w:color w:val="000000"/>
                <w:sz w:val="22"/>
                <w:szCs w:val="22"/>
              </w:rPr>
              <w:t>71.4</w:t>
            </w:r>
          </w:p>
        </w:tc>
        <w:tc>
          <w:tcPr>
            <w:tcW w:w="829" w:type="pct"/>
            <w:vMerge w:val="restart"/>
            <w:vAlign w:val="center"/>
          </w:tcPr>
          <w:p w14:paraId="7677FB4F" w14:textId="77777777" w:rsidR="004B5852" w:rsidRPr="00737A03" w:rsidRDefault="004B5852" w:rsidP="00B3099B">
            <w:pPr>
              <w:jc w:val="center"/>
              <w:rPr>
                <w:color w:val="000000"/>
                <w:sz w:val="16"/>
                <w:szCs w:val="22"/>
              </w:rPr>
            </w:pPr>
            <w:r w:rsidRPr="00737A03">
              <w:rPr>
                <w:sz w:val="16"/>
              </w:rPr>
              <w:t>Br&gt;Ch (</w:t>
            </w:r>
            <w:r w:rsidRPr="009A0CBE">
              <w:rPr>
                <w:i/>
                <w:sz w:val="16"/>
              </w:rPr>
              <w:t>p</w:t>
            </w:r>
            <w:r w:rsidRPr="00737A03">
              <w:rPr>
                <w:sz w:val="16"/>
              </w:rPr>
              <w:t xml:space="preserve">&lt;0.001); Br&gt; </w:t>
            </w:r>
            <w:r w:rsidRPr="009A0CBE">
              <w:rPr>
                <w:sz w:val="16"/>
              </w:rPr>
              <w:t>Sp</w:t>
            </w:r>
            <w:r w:rsidRPr="00737A03">
              <w:rPr>
                <w:sz w:val="16"/>
              </w:rPr>
              <w:t xml:space="preserve"> (</w:t>
            </w:r>
            <w:r w:rsidRPr="009A0CBE">
              <w:rPr>
                <w:i/>
                <w:sz w:val="16"/>
              </w:rPr>
              <w:t>p</w:t>
            </w:r>
            <w:r w:rsidRPr="00737A03">
              <w:rPr>
                <w:sz w:val="16"/>
              </w:rPr>
              <w:t>&lt;0.001); Br&gt; US (</w:t>
            </w:r>
            <w:r w:rsidRPr="009A0CBE">
              <w:rPr>
                <w:i/>
                <w:sz w:val="16"/>
              </w:rPr>
              <w:t>p</w:t>
            </w:r>
            <w:r w:rsidRPr="00737A03">
              <w:rPr>
                <w:sz w:val="16"/>
              </w:rPr>
              <w:t xml:space="preserve">&lt;0.001); </w:t>
            </w:r>
            <w:r w:rsidRPr="00737A03">
              <w:rPr>
                <w:sz w:val="16"/>
              </w:rPr>
              <w:lastRenderedPageBreak/>
              <w:t>Ch&gt;US (</w:t>
            </w:r>
            <w:r w:rsidRPr="009A0CBE">
              <w:rPr>
                <w:i/>
                <w:sz w:val="16"/>
              </w:rPr>
              <w:t>p</w:t>
            </w:r>
            <w:r w:rsidRPr="00737A03">
              <w:rPr>
                <w:sz w:val="16"/>
              </w:rPr>
              <w:t xml:space="preserve">=0.011); </w:t>
            </w:r>
            <w:r w:rsidRPr="009A0CBE">
              <w:rPr>
                <w:sz w:val="16"/>
              </w:rPr>
              <w:t>Sp</w:t>
            </w:r>
            <w:r w:rsidRPr="00737A03">
              <w:rPr>
                <w:sz w:val="16"/>
              </w:rPr>
              <w:t>&gt;US (</w:t>
            </w:r>
            <w:r w:rsidRPr="009A0CBE">
              <w:rPr>
                <w:i/>
                <w:sz w:val="16"/>
              </w:rPr>
              <w:t>p</w:t>
            </w:r>
            <w:r w:rsidRPr="00737A03">
              <w:rPr>
                <w:sz w:val="16"/>
              </w:rPr>
              <w:t>=0.017)</w:t>
            </w:r>
          </w:p>
        </w:tc>
      </w:tr>
      <w:tr w:rsidR="004B5852" w:rsidRPr="00CE32A2" w14:paraId="3089B94E" w14:textId="77777777" w:rsidTr="00B3099B">
        <w:tc>
          <w:tcPr>
            <w:tcW w:w="717" w:type="pct"/>
            <w:vAlign w:val="center"/>
          </w:tcPr>
          <w:p w14:paraId="7D6E63D7" w14:textId="77777777" w:rsidR="004B5852" w:rsidRPr="00CE32A2" w:rsidRDefault="004B5852" w:rsidP="00B3099B">
            <w:pPr>
              <w:rPr>
                <w:sz w:val="22"/>
                <w:szCs w:val="22"/>
                <w:shd w:val="clear" w:color="auto" w:fill="FFFFFF"/>
              </w:rPr>
            </w:pPr>
          </w:p>
        </w:tc>
        <w:tc>
          <w:tcPr>
            <w:tcW w:w="174" w:type="pct"/>
            <w:vAlign w:val="center"/>
          </w:tcPr>
          <w:p w14:paraId="0EF917EF" w14:textId="77777777" w:rsidR="004B5852" w:rsidRPr="00CE32A2" w:rsidRDefault="004B5852" w:rsidP="00B3099B">
            <w:pPr>
              <w:jc w:val="center"/>
              <w:rPr>
                <w:sz w:val="22"/>
                <w:szCs w:val="22"/>
                <w:shd w:val="clear" w:color="auto" w:fill="FFFFFF"/>
              </w:rPr>
            </w:pPr>
            <w:r w:rsidRPr="005819C4">
              <w:rPr>
                <w:sz w:val="22"/>
                <w:szCs w:val="22"/>
                <w:shd w:val="clear" w:color="auto" w:fill="FFFFFF"/>
              </w:rPr>
              <w:t>1</w:t>
            </w:r>
          </w:p>
        </w:tc>
        <w:tc>
          <w:tcPr>
            <w:tcW w:w="656" w:type="pct"/>
            <w:vAlign w:val="center"/>
          </w:tcPr>
          <w:p w14:paraId="0517E3CD" w14:textId="77777777" w:rsidR="004B5852" w:rsidRPr="00970205" w:rsidRDefault="004B5852" w:rsidP="00B3099B">
            <w:pPr>
              <w:jc w:val="right"/>
              <w:rPr>
                <w:color w:val="000000"/>
                <w:sz w:val="22"/>
                <w:szCs w:val="22"/>
              </w:rPr>
            </w:pPr>
            <w:r w:rsidRPr="00970205">
              <w:rPr>
                <w:color w:val="000000"/>
                <w:sz w:val="22"/>
                <w:szCs w:val="22"/>
              </w:rPr>
              <w:t>36.8</w:t>
            </w:r>
          </w:p>
        </w:tc>
        <w:tc>
          <w:tcPr>
            <w:tcW w:w="656" w:type="pct"/>
            <w:vAlign w:val="center"/>
          </w:tcPr>
          <w:p w14:paraId="008AD6E4" w14:textId="77777777" w:rsidR="004B5852" w:rsidRPr="00970205" w:rsidRDefault="004B5852" w:rsidP="00B3099B">
            <w:pPr>
              <w:jc w:val="right"/>
              <w:rPr>
                <w:color w:val="000000"/>
                <w:sz w:val="22"/>
                <w:szCs w:val="22"/>
              </w:rPr>
            </w:pPr>
            <w:r w:rsidRPr="00970205">
              <w:rPr>
                <w:color w:val="000000"/>
                <w:sz w:val="22"/>
                <w:szCs w:val="22"/>
              </w:rPr>
              <w:t>34.7</w:t>
            </w:r>
          </w:p>
        </w:tc>
        <w:tc>
          <w:tcPr>
            <w:tcW w:w="656" w:type="pct"/>
          </w:tcPr>
          <w:p w14:paraId="69628AC5" w14:textId="77777777" w:rsidR="004B5852" w:rsidRPr="00970205" w:rsidRDefault="004B5852" w:rsidP="00B3099B">
            <w:pPr>
              <w:jc w:val="center"/>
              <w:rPr>
                <w:color w:val="000000"/>
                <w:sz w:val="22"/>
                <w:szCs w:val="22"/>
              </w:rPr>
            </w:pPr>
            <w:r w:rsidRPr="004D1E70">
              <w:t>-</w:t>
            </w:r>
          </w:p>
        </w:tc>
        <w:tc>
          <w:tcPr>
            <w:tcW w:w="656" w:type="pct"/>
            <w:vAlign w:val="center"/>
          </w:tcPr>
          <w:p w14:paraId="04728C46" w14:textId="77777777" w:rsidR="004B5852" w:rsidRPr="00970205" w:rsidRDefault="004B5852" w:rsidP="00B3099B">
            <w:pPr>
              <w:jc w:val="right"/>
              <w:rPr>
                <w:color w:val="000000"/>
                <w:sz w:val="22"/>
                <w:szCs w:val="22"/>
              </w:rPr>
            </w:pPr>
            <w:r w:rsidRPr="00970205">
              <w:rPr>
                <w:color w:val="000000"/>
                <w:sz w:val="22"/>
                <w:szCs w:val="22"/>
              </w:rPr>
              <w:t>37</w:t>
            </w:r>
          </w:p>
        </w:tc>
        <w:tc>
          <w:tcPr>
            <w:tcW w:w="656" w:type="pct"/>
            <w:vAlign w:val="center"/>
          </w:tcPr>
          <w:p w14:paraId="397C1D2A" w14:textId="77777777" w:rsidR="004B5852" w:rsidRPr="00970205" w:rsidRDefault="004B5852" w:rsidP="00B3099B">
            <w:pPr>
              <w:jc w:val="right"/>
              <w:rPr>
                <w:color w:val="000000"/>
                <w:sz w:val="22"/>
                <w:szCs w:val="22"/>
              </w:rPr>
            </w:pPr>
            <w:r w:rsidRPr="00970205">
              <w:rPr>
                <w:color w:val="000000"/>
                <w:sz w:val="22"/>
                <w:szCs w:val="22"/>
              </w:rPr>
              <w:t>24.1</w:t>
            </w:r>
          </w:p>
        </w:tc>
        <w:tc>
          <w:tcPr>
            <w:tcW w:w="829" w:type="pct"/>
            <w:vMerge/>
            <w:vAlign w:val="center"/>
          </w:tcPr>
          <w:p w14:paraId="6977B5E3" w14:textId="77777777" w:rsidR="004B5852" w:rsidRPr="00737A03" w:rsidRDefault="004B5852" w:rsidP="00B3099B">
            <w:pPr>
              <w:jc w:val="center"/>
              <w:rPr>
                <w:color w:val="000000"/>
                <w:sz w:val="16"/>
                <w:szCs w:val="22"/>
              </w:rPr>
            </w:pPr>
          </w:p>
        </w:tc>
      </w:tr>
      <w:tr w:rsidR="004B5852" w:rsidRPr="00CE32A2" w14:paraId="66FBE6EE" w14:textId="77777777" w:rsidTr="00B3099B">
        <w:tc>
          <w:tcPr>
            <w:tcW w:w="717" w:type="pct"/>
            <w:vAlign w:val="center"/>
          </w:tcPr>
          <w:p w14:paraId="2E96B822" w14:textId="77777777" w:rsidR="004B5852" w:rsidRPr="00CE32A2" w:rsidRDefault="004B5852" w:rsidP="00B3099B">
            <w:pPr>
              <w:rPr>
                <w:sz w:val="22"/>
                <w:szCs w:val="22"/>
                <w:shd w:val="clear" w:color="auto" w:fill="FFFFFF"/>
              </w:rPr>
            </w:pPr>
          </w:p>
        </w:tc>
        <w:tc>
          <w:tcPr>
            <w:tcW w:w="174" w:type="pct"/>
            <w:vAlign w:val="center"/>
          </w:tcPr>
          <w:p w14:paraId="6722BF2D" w14:textId="77777777" w:rsidR="004B5852" w:rsidRPr="00CE32A2" w:rsidRDefault="004B5852" w:rsidP="00B3099B">
            <w:pPr>
              <w:jc w:val="center"/>
              <w:rPr>
                <w:sz w:val="22"/>
                <w:szCs w:val="22"/>
                <w:shd w:val="clear" w:color="auto" w:fill="FFFFFF"/>
              </w:rPr>
            </w:pPr>
            <w:r w:rsidRPr="005819C4">
              <w:rPr>
                <w:sz w:val="22"/>
                <w:szCs w:val="22"/>
                <w:shd w:val="clear" w:color="auto" w:fill="FFFFFF"/>
              </w:rPr>
              <w:t>2</w:t>
            </w:r>
          </w:p>
        </w:tc>
        <w:tc>
          <w:tcPr>
            <w:tcW w:w="656" w:type="pct"/>
            <w:vAlign w:val="center"/>
          </w:tcPr>
          <w:p w14:paraId="3B0CFE7C" w14:textId="77777777" w:rsidR="004B5852" w:rsidRPr="00970205" w:rsidRDefault="004B5852" w:rsidP="00B3099B">
            <w:pPr>
              <w:jc w:val="right"/>
              <w:rPr>
                <w:color w:val="000000"/>
                <w:sz w:val="22"/>
                <w:szCs w:val="22"/>
              </w:rPr>
            </w:pPr>
            <w:r w:rsidRPr="00970205">
              <w:rPr>
                <w:color w:val="000000"/>
                <w:sz w:val="22"/>
                <w:szCs w:val="22"/>
              </w:rPr>
              <w:t>18.8</w:t>
            </w:r>
          </w:p>
        </w:tc>
        <w:tc>
          <w:tcPr>
            <w:tcW w:w="656" w:type="pct"/>
            <w:vAlign w:val="center"/>
          </w:tcPr>
          <w:p w14:paraId="7C8BAC6A" w14:textId="77777777" w:rsidR="004B5852" w:rsidRPr="00970205" w:rsidRDefault="004B5852" w:rsidP="00B3099B">
            <w:pPr>
              <w:jc w:val="right"/>
              <w:rPr>
                <w:color w:val="000000"/>
                <w:sz w:val="22"/>
                <w:szCs w:val="22"/>
              </w:rPr>
            </w:pPr>
            <w:r w:rsidRPr="00970205">
              <w:rPr>
                <w:color w:val="000000"/>
                <w:sz w:val="22"/>
                <w:szCs w:val="22"/>
              </w:rPr>
              <w:t>4.6</w:t>
            </w:r>
          </w:p>
        </w:tc>
        <w:tc>
          <w:tcPr>
            <w:tcW w:w="656" w:type="pct"/>
          </w:tcPr>
          <w:p w14:paraId="156268C1" w14:textId="77777777" w:rsidR="004B5852" w:rsidRPr="00970205" w:rsidRDefault="004B5852" w:rsidP="00B3099B">
            <w:pPr>
              <w:jc w:val="center"/>
              <w:rPr>
                <w:color w:val="000000"/>
                <w:sz w:val="22"/>
                <w:szCs w:val="22"/>
              </w:rPr>
            </w:pPr>
            <w:r w:rsidRPr="004D1E70">
              <w:t>-</w:t>
            </w:r>
          </w:p>
        </w:tc>
        <w:tc>
          <w:tcPr>
            <w:tcW w:w="656" w:type="pct"/>
            <w:vAlign w:val="center"/>
          </w:tcPr>
          <w:p w14:paraId="7B596C88" w14:textId="77777777" w:rsidR="004B5852" w:rsidRPr="00970205" w:rsidRDefault="004B5852" w:rsidP="00B3099B">
            <w:pPr>
              <w:jc w:val="right"/>
              <w:rPr>
                <w:color w:val="000000"/>
                <w:sz w:val="22"/>
                <w:szCs w:val="22"/>
              </w:rPr>
            </w:pPr>
            <w:r w:rsidRPr="00970205">
              <w:rPr>
                <w:color w:val="000000"/>
                <w:sz w:val="22"/>
                <w:szCs w:val="22"/>
              </w:rPr>
              <w:t>2.6</w:t>
            </w:r>
          </w:p>
        </w:tc>
        <w:tc>
          <w:tcPr>
            <w:tcW w:w="656" w:type="pct"/>
            <w:vAlign w:val="center"/>
          </w:tcPr>
          <w:p w14:paraId="30A594FE" w14:textId="77777777" w:rsidR="004B5852" w:rsidRPr="00970205" w:rsidRDefault="004B5852" w:rsidP="00B3099B">
            <w:pPr>
              <w:jc w:val="right"/>
              <w:rPr>
                <w:color w:val="000000"/>
                <w:sz w:val="22"/>
                <w:szCs w:val="22"/>
              </w:rPr>
            </w:pPr>
            <w:r w:rsidRPr="00970205">
              <w:rPr>
                <w:color w:val="000000"/>
                <w:sz w:val="22"/>
                <w:szCs w:val="22"/>
              </w:rPr>
              <w:t>4.5</w:t>
            </w:r>
          </w:p>
        </w:tc>
        <w:tc>
          <w:tcPr>
            <w:tcW w:w="829" w:type="pct"/>
            <w:vMerge/>
            <w:vAlign w:val="center"/>
          </w:tcPr>
          <w:p w14:paraId="5B51AA37" w14:textId="77777777" w:rsidR="004B5852" w:rsidRPr="00737A03" w:rsidRDefault="004B5852" w:rsidP="00B3099B">
            <w:pPr>
              <w:jc w:val="center"/>
              <w:rPr>
                <w:color w:val="000000"/>
                <w:sz w:val="16"/>
                <w:szCs w:val="22"/>
              </w:rPr>
            </w:pPr>
          </w:p>
        </w:tc>
      </w:tr>
      <w:tr w:rsidR="004B5852" w:rsidRPr="00CE32A2" w14:paraId="7F3332DF" w14:textId="77777777" w:rsidTr="00B3099B">
        <w:tc>
          <w:tcPr>
            <w:tcW w:w="717" w:type="pct"/>
            <w:vAlign w:val="center"/>
          </w:tcPr>
          <w:p w14:paraId="68D72854" w14:textId="77777777" w:rsidR="004B5852" w:rsidRPr="00CE32A2" w:rsidRDefault="004B5852" w:rsidP="00B3099B">
            <w:pPr>
              <w:rPr>
                <w:sz w:val="22"/>
                <w:szCs w:val="22"/>
                <w:shd w:val="clear" w:color="auto" w:fill="FFFFFF"/>
              </w:rPr>
            </w:pPr>
            <w:r w:rsidRPr="00CE32A2">
              <w:rPr>
                <w:sz w:val="22"/>
                <w:szCs w:val="22"/>
                <w:shd w:val="clear" w:color="auto" w:fill="FFFFFF"/>
              </w:rPr>
              <w:t>Stay angry</w:t>
            </w:r>
          </w:p>
        </w:tc>
        <w:tc>
          <w:tcPr>
            <w:tcW w:w="174" w:type="pct"/>
            <w:vAlign w:val="center"/>
          </w:tcPr>
          <w:p w14:paraId="2132FFA0" w14:textId="77777777" w:rsidR="004B5852" w:rsidRPr="00CE32A2" w:rsidRDefault="004B5852" w:rsidP="00B3099B">
            <w:pPr>
              <w:jc w:val="center"/>
              <w:rPr>
                <w:sz w:val="22"/>
                <w:szCs w:val="22"/>
                <w:shd w:val="clear" w:color="auto" w:fill="FFFFFF"/>
              </w:rPr>
            </w:pPr>
            <w:r w:rsidRPr="00597610">
              <w:rPr>
                <w:sz w:val="22"/>
                <w:szCs w:val="22"/>
              </w:rPr>
              <w:t>0</w:t>
            </w:r>
          </w:p>
        </w:tc>
        <w:tc>
          <w:tcPr>
            <w:tcW w:w="656" w:type="pct"/>
            <w:vAlign w:val="center"/>
          </w:tcPr>
          <w:p w14:paraId="3C856030" w14:textId="77777777" w:rsidR="004B5852" w:rsidRPr="00970205" w:rsidRDefault="004B5852" w:rsidP="00B3099B">
            <w:pPr>
              <w:jc w:val="right"/>
              <w:rPr>
                <w:color w:val="000000"/>
                <w:sz w:val="22"/>
                <w:szCs w:val="22"/>
              </w:rPr>
            </w:pPr>
            <w:r w:rsidRPr="00970205">
              <w:rPr>
                <w:color w:val="000000"/>
                <w:sz w:val="22"/>
                <w:szCs w:val="22"/>
              </w:rPr>
              <w:t>45.1</w:t>
            </w:r>
          </w:p>
        </w:tc>
        <w:tc>
          <w:tcPr>
            <w:tcW w:w="656" w:type="pct"/>
            <w:vAlign w:val="center"/>
          </w:tcPr>
          <w:p w14:paraId="63C7DAB7" w14:textId="77777777" w:rsidR="004B5852" w:rsidRPr="00970205" w:rsidRDefault="004B5852" w:rsidP="00B3099B">
            <w:pPr>
              <w:jc w:val="right"/>
              <w:rPr>
                <w:color w:val="000000"/>
                <w:sz w:val="22"/>
                <w:szCs w:val="22"/>
              </w:rPr>
            </w:pPr>
            <w:r w:rsidRPr="00970205">
              <w:rPr>
                <w:color w:val="000000"/>
                <w:sz w:val="22"/>
                <w:szCs w:val="22"/>
              </w:rPr>
              <w:t>77.5</w:t>
            </w:r>
          </w:p>
        </w:tc>
        <w:tc>
          <w:tcPr>
            <w:tcW w:w="656" w:type="pct"/>
          </w:tcPr>
          <w:p w14:paraId="051E910D" w14:textId="77777777" w:rsidR="004B5852" w:rsidRPr="00970205" w:rsidRDefault="004B5852" w:rsidP="00B3099B">
            <w:pPr>
              <w:jc w:val="center"/>
              <w:rPr>
                <w:color w:val="000000"/>
                <w:sz w:val="22"/>
                <w:szCs w:val="22"/>
              </w:rPr>
            </w:pPr>
            <w:r w:rsidRPr="004D1E70">
              <w:t>-</w:t>
            </w:r>
          </w:p>
        </w:tc>
        <w:tc>
          <w:tcPr>
            <w:tcW w:w="656" w:type="pct"/>
            <w:vAlign w:val="center"/>
          </w:tcPr>
          <w:p w14:paraId="00AF48CA" w14:textId="77777777" w:rsidR="004B5852" w:rsidRPr="00970205" w:rsidRDefault="004B5852" w:rsidP="00B3099B">
            <w:pPr>
              <w:jc w:val="right"/>
              <w:rPr>
                <w:color w:val="000000"/>
                <w:sz w:val="22"/>
                <w:szCs w:val="22"/>
              </w:rPr>
            </w:pPr>
            <w:r w:rsidRPr="00970205">
              <w:rPr>
                <w:color w:val="000000"/>
                <w:sz w:val="22"/>
                <w:szCs w:val="22"/>
              </w:rPr>
              <w:t>62.8</w:t>
            </w:r>
          </w:p>
        </w:tc>
        <w:tc>
          <w:tcPr>
            <w:tcW w:w="656" w:type="pct"/>
            <w:vAlign w:val="center"/>
          </w:tcPr>
          <w:p w14:paraId="5F880F2D" w14:textId="77777777" w:rsidR="004B5852" w:rsidRPr="00970205" w:rsidRDefault="004B5852" w:rsidP="00B3099B">
            <w:pPr>
              <w:jc w:val="right"/>
              <w:rPr>
                <w:color w:val="000000"/>
                <w:sz w:val="22"/>
                <w:szCs w:val="22"/>
              </w:rPr>
            </w:pPr>
            <w:r w:rsidRPr="00970205">
              <w:rPr>
                <w:color w:val="000000"/>
                <w:sz w:val="22"/>
                <w:szCs w:val="22"/>
              </w:rPr>
              <w:t>80</w:t>
            </w:r>
          </w:p>
        </w:tc>
        <w:tc>
          <w:tcPr>
            <w:tcW w:w="829" w:type="pct"/>
            <w:vMerge w:val="restart"/>
            <w:vAlign w:val="center"/>
          </w:tcPr>
          <w:p w14:paraId="01BB081F" w14:textId="77777777" w:rsidR="004B5852" w:rsidRPr="00737A03" w:rsidRDefault="004B5852" w:rsidP="00B3099B">
            <w:pPr>
              <w:jc w:val="center"/>
              <w:rPr>
                <w:color w:val="000000"/>
                <w:sz w:val="16"/>
                <w:szCs w:val="22"/>
              </w:rPr>
            </w:pPr>
            <w:r w:rsidRPr="00737A03">
              <w:rPr>
                <w:sz w:val="16"/>
              </w:rPr>
              <w:t>Br&gt;</w:t>
            </w:r>
            <w:r w:rsidRPr="009A0CBE">
              <w:rPr>
                <w:sz w:val="16"/>
              </w:rPr>
              <w:t>Sp</w:t>
            </w:r>
            <w:r w:rsidRPr="00737A03">
              <w:rPr>
                <w:sz w:val="16"/>
              </w:rPr>
              <w:t>&gt;Ch,</w:t>
            </w:r>
            <w:r>
              <w:rPr>
                <w:sz w:val="16"/>
              </w:rPr>
              <w:t xml:space="preserve"> </w:t>
            </w:r>
            <w:r w:rsidRPr="00737A03">
              <w:rPr>
                <w:sz w:val="16"/>
              </w:rPr>
              <w:t xml:space="preserve">US (all </w:t>
            </w:r>
            <w:r w:rsidRPr="009A0CBE">
              <w:rPr>
                <w:i/>
                <w:sz w:val="16"/>
              </w:rPr>
              <w:t>p</w:t>
            </w:r>
            <w:r w:rsidRPr="00737A03">
              <w:rPr>
                <w:sz w:val="16"/>
              </w:rPr>
              <w:t>&lt;0.001)</w:t>
            </w:r>
          </w:p>
        </w:tc>
      </w:tr>
      <w:tr w:rsidR="004B5852" w:rsidRPr="00CE32A2" w14:paraId="3D6F8425" w14:textId="77777777" w:rsidTr="00B3099B">
        <w:tc>
          <w:tcPr>
            <w:tcW w:w="717" w:type="pct"/>
            <w:vAlign w:val="center"/>
          </w:tcPr>
          <w:p w14:paraId="6A339C42" w14:textId="77777777" w:rsidR="004B5852" w:rsidRPr="00CE32A2" w:rsidRDefault="004B5852" w:rsidP="00B3099B">
            <w:pPr>
              <w:rPr>
                <w:sz w:val="22"/>
                <w:szCs w:val="22"/>
                <w:shd w:val="clear" w:color="auto" w:fill="FFFFFF"/>
              </w:rPr>
            </w:pPr>
          </w:p>
        </w:tc>
        <w:tc>
          <w:tcPr>
            <w:tcW w:w="174" w:type="pct"/>
            <w:vAlign w:val="center"/>
          </w:tcPr>
          <w:p w14:paraId="58FE7B7F" w14:textId="77777777" w:rsidR="004B5852" w:rsidRPr="00CE32A2" w:rsidRDefault="004B5852" w:rsidP="00B3099B">
            <w:pPr>
              <w:jc w:val="center"/>
              <w:rPr>
                <w:sz w:val="22"/>
                <w:szCs w:val="22"/>
                <w:shd w:val="clear" w:color="auto" w:fill="FFFFFF"/>
              </w:rPr>
            </w:pPr>
            <w:r w:rsidRPr="005819C4">
              <w:rPr>
                <w:sz w:val="22"/>
                <w:szCs w:val="22"/>
                <w:shd w:val="clear" w:color="auto" w:fill="FFFFFF"/>
              </w:rPr>
              <w:t>1</w:t>
            </w:r>
          </w:p>
        </w:tc>
        <w:tc>
          <w:tcPr>
            <w:tcW w:w="656" w:type="pct"/>
            <w:vAlign w:val="center"/>
          </w:tcPr>
          <w:p w14:paraId="35D4AA14" w14:textId="77777777" w:rsidR="004B5852" w:rsidRPr="00970205" w:rsidRDefault="004B5852" w:rsidP="00B3099B">
            <w:pPr>
              <w:jc w:val="right"/>
              <w:rPr>
                <w:color w:val="000000"/>
                <w:sz w:val="22"/>
                <w:szCs w:val="22"/>
              </w:rPr>
            </w:pPr>
            <w:r w:rsidRPr="00970205">
              <w:rPr>
                <w:color w:val="000000"/>
                <w:sz w:val="22"/>
                <w:szCs w:val="22"/>
              </w:rPr>
              <w:t>35.3</w:t>
            </w:r>
          </w:p>
        </w:tc>
        <w:tc>
          <w:tcPr>
            <w:tcW w:w="656" w:type="pct"/>
            <w:vAlign w:val="center"/>
          </w:tcPr>
          <w:p w14:paraId="3A8D8D2B" w14:textId="77777777" w:rsidR="004B5852" w:rsidRPr="00970205" w:rsidRDefault="004B5852" w:rsidP="00B3099B">
            <w:pPr>
              <w:jc w:val="right"/>
              <w:rPr>
                <w:color w:val="000000"/>
                <w:sz w:val="22"/>
                <w:szCs w:val="22"/>
              </w:rPr>
            </w:pPr>
            <w:r w:rsidRPr="00970205">
              <w:rPr>
                <w:color w:val="000000"/>
                <w:sz w:val="22"/>
                <w:szCs w:val="22"/>
              </w:rPr>
              <w:t>19.5</w:t>
            </w:r>
          </w:p>
        </w:tc>
        <w:tc>
          <w:tcPr>
            <w:tcW w:w="656" w:type="pct"/>
          </w:tcPr>
          <w:p w14:paraId="636D8489" w14:textId="77777777" w:rsidR="004B5852" w:rsidRPr="00970205" w:rsidRDefault="004B5852" w:rsidP="00B3099B">
            <w:pPr>
              <w:jc w:val="center"/>
              <w:rPr>
                <w:color w:val="000000"/>
                <w:sz w:val="22"/>
                <w:szCs w:val="22"/>
              </w:rPr>
            </w:pPr>
            <w:r w:rsidRPr="004D1E70">
              <w:t>-</w:t>
            </w:r>
          </w:p>
        </w:tc>
        <w:tc>
          <w:tcPr>
            <w:tcW w:w="656" w:type="pct"/>
            <w:vAlign w:val="center"/>
          </w:tcPr>
          <w:p w14:paraId="7B825468" w14:textId="77777777" w:rsidR="004B5852" w:rsidRPr="00970205" w:rsidRDefault="004B5852" w:rsidP="00B3099B">
            <w:pPr>
              <w:jc w:val="right"/>
              <w:rPr>
                <w:color w:val="000000"/>
                <w:sz w:val="22"/>
                <w:szCs w:val="22"/>
              </w:rPr>
            </w:pPr>
            <w:r w:rsidRPr="00970205">
              <w:rPr>
                <w:color w:val="000000"/>
                <w:sz w:val="22"/>
                <w:szCs w:val="22"/>
              </w:rPr>
              <w:t>33.1</w:t>
            </w:r>
          </w:p>
        </w:tc>
        <w:tc>
          <w:tcPr>
            <w:tcW w:w="656" w:type="pct"/>
            <w:vAlign w:val="center"/>
          </w:tcPr>
          <w:p w14:paraId="51ED156A" w14:textId="77777777" w:rsidR="004B5852" w:rsidRPr="00970205" w:rsidRDefault="004B5852" w:rsidP="00B3099B">
            <w:pPr>
              <w:jc w:val="right"/>
              <w:rPr>
                <w:color w:val="000000"/>
                <w:sz w:val="22"/>
                <w:szCs w:val="22"/>
              </w:rPr>
            </w:pPr>
            <w:r w:rsidRPr="00970205">
              <w:rPr>
                <w:color w:val="000000"/>
                <w:sz w:val="22"/>
                <w:szCs w:val="22"/>
              </w:rPr>
              <w:t>18.1</w:t>
            </w:r>
          </w:p>
        </w:tc>
        <w:tc>
          <w:tcPr>
            <w:tcW w:w="829" w:type="pct"/>
            <w:vMerge/>
            <w:vAlign w:val="center"/>
          </w:tcPr>
          <w:p w14:paraId="0F5B5243" w14:textId="77777777" w:rsidR="004B5852" w:rsidRPr="00737A03" w:rsidRDefault="004B5852" w:rsidP="00B3099B">
            <w:pPr>
              <w:jc w:val="center"/>
              <w:rPr>
                <w:color w:val="000000"/>
                <w:sz w:val="16"/>
                <w:szCs w:val="22"/>
              </w:rPr>
            </w:pPr>
          </w:p>
        </w:tc>
      </w:tr>
      <w:tr w:rsidR="004B5852" w:rsidRPr="00CE32A2" w14:paraId="44E09A6E" w14:textId="77777777" w:rsidTr="00B3099B">
        <w:tc>
          <w:tcPr>
            <w:tcW w:w="717" w:type="pct"/>
            <w:vAlign w:val="center"/>
          </w:tcPr>
          <w:p w14:paraId="7A2D54EE" w14:textId="77777777" w:rsidR="004B5852" w:rsidRPr="00CE32A2" w:rsidRDefault="004B5852" w:rsidP="00B3099B">
            <w:pPr>
              <w:rPr>
                <w:sz w:val="22"/>
                <w:szCs w:val="22"/>
                <w:shd w:val="clear" w:color="auto" w:fill="FFFFFF"/>
              </w:rPr>
            </w:pPr>
          </w:p>
        </w:tc>
        <w:tc>
          <w:tcPr>
            <w:tcW w:w="174" w:type="pct"/>
            <w:vAlign w:val="center"/>
          </w:tcPr>
          <w:p w14:paraId="38203854" w14:textId="77777777" w:rsidR="004B5852" w:rsidRPr="00CE32A2" w:rsidRDefault="004B5852" w:rsidP="00B3099B">
            <w:pPr>
              <w:jc w:val="center"/>
              <w:rPr>
                <w:sz w:val="22"/>
                <w:szCs w:val="22"/>
                <w:shd w:val="clear" w:color="auto" w:fill="FFFFFF"/>
              </w:rPr>
            </w:pPr>
            <w:r w:rsidRPr="005819C4">
              <w:rPr>
                <w:sz w:val="22"/>
                <w:szCs w:val="22"/>
                <w:shd w:val="clear" w:color="auto" w:fill="FFFFFF"/>
              </w:rPr>
              <w:t>2</w:t>
            </w:r>
          </w:p>
        </w:tc>
        <w:tc>
          <w:tcPr>
            <w:tcW w:w="656" w:type="pct"/>
            <w:vAlign w:val="center"/>
          </w:tcPr>
          <w:p w14:paraId="471DD0BF" w14:textId="77777777" w:rsidR="004B5852" w:rsidRPr="00970205" w:rsidRDefault="004B5852" w:rsidP="00B3099B">
            <w:pPr>
              <w:jc w:val="right"/>
              <w:rPr>
                <w:color w:val="000000"/>
                <w:sz w:val="22"/>
                <w:szCs w:val="22"/>
              </w:rPr>
            </w:pPr>
            <w:r w:rsidRPr="00970205">
              <w:rPr>
                <w:color w:val="000000"/>
                <w:sz w:val="22"/>
                <w:szCs w:val="22"/>
              </w:rPr>
              <w:t>19.6</w:t>
            </w:r>
          </w:p>
        </w:tc>
        <w:tc>
          <w:tcPr>
            <w:tcW w:w="656" w:type="pct"/>
            <w:vAlign w:val="center"/>
          </w:tcPr>
          <w:p w14:paraId="5DDE0E3F" w14:textId="77777777" w:rsidR="004B5852" w:rsidRPr="00970205" w:rsidRDefault="004B5852" w:rsidP="00B3099B">
            <w:pPr>
              <w:jc w:val="right"/>
              <w:rPr>
                <w:color w:val="000000"/>
                <w:sz w:val="22"/>
                <w:szCs w:val="22"/>
              </w:rPr>
            </w:pPr>
            <w:r w:rsidRPr="00970205">
              <w:rPr>
                <w:color w:val="000000"/>
                <w:sz w:val="22"/>
                <w:szCs w:val="22"/>
              </w:rPr>
              <w:t>3</w:t>
            </w:r>
          </w:p>
        </w:tc>
        <w:tc>
          <w:tcPr>
            <w:tcW w:w="656" w:type="pct"/>
          </w:tcPr>
          <w:p w14:paraId="2AD55F14" w14:textId="77777777" w:rsidR="004B5852" w:rsidRPr="00970205" w:rsidRDefault="004B5852" w:rsidP="00B3099B">
            <w:pPr>
              <w:jc w:val="center"/>
              <w:rPr>
                <w:color w:val="000000"/>
                <w:sz w:val="22"/>
                <w:szCs w:val="22"/>
              </w:rPr>
            </w:pPr>
            <w:r w:rsidRPr="004D1E70">
              <w:t>-</w:t>
            </w:r>
          </w:p>
        </w:tc>
        <w:tc>
          <w:tcPr>
            <w:tcW w:w="656" w:type="pct"/>
            <w:vAlign w:val="center"/>
          </w:tcPr>
          <w:p w14:paraId="56AD5416" w14:textId="77777777" w:rsidR="004B5852" w:rsidRPr="00970205" w:rsidRDefault="004B5852" w:rsidP="00B3099B">
            <w:pPr>
              <w:jc w:val="right"/>
              <w:rPr>
                <w:color w:val="000000"/>
                <w:sz w:val="22"/>
                <w:szCs w:val="22"/>
              </w:rPr>
            </w:pPr>
            <w:r w:rsidRPr="00970205">
              <w:rPr>
                <w:color w:val="000000"/>
                <w:sz w:val="22"/>
                <w:szCs w:val="22"/>
              </w:rPr>
              <w:t>4.2</w:t>
            </w:r>
          </w:p>
        </w:tc>
        <w:tc>
          <w:tcPr>
            <w:tcW w:w="656" w:type="pct"/>
            <w:vAlign w:val="center"/>
          </w:tcPr>
          <w:p w14:paraId="527FB751" w14:textId="77777777" w:rsidR="004B5852" w:rsidRPr="00970205" w:rsidRDefault="004B5852" w:rsidP="00B3099B">
            <w:pPr>
              <w:jc w:val="right"/>
              <w:rPr>
                <w:color w:val="000000"/>
                <w:sz w:val="22"/>
                <w:szCs w:val="22"/>
              </w:rPr>
            </w:pPr>
            <w:r w:rsidRPr="00970205">
              <w:rPr>
                <w:color w:val="000000"/>
                <w:sz w:val="22"/>
                <w:szCs w:val="22"/>
              </w:rPr>
              <w:t>1.9</w:t>
            </w:r>
          </w:p>
        </w:tc>
        <w:tc>
          <w:tcPr>
            <w:tcW w:w="829" w:type="pct"/>
            <w:vMerge/>
            <w:vAlign w:val="center"/>
          </w:tcPr>
          <w:p w14:paraId="08A88AC7" w14:textId="77777777" w:rsidR="004B5852" w:rsidRPr="00737A03" w:rsidRDefault="004B5852" w:rsidP="00B3099B">
            <w:pPr>
              <w:jc w:val="center"/>
              <w:rPr>
                <w:color w:val="000000"/>
                <w:sz w:val="16"/>
                <w:szCs w:val="22"/>
              </w:rPr>
            </w:pPr>
          </w:p>
        </w:tc>
      </w:tr>
      <w:tr w:rsidR="004B5852" w:rsidRPr="00CE32A2" w14:paraId="2931329B" w14:textId="77777777" w:rsidTr="00B3099B">
        <w:tc>
          <w:tcPr>
            <w:tcW w:w="717" w:type="pct"/>
            <w:vAlign w:val="center"/>
          </w:tcPr>
          <w:p w14:paraId="77915941" w14:textId="77777777" w:rsidR="004B5852" w:rsidRPr="00CE32A2" w:rsidRDefault="004B5852" w:rsidP="00B3099B">
            <w:pPr>
              <w:rPr>
                <w:sz w:val="22"/>
                <w:szCs w:val="22"/>
                <w:shd w:val="clear" w:color="auto" w:fill="FFFFFF"/>
              </w:rPr>
            </w:pPr>
            <w:r w:rsidRPr="00CE32A2">
              <w:rPr>
                <w:sz w:val="22"/>
                <w:szCs w:val="22"/>
                <w:shd w:val="clear" w:color="auto" w:fill="FFFFFF"/>
              </w:rPr>
              <w:t>Angry most of time</w:t>
            </w:r>
          </w:p>
        </w:tc>
        <w:tc>
          <w:tcPr>
            <w:tcW w:w="174" w:type="pct"/>
            <w:vAlign w:val="center"/>
          </w:tcPr>
          <w:p w14:paraId="1E1A1704" w14:textId="77777777" w:rsidR="004B5852" w:rsidRPr="00CE32A2" w:rsidRDefault="004B5852" w:rsidP="00B3099B">
            <w:pPr>
              <w:jc w:val="center"/>
              <w:rPr>
                <w:sz w:val="22"/>
                <w:szCs w:val="22"/>
                <w:shd w:val="clear" w:color="auto" w:fill="FFFFFF"/>
              </w:rPr>
            </w:pPr>
            <w:r w:rsidRPr="00597610">
              <w:rPr>
                <w:sz w:val="22"/>
                <w:szCs w:val="22"/>
              </w:rPr>
              <w:t>0</w:t>
            </w:r>
          </w:p>
        </w:tc>
        <w:tc>
          <w:tcPr>
            <w:tcW w:w="656" w:type="pct"/>
            <w:vAlign w:val="center"/>
          </w:tcPr>
          <w:p w14:paraId="69F1A66E" w14:textId="77777777" w:rsidR="004B5852" w:rsidRPr="00970205" w:rsidRDefault="004B5852" w:rsidP="00B3099B">
            <w:pPr>
              <w:jc w:val="right"/>
              <w:rPr>
                <w:color w:val="000000"/>
                <w:sz w:val="22"/>
                <w:szCs w:val="22"/>
              </w:rPr>
            </w:pPr>
            <w:r w:rsidRPr="00970205">
              <w:rPr>
                <w:color w:val="000000"/>
                <w:sz w:val="22"/>
                <w:szCs w:val="22"/>
              </w:rPr>
              <w:t>69.2</w:t>
            </w:r>
          </w:p>
        </w:tc>
        <w:tc>
          <w:tcPr>
            <w:tcW w:w="656" w:type="pct"/>
            <w:vAlign w:val="center"/>
          </w:tcPr>
          <w:p w14:paraId="768AA9B7" w14:textId="77777777" w:rsidR="004B5852" w:rsidRPr="00970205" w:rsidRDefault="004B5852" w:rsidP="00B3099B">
            <w:pPr>
              <w:jc w:val="right"/>
              <w:rPr>
                <w:color w:val="000000"/>
                <w:sz w:val="22"/>
                <w:szCs w:val="22"/>
              </w:rPr>
            </w:pPr>
            <w:r w:rsidRPr="00970205">
              <w:rPr>
                <w:color w:val="000000"/>
                <w:sz w:val="22"/>
                <w:szCs w:val="22"/>
              </w:rPr>
              <w:t>91.7</w:t>
            </w:r>
          </w:p>
        </w:tc>
        <w:tc>
          <w:tcPr>
            <w:tcW w:w="656" w:type="pct"/>
          </w:tcPr>
          <w:p w14:paraId="409DD6EE" w14:textId="77777777" w:rsidR="004B5852" w:rsidRPr="00970205" w:rsidRDefault="004B5852" w:rsidP="00B3099B">
            <w:pPr>
              <w:jc w:val="center"/>
              <w:rPr>
                <w:color w:val="000000"/>
                <w:sz w:val="22"/>
                <w:szCs w:val="22"/>
              </w:rPr>
            </w:pPr>
            <w:r w:rsidRPr="004D1E70">
              <w:t>-</w:t>
            </w:r>
          </w:p>
        </w:tc>
        <w:tc>
          <w:tcPr>
            <w:tcW w:w="656" w:type="pct"/>
            <w:vAlign w:val="center"/>
          </w:tcPr>
          <w:p w14:paraId="024B2F46" w14:textId="77777777" w:rsidR="004B5852" w:rsidRPr="00970205" w:rsidRDefault="004B5852" w:rsidP="00B3099B">
            <w:pPr>
              <w:jc w:val="right"/>
              <w:rPr>
                <w:color w:val="000000"/>
                <w:sz w:val="22"/>
                <w:szCs w:val="22"/>
              </w:rPr>
            </w:pPr>
            <w:r w:rsidRPr="00970205">
              <w:rPr>
                <w:color w:val="000000"/>
                <w:sz w:val="22"/>
                <w:szCs w:val="22"/>
              </w:rPr>
              <w:t>92.2</w:t>
            </w:r>
          </w:p>
        </w:tc>
        <w:tc>
          <w:tcPr>
            <w:tcW w:w="656" w:type="pct"/>
            <w:vAlign w:val="center"/>
          </w:tcPr>
          <w:p w14:paraId="1961367F" w14:textId="77777777" w:rsidR="004B5852" w:rsidRPr="00970205" w:rsidRDefault="004B5852" w:rsidP="00B3099B">
            <w:pPr>
              <w:jc w:val="right"/>
              <w:rPr>
                <w:color w:val="000000"/>
                <w:sz w:val="22"/>
                <w:szCs w:val="22"/>
              </w:rPr>
            </w:pPr>
            <w:r w:rsidRPr="00970205">
              <w:rPr>
                <w:color w:val="000000"/>
                <w:sz w:val="22"/>
                <w:szCs w:val="22"/>
              </w:rPr>
              <w:t>94.9</w:t>
            </w:r>
          </w:p>
        </w:tc>
        <w:tc>
          <w:tcPr>
            <w:tcW w:w="829" w:type="pct"/>
            <w:vMerge w:val="restart"/>
            <w:vAlign w:val="center"/>
          </w:tcPr>
          <w:p w14:paraId="4174641B" w14:textId="77777777" w:rsidR="004B5852" w:rsidRPr="00737A03" w:rsidRDefault="004B5852" w:rsidP="00B3099B">
            <w:pPr>
              <w:jc w:val="center"/>
              <w:rPr>
                <w:color w:val="000000"/>
                <w:sz w:val="16"/>
                <w:szCs w:val="22"/>
              </w:rPr>
            </w:pPr>
            <w:r w:rsidRPr="00737A03">
              <w:rPr>
                <w:sz w:val="16"/>
              </w:rPr>
              <w:t>Br &gt;Ch,</w:t>
            </w:r>
            <w:r>
              <w:rPr>
                <w:sz w:val="16"/>
              </w:rPr>
              <w:t xml:space="preserve"> </w:t>
            </w:r>
            <w:r w:rsidRPr="009A0CBE">
              <w:rPr>
                <w:sz w:val="16"/>
              </w:rPr>
              <w:t>Sp</w:t>
            </w:r>
            <w:r w:rsidRPr="00737A03">
              <w:rPr>
                <w:sz w:val="16"/>
              </w:rPr>
              <w:t>,</w:t>
            </w:r>
            <w:r>
              <w:rPr>
                <w:sz w:val="16"/>
              </w:rPr>
              <w:t xml:space="preserve"> </w:t>
            </w:r>
            <w:r w:rsidRPr="00737A03">
              <w:rPr>
                <w:sz w:val="16"/>
              </w:rPr>
              <w:t xml:space="preserve">US (all </w:t>
            </w:r>
            <w:r w:rsidRPr="009A0CBE">
              <w:rPr>
                <w:i/>
                <w:sz w:val="16"/>
              </w:rPr>
              <w:t>p</w:t>
            </w:r>
            <w:r w:rsidRPr="00737A03">
              <w:rPr>
                <w:sz w:val="16"/>
              </w:rPr>
              <w:t>&lt;0.001)</w:t>
            </w:r>
          </w:p>
        </w:tc>
      </w:tr>
      <w:tr w:rsidR="004B5852" w:rsidRPr="00CE32A2" w14:paraId="074EF60C" w14:textId="77777777" w:rsidTr="00B3099B">
        <w:tc>
          <w:tcPr>
            <w:tcW w:w="717" w:type="pct"/>
            <w:vAlign w:val="center"/>
          </w:tcPr>
          <w:p w14:paraId="5F6F3322" w14:textId="77777777" w:rsidR="004B5852" w:rsidRPr="00CE32A2" w:rsidRDefault="004B5852" w:rsidP="00B3099B">
            <w:pPr>
              <w:rPr>
                <w:sz w:val="22"/>
                <w:szCs w:val="22"/>
                <w:shd w:val="clear" w:color="auto" w:fill="FFFFFF"/>
              </w:rPr>
            </w:pPr>
          </w:p>
        </w:tc>
        <w:tc>
          <w:tcPr>
            <w:tcW w:w="174" w:type="pct"/>
            <w:vAlign w:val="center"/>
          </w:tcPr>
          <w:p w14:paraId="48097C7D" w14:textId="77777777" w:rsidR="004B5852" w:rsidRPr="00CE32A2" w:rsidRDefault="004B5852" w:rsidP="00B3099B">
            <w:pPr>
              <w:jc w:val="center"/>
              <w:rPr>
                <w:sz w:val="22"/>
                <w:szCs w:val="22"/>
                <w:shd w:val="clear" w:color="auto" w:fill="FFFFFF"/>
              </w:rPr>
            </w:pPr>
            <w:r w:rsidRPr="005819C4">
              <w:rPr>
                <w:sz w:val="22"/>
                <w:szCs w:val="22"/>
                <w:shd w:val="clear" w:color="auto" w:fill="FFFFFF"/>
              </w:rPr>
              <w:t>1</w:t>
            </w:r>
          </w:p>
        </w:tc>
        <w:tc>
          <w:tcPr>
            <w:tcW w:w="656" w:type="pct"/>
            <w:vAlign w:val="center"/>
          </w:tcPr>
          <w:p w14:paraId="2EF998C9" w14:textId="77777777" w:rsidR="004B5852" w:rsidRPr="00970205" w:rsidRDefault="004B5852" w:rsidP="00B3099B">
            <w:pPr>
              <w:jc w:val="right"/>
              <w:rPr>
                <w:color w:val="000000"/>
                <w:sz w:val="22"/>
                <w:szCs w:val="22"/>
              </w:rPr>
            </w:pPr>
            <w:r w:rsidRPr="00970205">
              <w:rPr>
                <w:color w:val="000000"/>
                <w:sz w:val="22"/>
                <w:szCs w:val="22"/>
              </w:rPr>
              <w:t>18.1</w:t>
            </w:r>
          </w:p>
        </w:tc>
        <w:tc>
          <w:tcPr>
            <w:tcW w:w="656" w:type="pct"/>
            <w:vAlign w:val="center"/>
          </w:tcPr>
          <w:p w14:paraId="38671489" w14:textId="77777777" w:rsidR="004B5852" w:rsidRPr="00970205" w:rsidRDefault="004B5852" w:rsidP="00B3099B">
            <w:pPr>
              <w:jc w:val="right"/>
              <w:rPr>
                <w:color w:val="000000"/>
                <w:sz w:val="22"/>
                <w:szCs w:val="22"/>
              </w:rPr>
            </w:pPr>
            <w:r w:rsidRPr="00970205">
              <w:rPr>
                <w:color w:val="000000"/>
                <w:sz w:val="22"/>
                <w:szCs w:val="22"/>
              </w:rPr>
              <w:t>7.6</w:t>
            </w:r>
          </w:p>
        </w:tc>
        <w:tc>
          <w:tcPr>
            <w:tcW w:w="656" w:type="pct"/>
          </w:tcPr>
          <w:p w14:paraId="658BAA7A" w14:textId="77777777" w:rsidR="004B5852" w:rsidRPr="00970205" w:rsidRDefault="004B5852" w:rsidP="00B3099B">
            <w:pPr>
              <w:jc w:val="center"/>
              <w:rPr>
                <w:color w:val="000000"/>
                <w:sz w:val="22"/>
                <w:szCs w:val="22"/>
              </w:rPr>
            </w:pPr>
            <w:r w:rsidRPr="004D1E70">
              <w:t>-</w:t>
            </w:r>
          </w:p>
        </w:tc>
        <w:tc>
          <w:tcPr>
            <w:tcW w:w="656" w:type="pct"/>
            <w:vAlign w:val="center"/>
          </w:tcPr>
          <w:p w14:paraId="3A17FAF0" w14:textId="77777777" w:rsidR="004B5852" w:rsidRPr="00970205" w:rsidRDefault="004B5852" w:rsidP="00B3099B">
            <w:pPr>
              <w:jc w:val="right"/>
              <w:rPr>
                <w:color w:val="000000"/>
                <w:sz w:val="22"/>
                <w:szCs w:val="22"/>
              </w:rPr>
            </w:pPr>
            <w:r w:rsidRPr="00970205">
              <w:rPr>
                <w:color w:val="000000"/>
                <w:sz w:val="22"/>
                <w:szCs w:val="22"/>
              </w:rPr>
              <w:t>7.3</w:t>
            </w:r>
          </w:p>
        </w:tc>
        <w:tc>
          <w:tcPr>
            <w:tcW w:w="656" w:type="pct"/>
            <w:vAlign w:val="center"/>
          </w:tcPr>
          <w:p w14:paraId="4502A340" w14:textId="77777777" w:rsidR="004B5852" w:rsidRPr="00970205" w:rsidRDefault="004B5852" w:rsidP="00B3099B">
            <w:pPr>
              <w:jc w:val="right"/>
              <w:rPr>
                <w:color w:val="000000"/>
                <w:sz w:val="22"/>
                <w:szCs w:val="22"/>
              </w:rPr>
            </w:pPr>
            <w:r w:rsidRPr="00970205">
              <w:rPr>
                <w:color w:val="000000"/>
                <w:sz w:val="22"/>
                <w:szCs w:val="22"/>
              </w:rPr>
              <w:t>3.9</w:t>
            </w:r>
          </w:p>
        </w:tc>
        <w:tc>
          <w:tcPr>
            <w:tcW w:w="829" w:type="pct"/>
            <w:vMerge/>
            <w:vAlign w:val="center"/>
          </w:tcPr>
          <w:p w14:paraId="113DB4D4" w14:textId="77777777" w:rsidR="004B5852" w:rsidRPr="00737A03" w:rsidRDefault="004B5852" w:rsidP="00B3099B">
            <w:pPr>
              <w:jc w:val="center"/>
              <w:rPr>
                <w:color w:val="000000"/>
                <w:sz w:val="16"/>
                <w:szCs w:val="22"/>
              </w:rPr>
            </w:pPr>
          </w:p>
        </w:tc>
      </w:tr>
      <w:tr w:rsidR="004B5852" w:rsidRPr="00CE32A2" w14:paraId="3265ACA0" w14:textId="77777777" w:rsidTr="00B3099B">
        <w:tc>
          <w:tcPr>
            <w:tcW w:w="717" w:type="pct"/>
            <w:vAlign w:val="center"/>
          </w:tcPr>
          <w:p w14:paraId="7B41D358" w14:textId="77777777" w:rsidR="004B5852" w:rsidRPr="00CE32A2" w:rsidRDefault="004B5852" w:rsidP="00B3099B">
            <w:pPr>
              <w:rPr>
                <w:sz w:val="22"/>
                <w:szCs w:val="22"/>
                <w:shd w:val="clear" w:color="auto" w:fill="FFFFFF"/>
              </w:rPr>
            </w:pPr>
          </w:p>
        </w:tc>
        <w:tc>
          <w:tcPr>
            <w:tcW w:w="174" w:type="pct"/>
            <w:vAlign w:val="center"/>
          </w:tcPr>
          <w:p w14:paraId="2755BE86" w14:textId="77777777" w:rsidR="004B5852" w:rsidRPr="00CE32A2" w:rsidRDefault="004B5852" w:rsidP="00B3099B">
            <w:pPr>
              <w:jc w:val="center"/>
              <w:rPr>
                <w:sz w:val="22"/>
                <w:szCs w:val="22"/>
                <w:shd w:val="clear" w:color="auto" w:fill="FFFFFF"/>
              </w:rPr>
            </w:pPr>
            <w:r w:rsidRPr="005819C4">
              <w:rPr>
                <w:sz w:val="22"/>
                <w:szCs w:val="22"/>
                <w:shd w:val="clear" w:color="auto" w:fill="FFFFFF"/>
              </w:rPr>
              <w:t>2</w:t>
            </w:r>
          </w:p>
        </w:tc>
        <w:tc>
          <w:tcPr>
            <w:tcW w:w="656" w:type="pct"/>
            <w:vAlign w:val="center"/>
          </w:tcPr>
          <w:p w14:paraId="1F7ACF5B" w14:textId="77777777" w:rsidR="004B5852" w:rsidRPr="00970205" w:rsidRDefault="004B5852" w:rsidP="00B3099B">
            <w:pPr>
              <w:jc w:val="right"/>
              <w:rPr>
                <w:color w:val="000000"/>
                <w:sz w:val="22"/>
                <w:szCs w:val="22"/>
              </w:rPr>
            </w:pPr>
            <w:r w:rsidRPr="00970205">
              <w:rPr>
                <w:color w:val="000000"/>
                <w:sz w:val="22"/>
                <w:szCs w:val="22"/>
              </w:rPr>
              <w:t>12.8</w:t>
            </w:r>
          </w:p>
        </w:tc>
        <w:tc>
          <w:tcPr>
            <w:tcW w:w="656" w:type="pct"/>
            <w:vAlign w:val="center"/>
          </w:tcPr>
          <w:p w14:paraId="4571A422" w14:textId="77777777" w:rsidR="004B5852" w:rsidRPr="00970205" w:rsidRDefault="004B5852" w:rsidP="00B3099B">
            <w:pPr>
              <w:jc w:val="right"/>
              <w:rPr>
                <w:color w:val="000000"/>
                <w:sz w:val="22"/>
                <w:szCs w:val="22"/>
              </w:rPr>
            </w:pPr>
            <w:r w:rsidRPr="00970205">
              <w:rPr>
                <w:color w:val="000000"/>
                <w:sz w:val="22"/>
                <w:szCs w:val="22"/>
              </w:rPr>
              <w:t>0.8</w:t>
            </w:r>
          </w:p>
        </w:tc>
        <w:tc>
          <w:tcPr>
            <w:tcW w:w="656" w:type="pct"/>
          </w:tcPr>
          <w:p w14:paraId="33B29088" w14:textId="77777777" w:rsidR="004B5852" w:rsidRPr="00970205" w:rsidRDefault="004B5852" w:rsidP="00B3099B">
            <w:pPr>
              <w:jc w:val="center"/>
              <w:rPr>
                <w:color w:val="000000"/>
                <w:sz w:val="22"/>
                <w:szCs w:val="22"/>
              </w:rPr>
            </w:pPr>
            <w:r w:rsidRPr="004D1E70">
              <w:t>-</w:t>
            </w:r>
          </w:p>
        </w:tc>
        <w:tc>
          <w:tcPr>
            <w:tcW w:w="656" w:type="pct"/>
            <w:vAlign w:val="center"/>
          </w:tcPr>
          <w:p w14:paraId="645F85A0" w14:textId="77777777" w:rsidR="004B5852" w:rsidRPr="00970205" w:rsidRDefault="004B5852" w:rsidP="00B3099B">
            <w:pPr>
              <w:jc w:val="right"/>
              <w:rPr>
                <w:color w:val="000000"/>
                <w:sz w:val="22"/>
                <w:szCs w:val="22"/>
              </w:rPr>
            </w:pPr>
            <w:r w:rsidRPr="00970205">
              <w:rPr>
                <w:color w:val="000000"/>
                <w:sz w:val="22"/>
                <w:szCs w:val="22"/>
              </w:rPr>
              <w:t>0.5</w:t>
            </w:r>
          </w:p>
        </w:tc>
        <w:tc>
          <w:tcPr>
            <w:tcW w:w="656" w:type="pct"/>
            <w:vAlign w:val="center"/>
          </w:tcPr>
          <w:p w14:paraId="3F962B42" w14:textId="77777777" w:rsidR="004B5852" w:rsidRPr="00970205" w:rsidRDefault="004B5852" w:rsidP="00B3099B">
            <w:pPr>
              <w:jc w:val="right"/>
              <w:rPr>
                <w:color w:val="000000"/>
                <w:sz w:val="22"/>
                <w:szCs w:val="22"/>
              </w:rPr>
            </w:pPr>
            <w:r w:rsidRPr="00970205">
              <w:rPr>
                <w:color w:val="000000"/>
                <w:sz w:val="22"/>
                <w:szCs w:val="22"/>
              </w:rPr>
              <w:t>1.3</w:t>
            </w:r>
          </w:p>
        </w:tc>
        <w:tc>
          <w:tcPr>
            <w:tcW w:w="829" w:type="pct"/>
            <w:vMerge/>
            <w:vAlign w:val="center"/>
          </w:tcPr>
          <w:p w14:paraId="7F065E89" w14:textId="77777777" w:rsidR="004B5852" w:rsidRPr="00737A03" w:rsidRDefault="004B5852" w:rsidP="00B3099B">
            <w:pPr>
              <w:jc w:val="center"/>
              <w:rPr>
                <w:color w:val="000000"/>
                <w:sz w:val="16"/>
                <w:szCs w:val="22"/>
              </w:rPr>
            </w:pPr>
          </w:p>
        </w:tc>
      </w:tr>
      <w:tr w:rsidR="004B5852" w:rsidRPr="00CE32A2" w14:paraId="6689A12F" w14:textId="77777777" w:rsidTr="00B3099B">
        <w:tc>
          <w:tcPr>
            <w:tcW w:w="717" w:type="pct"/>
            <w:vAlign w:val="center"/>
          </w:tcPr>
          <w:p w14:paraId="019C3D89" w14:textId="77777777" w:rsidR="004B5852" w:rsidRPr="00CE32A2" w:rsidRDefault="004B5852" w:rsidP="00B3099B">
            <w:pPr>
              <w:rPr>
                <w:sz w:val="22"/>
                <w:szCs w:val="22"/>
                <w:shd w:val="clear" w:color="auto" w:fill="FFFFFF"/>
              </w:rPr>
            </w:pPr>
            <w:r w:rsidRPr="00CE32A2">
              <w:rPr>
                <w:sz w:val="22"/>
                <w:szCs w:val="22"/>
                <w:shd w:val="clear" w:color="auto" w:fill="FFFFFF"/>
              </w:rPr>
              <w:t>Angry frequent</w:t>
            </w:r>
          </w:p>
        </w:tc>
        <w:tc>
          <w:tcPr>
            <w:tcW w:w="174" w:type="pct"/>
            <w:vAlign w:val="center"/>
          </w:tcPr>
          <w:p w14:paraId="61F16837" w14:textId="77777777" w:rsidR="004B5852" w:rsidRPr="00CE32A2" w:rsidRDefault="004B5852" w:rsidP="00B3099B">
            <w:pPr>
              <w:jc w:val="center"/>
              <w:rPr>
                <w:sz w:val="22"/>
                <w:szCs w:val="22"/>
                <w:shd w:val="clear" w:color="auto" w:fill="FFFFFF"/>
              </w:rPr>
            </w:pPr>
            <w:r w:rsidRPr="00597610">
              <w:rPr>
                <w:sz w:val="22"/>
                <w:szCs w:val="22"/>
              </w:rPr>
              <w:t>0</w:t>
            </w:r>
          </w:p>
        </w:tc>
        <w:tc>
          <w:tcPr>
            <w:tcW w:w="656" w:type="pct"/>
            <w:vAlign w:val="center"/>
          </w:tcPr>
          <w:p w14:paraId="0537EFB6" w14:textId="77777777" w:rsidR="004B5852" w:rsidRPr="00970205" w:rsidRDefault="004B5852" w:rsidP="00B3099B">
            <w:pPr>
              <w:jc w:val="right"/>
              <w:rPr>
                <w:color w:val="000000"/>
                <w:sz w:val="22"/>
                <w:szCs w:val="22"/>
              </w:rPr>
            </w:pPr>
            <w:r w:rsidRPr="00970205">
              <w:rPr>
                <w:color w:val="000000"/>
                <w:sz w:val="22"/>
                <w:szCs w:val="22"/>
              </w:rPr>
              <w:t>56.4</w:t>
            </w:r>
          </w:p>
        </w:tc>
        <w:tc>
          <w:tcPr>
            <w:tcW w:w="656" w:type="pct"/>
            <w:vAlign w:val="center"/>
          </w:tcPr>
          <w:p w14:paraId="4DF3BD02" w14:textId="77777777" w:rsidR="004B5852" w:rsidRPr="00970205" w:rsidRDefault="004B5852" w:rsidP="00B3099B">
            <w:pPr>
              <w:jc w:val="right"/>
              <w:rPr>
                <w:color w:val="000000"/>
                <w:sz w:val="22"/>
                <w:szCs w:val="22"/>
              </w:rPr>
            </w:pPr>
            <w:r w:rsidRPr="00970205">
              <w:rPr>
                <w:color w:val="000000"/>
                <w:sz w:val="22"/>
                <w:szCs w:val="22"/>
              </w:rPr>
              <w:t>79</w:t>
            </w:r>
          </w:p>
        </w:tc>
        <w:tc>
          <w:tcPr>
            <w:tcW w:w="656" w:type="pct"/>
          </w:tcPr>
          <w:p w14:paraId="1AA6CFCB" w14:textId="77777777" w:rsidR="004B5852" w:rsidRPr="00970205" w:rsidRDefault="004B5852" w:rsidP="00B3099B">
            <w:pPr>
              <w:jc w:val="center"/>
              <w:rPr>
                <w:color w:val="000000"/>
                <w:sz w:val="22"/>
                <w:szCs w:val="22"/>
              </w:rPr>
            </w:pPr>
            <w:r w:rsidRPr="004D1E70">
              <w:t>-</w:t>
            </w:r>
          </w:p>
        </w:tc>
        <w:tc>
          <w:tcPr>
            <w:tcW w:w="656" w:type="pct"/>
            <w:vAlign w:val="center"/>
          </w:tcPr>
          <w:p w14:paraId="0C7E5EF7" w14:textId="77777777" w:rsidR="004B5852" w:rsidRPr="00970205" w:rsidRDefault="004B5852" w:rsidP="00B3099B">
            <w:pPr>
              <w:jc w:val="right"/>
              <w:rPr>
                <w:color w:val="000000"/>
                <w:sz w:val="22"/>
                <w:szCs w:val="22"/>
              </w:rPr>
            </w:pPr>
            <w:r w:rsidRPr="00970205">
              <w:rPr>
                <w:color w:val="000000"/>
                <w:sz w:val="22"/>
                <w:szCs w:val="22"/>
              </w:rPr>
              <w:t>71</w:t>
            </w:r>
          </w:p>
        </w:tc>
        <w:tc>
          <w:tcPr>
            <w:tcW w:w="656" w:type="pct"/>
            <w:vAlign w:val="center"/>
          </w:tcPr>
          <w:p w14:paraId="670DD064" w14:textId="77777777" w:rsidR="004B5852" w:rsidRPr="00970205" w:rsidRDefault="004B5852" w:rsidP="00B3099B">
            <w:pPr>
              <w:jc w:val="right"/>
              <w:rPr>
                <w:color w:val="000000"/>
                <w:sz w:val="22"/>
                <w:szCs w:val="22"/>
              </w:rPr>
            </w:pPr>
            <w:r w:rsidRPr="00970205">
              <w:rPr>
                <w:color w:val="000000"/>
                <w:sz w:val="22"/>
                <w:szCs w:val="22"/>
              </w:rPr>
              <w:t>80.9</w:t>
            </w:r>
          </w:p>
        </w:tc>
        <w:tc>
          <w:tcPr>
            <w:tcW w:w="829" w:type="pct"/>
            <w:vMerge w:val="restart"/>
            <w:vAlign w:val="center"/>
          </w:tcPr>
          <w:p w14:paraId="1800820B" w14:textId="77777777" w:rsidR="004B5852" w:rsidRPr="00737A03" w:rsidRDefault="004B5852" w:rsidP="00B3099B">
            <w:pPr>
              <w:jc w:val="center"/>
              <w:rPr>
                <w:color w:val="000000"/>
                <w:sz w:val="16"/>
                <w:szCs w:val="22"/>
              </w:rPr>
            </w:pPr>
            <w:r w:rsidRPr="00737A03">
              <w:rPr>
                <w:sz w:val="16"/>
              </w:rPr>
              <w:t>Br&gt;Ch (</w:t>
            </w:r>
            <w:r w:rsidRPr="009A0CBE">
              <w:rPr>
                <w:i/>
                <w:sz w:val="16"/>
              </w:rPr>
              <w:t>p</w:t>
            </w:r>
            <w:r w:rsidRPr="00737A03">
              <w:rPr>
                <w:sz w:val="16"/>
              </w:rPr>
              <w:t>&lt;0.001); Br&gt;US (</w:t>
            </w:r>
            <w:r w:rsidRPr="009A0CBE">
              <w:rPr>
                <w:i/>
                <w:sz w:val="16"/>
              </w:rPr>
              <w:t>p</w:t>
            </w:r>
            <w:r w:rsidRPr="00737A03">
              <w:rPr>
                <w:sz w:val="16"/>
              </w:rPr>
              <w:t>&lt;0.001); Br&gt;</w:t>
            </w:r>
            <w:r w:rsidRPr="009A0CBE">
              <w:rPr>
                <w:sz w:val="16"/>
              </w:rPr>
              <w:t>Sp</w:t>
            </w:r>
            <w:r>
              <w:rPr>
                <w:sz w:val="16"/>
              </w:rPr>
              <w:t xml:space="preserve"> </w:t>
            </w:r>
            <w:r w:rsidRPr="00737A03">
              <w:rPr>
                <w:sz w:val="16"/>
              </w:rPr>
              <w:t>(</w:t>
            </w:r>
            <w:r w:rsidRPr="009A0CBE">
              <w:rPr>
                <w:i/>
                <w:sz w:val="16"/>
              </w:rPr>
              <w:t>p</w:t>
            </w:r>
            <w:r w:rsidRPr="00737A03">
              <w:rPr>
                <w:sz w:val="16"/>
              </w:rPr>
              <w:t xml:space="preserve">=0.001); </w:t>
            </w:r>
            <w:r w:rsidRPr="009A0CBE">
              <w:rPr>
                <w:sz w:val="16"/>
              </w:rPr>
              <w:t>Sp</w:t>
            </w:r>
            <w:r w:rsidRPr="00737A03">
              <w:rPr>
                <w:sz w:val="16"/>
              </w:rPr>
              <w:t>&gt;US (</w:t>
            </w:r>
            <w:r w:rsidRPr="009A0CBE">
              <w:rPr>
                <w:i/>
                <w:sz w:val="16"/>
              </w:rPr>
              <w:t>p</w:t>
            </w:r>
            <w:r w:rsidRPr="00737A03">
              <w:rPr>
                <w:sz w:val="16"/>
              </w:rPr>
              <w:t>=0.008</w:t>
            </w:r>
          </w:p>
        </w:tc>
      </w:tr>
      <w:tr w:rsidR="004B5852" w:rsidRPr="00CE32A2" w14:paraId="7639AA08" w14:textId="77777777" w:rsidTr="00B3099B">
        <w:tc>
          <w:tcPr>
            <w:tcW w:w="717" w:type="pct"/>
            <w:vAlign w:val="center"/>
          </w:tcPr>
          <w:p w14:paraId="48F962F6" w14:textId="77777777" w:rsidR="004B5852" w:rsidRPr="00CE32A2" w:rsidRDefault="004B5852" w:rsidP="00B3099B">
            <w:pPr>
              <w:rPr>
                <w:sz w:val="22"/>
                <w:szCs w:val="22"/>
                <w:shd w:val="clear" w:color="auto" w:fill="FFFFFF"/>
              </w:rPr>
            </w:pPr>
          </w:p>
        </w:tc>
        <w:tc>
          <w:tcPr>
            <w:tcW w:w="174" w:type="pct"/>
            <w:vAlign w:val="center"/>
          </w:tcPr>
          <w:p w14:paraId="22565DDF" w14:textId="77777777" w:rsidR="004B5852" w:rsidRPr="00CE32A2" w:rsidRDefault="004B5852" w:rsidP="00B3099B">
            <w:pPr>
              <w:jc w:val="center"/>
              <w:rPr>
                <w:sz w:val="22"/>
                <w:szCs w:val="22"/>
                <w:shd w:val="clear" w:color="auto" w:fill="FFFFFF"/>
              </w:rPr>
            </w:pPr>
            <w:r w:rsidRPr="005819C4">
              <w:rPr>
                <w:sz w:val="22"/>
                <w:szCs w:val="22"/>
                <w:shd w:val="clear" w:color="auto" w:fill="FFFFFF"/>
              </w:rPr>
              <w:t>1</w:t>
            </w:r>
          </w:p>
        </w:tc>
        <w:tc>
          <w:tcPr>
            <w:tcW w:w="656" w:type="pct"/>
            <w:vAlign w:val="center"/>
          </w:tcPr>
          <w:p w14:paraId="665BFA11" w14:textId="77777777" w:rsidR="004B5852" w:rsidRPr="00970205" w:rsidRDefault="004B5852" w:rsidP="00B3099B">
            <w:pPr>
              <w:jc w:val="right"/>
              <w:rPr>
                <w:color w:val="000000"/>
                <w:sz w:val="22"/>
                <w:szCs w:val="22"/>
              </w:rPr>
            </w:pPr>
            <w:r w:rsidRPr="00970205">
              <w:rPr>
                <w:color w:val="000000"/>
                <w:sz w:val="22"/>
                <w:szCs w:val="22"/>
              </w:rPr>
              <w:t>29.3</w:t>
            </w:r>
          </w:p>
        </w:tc>
        <w:tc>
          <w:tcPr>
            <w:tcW w:w="656" w:type="pct"/>
            <w:vAlign w:val="center"/>
          </w:tcPr>
          <w:p w14:paraId="71955802" w14:textId="77777777" w:rsidR="004B5852" w:rsidRPr="00970205" w:rsidRDefault="004B5852" w:rsidP="00B3099B">
            <w:pPr>
              <w:jc w:val="right"/>
              <w:rPr>
                <w:color w:val="000000"/>
                <w:sz w:val="22"/>
                <w:szCs w:val="22"/>
              </w:rPr>
            </w:pPr>
            <w:r w:rsidRPr="00970205">
              <w:rPr>
                <w:color w:val="000000"/>
                <w:sz w:val="22"/>
                <w:szCs w:val="22"/>
              </w:rPr>
              <w:t>19.5</w:t>
            </w:r>
          </w:p>
        </w:tc>
        <w:tc>
          <w:tcPr>
            <w:tcW w:w="656" w:type="pct"/>
          </w:tcPr>
          <w:p w14:paraId="095E2BE8" w14:textId="77777777" w:rsidR="004B5852" w:rsidRPr="00970205" w:rsidRDefault="004B5852" w:rsidP="00B3099B">
            <w:pPr>
              <w:jc w:val="center"/>
              <w:rPr>
                <w:color w:val="000000"/>
                <w:sz w:val="22"/>
                <w:szCs w:val="22"/>
              </w:rPr>
            </w:pPr>
            <w:r w:rsidRPr="004D1E70">
              <w:t>-</w:t>
            </w:r>
          </w:p>
        </w:tc>
        <w:tc>
          <w:tcPr>
            <w:tcW w:w="656" w:type="pct"/>
            <w:vAlign w:val="center"/>
          </w:tcPr>
          <w:p w14:paraId="7CC71B66" w14:textId="77777777" w:rsidR="004B5852" w:rsidRPr="00970205" w:rsidRDefault="004B5852" w:rsidP="00B3099B">
            <w:pPr>
              <w:jc w:val="right"/>
              <w:rPr>
                <w:color w:val="000000"/>
                <w:sz w:val="22"/>
                <w:szCs w:val="22"/>
              </w:rPr>
            </w:pPr>
            <w:r w:rsidRPr="00970205">
              <w:rPr>
                <w:color w:val="000000"/>
                <w:sz w:val="22"/>
                <w:szCs w:val="22"/>
              </w:rPr>
              <w:t>27.2</w:t>
            </w:r>
          </w:p>
        </w:tc>
        <w:tc>
          <w:tcPr>
            <w:tcW w:w="656" w:type="pct"/>
            <w:vAlign w:val="center"/>
          </w:tcPr>
          <w:p w14:paraId="7D731A20" w14:textId="77777777" w:rsidR="004B5852" w:rsidRPr="00970205" w:rsidRDefault="004B5852" w:rsidP="00B3099B">
            <w:pPr>
              <w:jc w:val="right"/>
              <w:rPr>
                <w:color w:val="000000"/>
                <w:sz w:val="22"/>
                <w:szCs w:val="22"/>
              </w:rPr>
            </w:pPr>
            <w:r w:rsidRPr="00970205">
              <w:rPr>
                <w:color w:val="000000"/>
                <w:sz w:val="22"/>
                <w:szCs w:val="22"/>
              </w:rPr>
              <w:t>17</w:t>
            </w:r>
          </w:p>
        </w:tc>
        <w:tc>
          <w:tcPr>
            <w:tcW w:w="829" w:type="pct"/>
            <w:vMerge/>
            <w:vAlign w:val="center"/>
          </w:tcPr>
          <w:p w14:paraId="43BE4A6A" w14:textId="77777777" w:rsidR="004B5852" w:rsidRPr="00737A03" w:rsidRDefault="004B5852" w:rsidP="00B3099B">
            <w:pPr>
              <w:jc w:val="center"/>
              <w:rPr>
                <w:color w:val="000000"/>
                <w:sz w:val="16"/>
                <w:szCs w:val="22"/>
              </w:rPr>
            </w:pPr>
          </w:p>
        </w:tc>
      </w:tr>
      <w:tr w:rsidR="004B5852" w:rsidRPr="00CE32A2" w14:paraId="5E2EDC08" w14:textId="77777777" w:rsidTr="00B3099B">
        <w:tc>
          <w:tcPr>
            <w:tcW w:w="717" w:type="pct"/>
            <w:vAlign w:val="center"/>
          </w:tcPr>
          <w:p w14:paraId="1D3CF9D5" w14:textId="77777777" w:rsidR="004B5852" w:rsidRPr="00CE32A2" w:rsidRDefault="004B5852" w:rsidP="00B3099B">
            <w:pPr>
              <w:rPr>
                <w:sz w:val="22"/>
                <w:szCs w:val="22"/>
                <w:shd w:val="clear" w:color="auto" w:fill="FFFFFF"/>
              </w:rPr>
            </w:pPr>
          </w:p>
        </w:tc>
        <w:tc>
          <w:tcPr>
            <w:tcW w:w="174" w:type="pct"/>
            <w:vAlign w:val="center"/>
          </w:tcPr>
          <w:p w14:paraId="47491CD9" w14:textId="77777777" w:rsidR="004B5852" w:rsidRPr="00CE32A2" w:rsidRDefault="004B5852" w:rsidP="00B3099B">
            <w:pPr>
              <w:jc w:val="center"/>
              <w:rPr>
                <w:sz w:val="22"/>
                <w:szCs w:val="22"/>
                <w:shd w:val="clear" w:color="auto" w:fill="FFFFFF"/>
              </w:rPr>
            </w:pPr>
            <w:r w:rsidRPr="005819C4">
              <w:rPr>
                <w:sz w:val="22"/>
                <w:szCs w:val="22"/>
                <w:shd w:val="clear" w:color="auto" w:fill="FFFFFF"/>
              </w:rPr>
              <w:t>2</w:t>
            </w:r>
          </w:p>
        </w:tc>
        <w:tc>
          <w:tcPr>
            <w:tcW w:w="656" w:type="pct"/>
            <w:vAlign w:val="center"/>
          </w:tcPr>
          <w:p w14:paraId="5AE47AB6" w14:textId="77777777" w:rsidR="004B5852" w:rsidRPr="00970205" w:rsidRDefault="004B5852" w:rsidP="00B3099B">
            <w:pPr>
              <w:jc w:val="right"/>
              <w:rPr>
                <w:color w:val="000000"/>
                <w:sz w:val="22"/>
                <w:szCs w:val="22"/>
              </w:rPr>
            </w:pPr>
            <w:r w:rsidRPr="00970205">
              <w:rPr>
                <w:color w:val="000000"/>
                <w:sz w:val="22"/>
                <w:szCs w:val="22"/>
              </w:rPr>
              <w:t>14.3</w:t>
            </w:r>
          </w:p>
        </w:tc>
        <w:tc>
          <w:tcPr>
            <w:tcW w:w="656" w:type="pct"/>
            <w:vAlign w:val="center"/>
          </w:tcPr>
          <w:p w14:paraId="0A4475B5" w14:textId="77777777" w:rsidR="004B5852" w:rsidRPr="00970205" w:rsidRDefault="004B5852" w:rsidP="00B3099B">
            <w:pPr>
              <w:jc w:val="right"/>
              <w:rPr>
                <w:color w:val="000000"/>
                <w:sz w:val="22"/>
                <w:szCs w:val="22"/>
              </w:rPr>
            </w:pPr>
            <w:r w:rsidRPr="00970205">
              <w:rPr>
                <w:color w:val="000000"/>
                <w:sz w:val="22"/>
                <w:szCs w:val="22"/>
              </w:rPr>
              <w:t>1.5</w:t>
            </w:r>
          </w:p>
        </w:tc>
        <w:tc>
          <w:tcPr>
            <w:tcW w:w="656" w:type="pct"/>
          </w:tcPr>
          <w:p w14:paraId="7F644F35" w14:textId="77777777" w:rsidR="004B5852" w:rsidRPr="00970205" w:rsidRDefault="004B5852" w:rsidP="00B3099B">
            <w:pPr>
              <w:jc w:val="center"/>
              <w:rPr>
                <w:color w:val="000000"/>
                <w:sz w:val="22"/>
                <w:szCs w:val="22"/>
              </w:rPr>
            </w:pPr>
            <w:r w:rsidRPr="004D1E70">
              <w:t>-</w:t>
            </w:r>
          </w:p>
        </w:tc>
        <w:tc>
          <w:tcPr>
            <w:tcW w:w="656" w:type="pct"/>
            <w:vAlign w:val="center"/>
          </w:tcPr>
          <w:p w14:paraId="463F95C5" w14:textId="77777777" w:rsidR="004B5852" w:rsidRPr="00970205" w:rsidRDefault="004B5852" w:rsidP="00B3099B">
            <w:pPr>
              <w:jc w:val="right"/>
              <w:rPr>
                <w:color w:val="000000"/>
                <w:sz w:val="22"/>
                <w:szCs w:val="22"/>
              </w:rPr>
            </w:pPr>
            <w:r w:rsidRPr="00970205">
              <w:rPr>
                <w:color w:val="000000"/>
                <w:sz w:val="22"/>
                <w:szCs w:val="22"/>
              </w:rPr>
              <w:t>1.8</w:t>
            </w:r>
          </w:p>
        </w:tc>
        <w:tc>
          <w:tcPr>
            <w:tcW w:w="656" w:type="pct"/>
            <w:vAlign w:val="center"/>
          </w:tcPr>
          <w:p w14:paraId="1061879A" w14:textId="77777777" w:rsidR="004B5852" w:rsidRPr="00970205" w:rsidRDefault="004B5852" w:rsidP="00B3099B">
            <w:pPr>
              <w:jc w:val="right"/>
              <w:rPr>
                <w:color w:val="000000"/>
                <w:sz w:val="22"/>
                <w:szCs w:val="22"/>
              </w:rPr>
            </w:pPr>
            <w:r w:rsidRPr="00970205">
              <w:rPr>
                <w:color w:val="000000"/>
                <w:sz w:val="22"/>
                <w:szCs w:val="22"/>
              </w:rPr>
              <w:t>2.2</w:t>
            </w:r>
          </w:p>
        </w:tc>
        <w:tc>
          <w:tcPr>
            <w:tcW w:w="829" w:type="pct"/>
            <w:vMerge/>
            <w:vAlign w:val="center"/>
          </w:tcPr>
          <w:p w14:paraId="089BDB0B" w14:textId="77777777" w:rsidR="004B5852" w:rsidRPr="00737A03" w:rsidRDefault="004B5852" w:rsidP="00B3099B">
            <w:pPr>
              <w:jc w:val="center"/>
              <w:rPr>
                <w:color w:val="000000"/>
                <w:sz w:val="16"/>
                <w:szCs w:val="22"/>
              </w:rPr>
            </w:pPr>
          </w:p>
        </w:tc>
      </w:tr>
      <w:tr w:rsidR="004B5852" w:rsidRPr="00CE32A2" w14:paraId="141AF05D" w14:textId="77777777" w:rsidTr="00B3099B">
        <w:tc>
          <w:tcPr>
            <w:tcW w:w="717" w:type="pct"/>
            <w:vAlign w:val="center"/>
          </w:tcPr>
          <w:p w14:paraId="46BC1119" w14:textId="77777777" w:rsidR="004B5852" w:rsidRPr="00CE32A2" w:rsidRDefault="004B5852" w:rsidP="00B3099B">
            <w:pPr>
              <w:rPr>
                <w:sz w:val="22"/>
                <w:szCs w:val="22"/>
                <w:shd w:val="clear" w:color="auto" w:fill="FFFFFF"/>
              </w:rPr>
            </w:pPr>
            <w:r w:rsidRPr="00CE32A2">
              <w:rPr>
                <w:sz w:val="22"/>
                <w:szCs w:val="22"/>
                <w:shd w:val="clear" w:color="auto" w:fill="FFFFFF"/>
              </w:rPr>
              <w:t>Lose temper easily</w:t>
            </w:r>
          </w:p>
        </w:tc>
        <w:tc>
          <w:tcPr>
            <w:tcW w:w="174" w:type="pct"/>
            <w:vAlign w:val="center"/>
          </w:tcPr>
          <w:p w14:paraId="37E8BF07" w14:textId="77777777" w:rsidR="004B5852" w:rsidRPr="00CE32A2" w:rsidRDefault="004B5852" w:rsidP="00B3099B">
            <w:pPr>
              <w:jc w:val="center"/>
              <w:rPr>
                <w:sz w:val="22"/>
                <w:szCs w:val="22"/>
                <w:shd w:val="clear" w:color="auto" w:fill="FFFFFF"/>
              </w:rPr>
            </w:pPr>
            <w:r w:rsidRPr="00597610">
              <w:rPr>
                <w:sz w:val="22"/>
                <w:szCs w:val="22"/>
              </w:rPr>
              <w:t>0</w:t>
            </w:r>
          </w:p>
        </w:tc>
        <w:tc>
          <w:tcPr>
            <w:tcW w:w="656" w:type="pct"/>
            <w:vAlign w:val="center"/>
          </w:tcPr>
          <w:p w14:paraId="76F54C4D" w14:textId="77777777" w:rsidR="004B5852" w:rsidRPr="00970205" w:rsidRDefault="004B5852" w:rsidP="00B3099B">
            <w:pPr>
              <w:jc w:val="right"/>
              <w:rPr>
                <w:color w:val="000000"/>
                <w:sz w:val="22"/>
                <w:szCs w:val="22"/>
              </w:rPr>
            </w:pPr>
            <w:r w:rsidRPr="00970205">
              <w:rPr>
                <w:color w:val="000000"/>
                <w:sz w:val="22"/>
                <w:szCs w:val="22"/>
              </w:rPr>
              <w:t>46.6</w:t>
            </w:r>
          </w:p>
        </w:tc>
        <w:tc>
          <w:tcPr>
            <w:tcW w:w="656" w:type="pct"/>
            <w:vAlign w:val="center"/>
          </w:tcPr>
          <w:p w14:paraId="3B7D213B" w14:textId="77777777" w:rsidR="004B5852" w:rsidRPr="00970205" w:rsidRDefault="004B5852" w:rsidP="00B3099B">
            <w:pPr>
              <w:jc w:val="right"/>
              <w:rPr>
                <w:color w:val="000000"/>
                <w:sz w:val="22"/>
                <w:szCs w:val="22"/>
              </w:rPr>
            </w:pPr>
            <w:r w:rsidRPr="00970205">
              <w:rPr>
                <w:color w:val="000000"/>
                <w:sz w:val="22"/>
                <w:szCs w:val="22"/>
              </w:rPr>
              <w:t>59.2</w:t>
            </w:r>
          </w:p>
        </w:tc>
        <w:tc>
          <w:tcPr>
            <w:tcW w:w="656" w:type="pct"/>
          </w:tcPr>
          <w:p w14:paraId="4A70A6A1" w14:textId="77777777" w:rsidR="004B5852" w:rsidRPr="00970205" w:rsidRDefault="004B5852" w:rsidP="00B3099B">
            <w:pPr>
              <w:jc w:val="center"/>
              <w:rPr>
                <w:color w:val="000000"/>
                <w:sz w:val="22"/>
                <w:szCs w:val="22"/>
              </w:rPr>
            </w:pPr>
            <w:r w:rsidRPr="004D1E70">
              <w:t>-</w:t>
            </w:r>
          </w:p>
        </w:tc>
        <w:tc>
          <w:tcPr>
            <w:tcW w:w="656" w:type="pct"/>
            <w:vAlign w:val="center"/>
          </w:tcPr>
          <w:p w14:paraId="5EB5524B" w14:textId="77777777" w:rsidR="004B5852" w:rsidRPr="00970205" w:rsidRDefault="004B5852" w:rsidP="00B3099B">
            <w:pPr>
              <w:jc w:val="right"/>
              <w:rPr>
                <w:color w:val="000000"/>
                <w:sz w:val="22"/>
                <w:szCs w:val="22"/>
              </w:rPr>
            </w:pPr>
            <w:r w:rsidRPr="00970205">
              <w:rPr>
                <w:color w:val="000000"/>
                <w:sz w:val="22"/>
                <w:szCs w:val="22"/>
              </w:rPr>
              <w:t>64.8</w:t>
            </w:r>
          </w:p>
        </w:tc>
        <w:tc>
          <w:tcPr>
            <w:tcW w:w="656" w:type="pct"/>
            <w:vAlign w:val="center"/>
          </w:tcPr>
          <w:p w14:paraId="6D22DEFC" w14:textId="77777777" w:rsidR="004B5852" w:rsidRPr="00970205" w:rsidRDefault="004B5852" w:rsidP="00B3099B">
            <w:pPr>
              <w:jc w:val="right"/>
              <w:rPr>
                <w:color w:val="000000"/>
                <w:sz w:val="22"/>
                <w:szCs w:val="22"/>
              </w:rPr>
            </w:pPr>
            <w:r w:rsidRPr="00970205">
              <w:rPr>
                <w:color w:val="000000"/>
                <w:sz w:val="22"/>
                <w:szCs w:val="22"/>
              </w:rPr>
              <w:t>74.4</w:t>
            </w:r>
          </w:p>
        </w:tc>
        <w:tc>
          <w:tcPr>
            <w:tcW w:w="829" w:type="pct"/>
            <w:vMerge w:val="restart"/>
            <w:vAlign w:val="center"/>
          </w:tcPr>
          <w:p w14:paraId="6DD15E48" w14:textId="77777777" w:rsidR="004B5852" w:rsidRPr="00737A03" w:rsidRDefault="004B5852" w:rsidP="00B3099B">
            <w:pPr>
              <w:jc w:val="center"/>
              <w:rPr>
                <w:color w:val="000000"/>
                <w:sz w:val="16"/>
                <w:szCs w:val="22"/>
              </w:rPr>
            </w:pPr>
            <w:r w:rsidRPr="00737A03">
              <w:rPr>
                <w:sz w:val="16"/>
              </w:rPr>
              <w:t>Br&gt;Ch (</w:t>
            </w:r>
            <w:r w:rsidRPr="009A0CBE">
              <w:rPr>
                <w:i/>
                <w:sz w:val="16"/>
              </w:rPr>
              <w:t>p</w:t>
            </w:r>
            <w:r w:rsidRPr="00737A03">
              <w:rPr>
                <w:sz w:val="16"/>
              </w:rPr>
              <w:t xml:space="preserve">&lt;0.001); Br&gt; </w:t>
            </w:r>
            <w:r w:rsidRPr="009A0CBE">
              <w:rPr>
                <w:sz w:val="16"/>
              </w:rPr>
              <w:t>Sp</w:t>
            </w:r>
            <w:r w:rsidRPr="00737A03">
              <w:rPr>
                <w:sz w:val="16"/>
              </w:rPr>
              <w:t xml:space="preserve"> (</w:t>
            </w:r>
            <w:r w:rsidRPr="009A0CBE">
              <w:rPr>
                <w:i/>
                <w:sz w:val="16"/>
              </w:rPr>
              <w:t>p</w:t>
            </w:r>
            <w:r w:rsidRPr="00737A03">
              <w:rPr>
                <w:sz w:val="16"/>
              </w:rPr>
              <w:t>&lt;0.001); Br&gt; US (</w:t>
            </w:r>
            <w:r w:rsidRPr="009A0CBE">
              <w:rPr>
                <w:i/>
                <w:sz w:val="16"/>
              </w:rPr>
              <w:t>p</w:t>
            </w:r>
            <w:r w:rsidRPr="00737A03">
              <w:rPr>
                <w:sz w:val="16"/>
              </w:rPr>
              <w:t>&lt;0.001); Ch&gt;US (</w:t>
            </w:r>
            <w:r w:rsidRPr="009A0CBE">
              <w:rPr>
                <w:i/>
                <w:sz w:val="16"/>
              </w:rPr>
              <w:t>p</w:t>
            </w:r>
            <w:r w:rsidRPr="00737A03">
              <w:rPr>
                <w:sz w:val="16"/>
              </w:rPr>
              <w:t xml:space="preserve">&lt;0.001); </w:t>
            </w:r>
            <w:r w:rsidRPr="009A0CBE">
              <w:rPr>
                <w:sz w:val="16"/>
              </w:rPr>
              <w:t>Sp</w:t>
            </w:r>
            <w:r w:rsidRPr="00737A03">
              <w:rPr>
                <w:sz w:val="16"/>
              </w:rPr>
              <w:t>&gt;US (</w:t>
            </w:r>
            <w:r w:rsidRPr="009A0CBE">
              <w:rPr>
                <w:i/>
                <w:sz w:val="16"/>
              </w:rPr>
              <w:t>p</w:t>
            </w:r>
            <w:r w:rsidRPr="00737A03">
              <w:rPr>
                <w:sz w:val="16"/>
              </w:rPr>
              <w:t>=0.048)</w:t>
            </w:r>
          </w:p>
        </w:tc>
      </w:tr>
      <w:tr w:rsidR="004B5852" w:rsidRPr="00CE32A2" w14:paraId="2B501745" w14:textId="77777777" w:rsidTr="00B3099B">
        <w:tc>
          <w:tcPr>
            <w:tcW w:w="717" w:type="pct"/>
            <w:vAlign w:val="center"/>
          </w:tcPr>
          <w:p w14:paraId="6883CB2B" w14:textId="77777777" w:rsidR="004B5852" w:rsidRPr="00CE32A2" w:rsidRDefault="004B5852" w:rsidP="00B3099B">
            <w:pPr>
              <w:rPr>
                <w:sz w:val="22"/>
                <w:szCs w:val="22"/>
                <w:shd w:val="clear" w:color="auto" w:fill="FFFFFF"/>
              </w:rPr>
            </w:pPr>
          </w:p>
        </w:tc>
        <w:tc>
          <w:tcPr>
            <w:tcW w:w="174" w:type="pct"/>
            <w:vAlign w:val="center"/>
          </w:tcPr>
          <w:p w14:paraId="231610FB" w14:textId="77777777" w:rsidR="004B5852" w:rsidRPr="00CE32A2" w:rsidRDefault="004B5852" w:rsidP="00B3099B">
            <w:pPr>
              <w:jc w:val="center"/>
              <w:rPr>
                <w:sz w:val="22"/>
                <w:szCs w:val="22"/>
                <w:shd w:val="clear" w:color="auto" w:fill="FFFFFF"/>
              </w:rPr>
            </w:pPr>
            <w:r w:rsidRPr="005819C4">
              <w:rPr>
                <w:sz w:val="22"/>
                <w:szCs w:val="22"/>
                <w:shd w:val="clear" w:color="auto" w:fill="FFFFFF"/>
              </w:rPr>
              <w:t>1</w:t>
            </w:r>
          </w:p>
        </w:tc>
        <w:tc>
          <w:tcPr>
            <w:tcW w:w="656" w:type="pct"/>
            <w:vAlign w:val="center"/>
          </w:tcPr>
          <w:p w14:paraId="2096374A" w14:textId="77777777" w:rsidR="004B5852" w:rsidRPr="00970205" w:rsidRDefault="004B5852" w:rsidP="00B3099B">
            <w:pPr>
              <w:jc w:val="right"/>
              <w:rPr>
                <w:color w:val="000000"/>
                <w:sz w:val="22"/>
                <w:szCs w:val="22"/>
              </w:rPr>
            </w:pPr>
            <w:r w:rsidRPr="00970205">
              <w:rPr>
                <w:color w:val="000000"/>
                <w:sz w:val="22"/>
                <w:szCs w:val="22"/>
              </w:rPr>
              <w:t>29.3</w:t>
            </w:r>
          </w:p>
        </w:tc>
        <w:tc>
          <w:tcPr>
            <w:tcW w:w="656" w:type="pct"/>
            <w:vAlign w:val="center"/>
          </w:tcPr>
          <w:p w14:paraId="3DD3DE03" w14:textId="77777777" w:rsidR="004B5852" w:rsidRPr="00970205" w:rsidRDefault="004B5852" w:rsidP="00B3099B">
            <w:pPr>
              <w:jc w:val="right"/>
              <w:rPr>
                <w:color w:val="000000"/>
                <w:sz w:val="22"/>
                <w:szCs w:val="22"/>
              </w:rPr>
            </w:pPr>
            <w:r w:rsidRPr="00970205">
              <w:rPr>
                <w:color w:val="000000"/>
                <w:sz w:val="22"/>
                <w:szCs w:val="22"/>
              </w:rPr>
              <w:t>34.9</w:t>
            </w:r>
          </w:p>
        </w:tc>
        <w:tc>
          <w:tcPr>
            <w:tcW w:w="656" w:type="pct"/>
          </w:tcPr>
          <w:p w14:paraId="03F8E18D" w14:textId="77777777" w:rsidR="004B5852" w:rsidRPr="00970205" w:rsidRDefault="004B5852" w:rsidP="00B3099B">
            <w:pPr>
              <w:jc w:val="center"/>
              <w:rPr>
                <w:color w:val="000000"/>
                <w:sz w:val="22"/>
                <w:szCs w:val="22"/>
              </w:rPr>
            </w:pPr>
            <w:r w:rsidRPr="004D1E70">
              <w:t>-</w:t>
            </w:r>
          </w:p>
        </w:tc>
        <w:tc>
          <w:tcPr>
            <w:tcW w:w="656" w:type="pct"/>
            <w:vAlign w:val="center"/>
          </w:tcPr>
          <w:p w14:paraId="7DF18422" w14:textId="77777777" w:rsidR="004B5852" w:rsidRPr="00970205" w:rsidRDefault="004B5852" w:rsidP="00B3099B">
            <w:pPr>
              <w:jc w:val="right"/>
              <w:rPr>
                <w:color w:val="000000"/>
                <w:sz w:val="22"/>
                <w:szCs w:val="22"/>
              </w:rPr>
            </w:pPr>
            <w:r w:rsidRPr="00970205">
              <w:rPr>
                <w:color w:val="000000"/>
                <w:sz w:val="22"/>
                <w:szCs w:val="22"/>
              </w:rPr>
              <w:t>31.9</w:t>
            </w:r>
          </w:p>
        </w:tc>
        <w:tc>
          <w:tcPr>
            <w:tcW w:w="656" w:type="pct"/>
            <w:vAlign w:val="center"/>
          </w:tcPr>
          <w:p w14:paraId="3567091C" w14:textId="77777777" w:rsidR="004B5852" w:rsidRPr="00970205" w:rsidRDefault="004B5852" w:rsidP="00B3099B">
            <w:pPr>
              <w:jc w:val="right"/>
              <w:rPr>
                <w:color w:val="000000"/>
                <w:sz w:val="22"/>
                <w:szCs w:val="22"/>
              </w:rPr>
            </w:pPr>
            <w:r w:rsidRPr="00970205">
              <w:rPr>
                <w:color w:val="000000"/>
                <w:sz w:val="22"/>
                <w:szCs w:val="22"/>
              </w:rPr>
              <w:t>20.3</w:t>
            </w:r>
          </w:p>
        </w:tc>
        <w:tc>
          <w:tcPr>
            <w:tcW w:w="829" w:type="pct"/>
            <w:vMerge/>
            <w:vAlign w:val="center"/>
          </w:tcPr>
          <w:p w14:paraId="4CD53B48" w14:textId="77777777" w:rsidR="004B5852" w:rsidRPr="00737A03" w:rsidRDefault="004B5852" w:rsidP="00B3099B">
            <w:pPr>
              <w:jc w:val="center"/>
              <w:rPr>
                <w:color w:val="000000"/>
                <w:sz w:val="16"/>
                <w:szCs w:val="22"/>
              </w:rPr>
            </w:pPr>
          </w:p>
        </w:tc>
      </w:tr>
      <w:tr w:rsidR="004B5852" w:rsidRPr="00CE32A2" w14:paraId="35F69A3B" w14:textId="77777777" w:rsidTr="00B3099B">
        <w:tc>
          <w:tcPr>
            <w:tcW w:w="717" w:type="pct"/>
            <w:vAlign w:val="center"/>
          </w:tcPr>
          <w:p w14:paraId="3A996AF0" w14:textId="77777777" w:rsidR="004B5852" w:rsidRPr="00CE32A2" w:rsidRDefault="004B5852" w:rsidP="00B3099B">
            <w:pPr>
              <w:rPr>
                <w:sz w:val="22"/>
                <w:szCs w:val="22"/>
                <w:shd w:val="clear" w:color="auto" w:fill="FFFFFF"/>
              </w:rPr>
            </w:pPr>
          </w:p>
        </w:tc>
        <w:tc>
          <w:tcPr>
            <w:tcW w:w="174" w:type="pct"/>
            <w:vAlign w:val="center"/>
          </w:tcPr>
          <w:p w14:paraId="2AA84DDC" w14:textId="77777777" w:rsidR="004B5852" w:rsidRPr="00CE32A2" w:rsidRDefault="004B5852" w:rsidP="00B3099B">
            <w:pPr>
              <w:jc w:val="center"/>
              <w:rPr>
                <w:sz w:val="22"/>
                <w:szCs w:val="22"/>
                <w:shd w:val="clear" w:color="auto" w:fill="FFFFFF"/>
              </w:rPr>
            </w:pPr>
            <w:r w:rsidRPr="005819C4">
              <w:rPr>
                <w:sz w:val="22"/>
                <w:szCs w:val="22"/>
                <w:shd w:val="clear" w:color="auto" w:fill="FFFFFF"/>
              </w:rPr>
              <w:t>2</w:t>
            </w:r>
          </w:p>
        </w:tc>
        <w:tc>
          <w:tcPr>
            <w:tcW w:w="656" w:type="pct"/>
            <w:vAlign w:val="center"/>
          </w:tcPr>
          <w:p w14:paraId="15BFAE24" w14:textId="77777777" w:rsidR="004B5852" w:rsidRPr="00970205" w:rsidRDefault="004B5852" w:rsidP="00B3099B">
            <w:pPr>
              <w:jc w:val="right"/>
              <w:rPr>
                <w:color w:val="000000"/>
                <w:sz w:val="22"/>
                <w:szCs w:val="22"/>
              </w:rPr>
            </w:pPr>
            <w:r w:rsidRPr="00970205">
              <w:rPr>
                <w:color w:val="000000"/>
                <w:sz w:val="22"/>
                <w:szCs w:val="22"/>
              </w:rPr>
              <w:t>24.1</w:t>
            </w:r>
          </w:p>
        </w:tc>
        <w:tc>
          <w:tcPr>
            <w:tcW w:w="656" w:type="pct"/>
            <w:vAlign w:val="center"/>
          </w:tcPr>
          <w:p w14:paraId="75885DE9" w14:textId="77777777" w:rsidR="004B5852" w:rsidRPr="00970205" w:rsidRDefault="004B5852" w:rsidP="00B3099B">
            <w:pPr>
              <w:jc w:val="right"/>
              <w:rPr>
                <w:color w:val="000000"/>
                <w:sz w:val="22"/>
                <w:szCs w:val="22"/>
              </w:rPr>
            </w:pPr>
            <w:r w:rsidRPr="00970205">
              <w:rPr>
                <w:color w:val="000000"/>
                <w:sz w:val="22"/>
                <w:szCs w:val="22"/>
              </w:rPr>
              <w:t>5.8</w:t>
            </w:r>
          </w:p>
        </w:tc>
        <w:tc>
          <w:tcPr>
            <w:tcW w:w="656" w:type="pct"/>
          </w:tcPr>
          <w:p w14:paraId="0B87B4C0" w14:textId="77777777" w:rsidR="004B5852" w:rsidRPr="00970205" w:rsidRDefault="004B5852" w:rsidP="00B3099B">
            <w:pPr>
              <w:jc w:val="center"/>
              <w:rPr>
                <w:color w:val="000000"/>
                <w:sz w:val="22"/>
                <w:szCs w:val="22"/>
              </w:rPr>
            </w:pPr>
            <w:r w:rsidRPr="004D1E70">
              <w:t>-</w:t>
            </w:r>
          </w:p>
        </w:tc>
        <w:tc>
          <w:tcPr>
            <w:tcW w:w="656" w:type="pct"/>
            <w:vAlign w:val="center"/>
          </w:tcPr>
          <w:p w14:paraId="702DDC06" w14:textId="77777777" w:rsidR="004B5852" w:rsidRPr="00970205" w:rsidRDefault="004B5852" w:rsidP="00B3099B">
            <w:pPr>
              <w:jc w:val="right"/>
              <w:rPr>
                <w:color w:val="000000"/>
                <w:sz w:val="22"/>
                <w:szCs w:val="22"/>
              </w:rPr>
            </w:pPr>
            <w:r w:rsidRPr="00970205">
              <w:rPr>
                <w:color w:val="000000"/>
                <w:sz w:val="22"/>
                <w:szCs w:val="22"/>
              </w:rPr>
              <w:t>3.4</w:t>
            </w:r>
          </w:p>
        </w:tc>
        <w:tc>
          <w:tcPr>
            <w:tcW w:w="656" w:type="pct"/>
            <w:vAlign w:val="center"/>
          </w:tcPr>
          <w:p w14:paraId="2A5ECDD0" w14:textId="77777777" w:rsidR="004B5852" w:rsidRPr="00970205" w:rsidRDefault="004B5852" w:rsidP="00B3099B">
            <w:pPr>
              <w:jc w:val="right"/>
              <w:rPr>
                <w:color w:val="000000"/>
                <w:sz w:val="22"/>
                <w:szCs w:val="22"/>
              </w:rPr>
            </w:pPr>
            <w:r w:rsidRPr="00970205">
              <w:rPr>
                <w:color w:val="000000"/>
                <w:sz w:val="22"/>
                <w:szCs w:val="22"/>
              </w:rPr>
              <w:t>5.4</w:t>
            </w:r>
          </w:p>
        </w:tc>
        <w:tc>
          <w:tcPr>
            <w:tcW w:w="829" w:type="pct"/>
            <w:vMerge/>
            <w:vAlign w:val="center"/>
          </w:tcPr>
          <w:p w14:paraId="120A7351" w14:textId="77777777" w:rsidR="004B5852" w:rsidRPr="00737A03" w:rsidRDefault="004B5852" w:rsidP="00B3099B">
            <w:pPr>
              <w:jc w:val="center"/>
              <w:rPr>
                <w:color w:val="000000"/>
                <w:sz w:val="16"/>
                <w:szCs w:val="22"/>
              </w:rPr>
            </w:pPr>
          </w:p>
        </w:tc>
      </w:tr>
      <w:tr w:rsidR="004B5852" w:rsidRPr="00CE32A2" w14:paraId="0059990D" w14:textId="77777777" w:rsidTr="00B3099B">
        <w:tc>
          <w:tcPr>
            <w:tcW w:w="717" w:type="pct"/>
            <w:vAlign w:val="center"/>
          </w:tcPr>
          <w:p w14:paraId="50879EED" w14:textId="77777777" w:rsidR="004B5852" w:rsidRPr="00CE32A2" w:rsidRDefault="004B5852" w:rsidP="00B3099B">
            <w:pPr>
              <w:rPr>
                <w:sz w:val="22"/>
                <w:szCs w:val="22"/>
                <w:shd w:val="clear" w:color="auto" w:fill="FFFFFF"/>
              </w:rPr>
            </w:pPr>
            <w:r w:rsidRPr="00CE32A2">
              <w:rPr>
                <w:sz w:val="22"/>
                <w:szCs w:val="22"/>
                <w:shd w:val="clear" w:color="auto" w:fill="FFFFFF"/>
              </w:rPr>
              <w:t>Irritability problems</w:t>
            </w:r>
          </w:p>
        </w:tc>
        <w:tc>
          <w:tcPr>
            <w:tcW w:w="174" w:type="pct"/>
            <w:vAlign w:val="center"/>
          </w:tcPr>
          <w:p w14:paraId="7DE8CD99" w14:textId="77777777" w:rsidR="004B5852" w:rsidRPr="00CE32A2" w:rsidRDefault="004B5852" w:rsidP="00B3099B">
            <w:pPr>
              <w:jc w:val="center"/>
              <w:rPr>
                <w:sz w:val="22"/>
                <w:szCs w:val="22"/>
                <w:shd w:val="clear" w:color="auto" w:fill="FFFFFF"/>
              </w:rPr>
            </w:pPr>
            <w:r w:rsidRPr="00597610">
              <w:rPr>
                <w:sz w:val="22"/>
                <w:szCs w:val="22"/>
              </w:rPr>
              <w:t>0</w:t>
            </w:r>
          </w:p>
        </w:tc>
        <w:tc>
          <w:tcPr>
            <w:tcW w:w="656" w:type="pct"/>
            <w:vAlign w:val="center"/>
          </w:tcPr>
          <w:p w14:paraId="67246F2D" w14:textId="77777777" w:rsidR="004B5852" w:rsidRPr="00970205" w:rsidRDefault="004B5852" w:rsidP="00B3099B">
            <w:pPr>
              <w:jc w:val="right"/>
              <w:rPr>
                <w:color w:val="000000"/>
                <w:sz w:val="22"/>
                <w:szCs w:val="22"/>
              </w:rPr>
            </w:pPr>
            <w:r w:rsidRPr="00970205">
              <w:rPr>
                <w:color w:val="000000"/>
                <w:sz w:val="22"/>
                <w:szCs w:val="22"/>
              </w:rPr>
              <w:t>49.6</w:t>
            </w:r>
          </w:p>
        </w:tc>
        <w:tc>
          <w:tcPr>
            <w:tcW w:w="656" w:type="pct"/>
            <w:vAlign w:val="center"/>
          </w:tcPr>
          <w:p w14:paraId="7BC9F047" w14:textId="77777777" w:rsidR="004B5852" w:rsidRPr="00970205" w:rsidRDefault="004B5852" w:rsidP="00B3099B">
            <w:pPr>
              <w:jc w:val="right"/>
              <w:rPr>
                <w:color w:val="000000"/>
                <w:sz w:val="22"/>
                <w:szCs w:val="22"/>
              </w:rPr>
            </w:pPr>
            <w:r w:rsidRPr="00970205">
              <w:rPr>
                <w:color w:val="000000"/>
                <w:sz w:val="22"/>
                <w:szCs w:val="22"/>
              </w:rPr>
              <w:t>57.2</w:t>
            </w:r>
          </w:p>
        </w:tc>
        <w:tc>
          <w:tcPr>
            <w:tcW w:w="656" w:type="pct"/>
          </w:tcPr>
          <w:p w14:paraId="0D13D952" w14:textId="77777777" w:rsidR="004B5852" w:rsidRPr="00970205" w:rsidRDefault="004B5852" w:rsidP="00B3099B">
            <w:pPr>
              <w:jc w:val="center"/>
              <w:rPr>
                <w:color w:val="000000"/>
                <w:sz w:val="22"/>
                <w:szCs w:val="22"/>
              </w:rPr>
            </w:pPr>
            <w:r w:rsidRPr="004D1E70">
              <w:t>-</w:t>
            </w:r>
          </w:p>
        </w:tc>
        <w:tc>
          <w:tcPr>
            <w:tcW w:w="656" w:type="pct"/>
            <w:vAlign w:val="center"/>
          </w:tcPr>
          <w:p w14:paraId="4D84C647" w14:textId="77777777" w:rsidR="004B5852" w:rsidRPr="00970205" w:rsidRDefault="004B5852" w:rsidP="00B3099B">
            <w:pPr>
              <w:jc w:val="right"/>
              <w:rPr>
                <w:color w:val="000000"/>
                <w:sz w:val="22"/>
                <w:szCs w:val="22"/>
              </w:rPr>
            </w:pPr>
            <w:r w:rsidRPr="00970205">
              <w:rPr>
                <w:color w:val="000000"/>
                <w:sz w:val="22"/>
                <w:szCs w:val="22"/>
              </w:rPr>
              <w:t>80.2</w:t>
            </w:r>
          </w:p>
        </w:tc>
        <w:tc>
          <w:tcPr>
            <w:tcW w:w="656" w:type="pct"/>
            <w:vAlign w:val="center"/>
          </w:tcPr>
          <w:p w14:paraId="79B76110" w14:textId="77777777" w:rsidR="004B5852" w:rsidRPr="00970205" w:rsidRDefault="004B5852" w:rsidP="00B3099B">
            <w:pPr>
              <w:jc w:val="right"/>
              <w:rPr>
                <w:color w:val="000000"/>
                <w:sz w:val="22"/>
                <w:szCs w:val="22"/>
              </w:rPr>
            </w:pPr>
            <w:r w:rsidRPr="00970205">
              <w:rPr>
                <w:color w:val="000000"/>
                <w:sz w:val="22"/>
                <w:szCs w:val="22"/>
              </w:rPr>
              <w:t>84.8</w:t>
            </w:r>
          </w:p>
        </w:tc>
        <w:tc>
          <w:tcPr>
            <w:tcW w:w="829" w:type="pct"/>
            <w:vMerge w:val="restart"/>
            <w:vAlign w:val="center"/>
          </w:tcPr>
          <w:p w14:paraId="0B13A9C3" w14:textId="77777777" w:rsidR="004B5852" w:rsidRDefault="004B5852" w:rsidP="00B3099B">
            <w:pPr>
              <w:jc w:val="center"/>
              <w:rPr>
                <w:sz w:val="16"/>
              </w:rPr>
            </w:pPr>
            <w:r w:rsidRPr="00737A03">
              <w:rPr>
                <w:sz w:val="16"/>
              </w:rPr>
              <w:t>Br&gt;</w:t>
            </w:r>
            <w:r w:rsidRPr="009A0CBE">
              <w:rPr>
                <w:sz w:val="16"/>
              </w:rPr>
              <w:t>Sp</w:t>
            </w:r>
            <w:r w:rsidRPr="00737A03">
              <w:rPr>
                <w:sz w:val="16"/>
              </w:rPr>
              <w:t>,</w:t>
            </w:r>
            <w:r>
              <w:rPr>
                <w:sz w:val="16"/>
              </w:rPr>
              <w:t xml:space="preserve"> </w:t>
            </w:r>
            <w:r w:rsidRPr="00737A03">
              <w:rPr>
                <w:sz w:val="16"/>
              </w:rPr>
              <w:t>US (</w:t>
            </w:r>
            <w:r w:rsidRPr="009A0CBE">
              <w:rPr>
                <w:i/>
                <w:sz w:val="16"/>
              </w:rPr>
              <w:t>p</w:t>
            </w:r>
            <w:r w:rsidRPr="00737A03">
              <w:rPr>
                <w:sz w:val="16"/>
              </w:rPr>
              <w:t xml:space="preserve">&lt;0.001); </w:t>
            </w:r>
          </w:p>
          <w:p w14:paraId="0C645690" w14:textId="77777777" w:rsidR="004B5852" w:rsidRPr="00737A03" w:rsidRDefault="004B5852" w:rsidP="00B3099B">
            <w:pPr>
              <w:jc w:val="center"/>
              <w:rPr>
                <w:color w:val="000000"/>
                <w:sz w:val="16"/>
                <w:szCs w:val="22"/>
              </w:rPr>
            </w:pPr>
            <w:r w:rsidRPr="00737A03">
              <w:rPr>
                <w:sz w:val="16"/>
              </w:rPr>
              <w:t>Ch&gt;</w:t>
            </w:r>
            <w:r w:rsidRPr="009A0CBE">
              <w:rPr>
                <w:sz w:val="16"/>
              </w:rPr>
              <w:t>Sp</w:t>
            </w:r>
            <w:r w:rsidRPr="00737A03">
              <w:rPr>
                <w:sz w:val="16"/>
              </w:rPr>
              <w:t>,</w:t>
            </w:r>
            <w:r>
              <w:rPr>
                <w:sz w:val="16"/>
              </w:rPr>
              <w:t xml:space="preserve"> </w:t>
            </w:r>
            <w:r w:rsidRPr="00737A03">
              <w:rPr>
                <w:sz w:val="16"/>
              </w:rPr>
              <w:t>US (</w:t>
            </w:r>
            <w:r w:rsidRPr="009A0CBE">
              <w:rPr>
                <w:i/>
                <w:sz w:val="16"/>
              </w:rPr>
              <w:t>p</w:t>
            </w:r>
            <w:r w:rsidRPr="00737A03">
              <w:rPr>
                <w:sz w:val="16"/>
              </w:rPr>
              <w:t>&lt;0.001)</w:t>
            </w:r>
          </w:p>
        </w:tc>
      </w:tr>
      <w:tr w:rsidR="004B5852" w:rsidRPr="00CE32A2" w14:paraId="2CEC0211" w14:textId="77777777" w:rsidTr="00B3099B">
        <w:tc>
          <w:tcPr>
            <w:tcW w:w="717" w:type="pct"/>
            <w:vAlign w:val="center"/>
          </w:tcPr>
          <w:p w14:paraId="085126D2" w14:textId="77777777" w:rsidR="004B5852" w:rsidRPr="00CE32A2" w:rsidRDefault="004B5852" w:rsidP="00B3099B">
            <w:pPr>
              <w:rPr>
                <w:sz w:val="22"/>
                <w:szCs w:val="22"/>
                <w:shd w:val="clear" w:color="auto" w:fill="FFFFFF"/>
              </w:rPr>
            </w:pPr>
          </w:p>
        </w:tc>
        <w:tc>
          <w:tcPr>
            <w:tcW w:w="174" w:type="pct"/>
            <w:vAlign w:val="center"/>
          </w:tcPr>
          <w:p w14:paraId="2C4B0861" w14:textId="77777777" w:rsidR="004B5852" w:rsidRPr="00CE32A2" w:rsidRDefault="004B5852" w:rsidP="00B3099B">
            <w:pPr>
              <w:jc w:val="center"/>
              <w:rPr>
                <w:sz w:val="22"/>
                <w:szCs w:val="22"/>
                <w:shd w:val="clear" w:color="auto" w:fill="FFFFFF"/>
              </w:rPr>
            </w:pPr>
            <w:r w:rsidRPr="005819C4">
              <w:rPr>
                <w:sz w:val="22"/>
                <w:szCs w:val="22"/>
                <w:shd w:val="clear" w:color="auto" w:fill="FFFFFF"/>
              </w:rPr>
              <w:t>1</w:t>
            </w:r>
          </w:p>
        </w:tc>
        <w:tc>
          <w:tcPr>
            <w:tcW w:w="656" w:type="pct"/>
            <w:vAlign w:val="center"/>
          </w:tcPr>
          <w:p w14:paraId="558D3B08" w14:textId="77777777" w:rsidR="004B5852" w:rsidRPr="00970205" w:rsidRDefault="004B5852" w:rsidP="00B3099B">
            <w:pPr>
              <w:jc w:val="right"/>
              <w:rPr>
                <w:color w:val="000000"/>
                <w:sz w:val="22"/>
                <w:szCs w:val="22"/>
              </w:rPr>
            </w:pPr>
            <w:r w:rsidRPr="00970205">
              <w:rPr>
                <w:color w:val="000000"/>
                <w:sz w:val="22"/>
                <w:szCs w:val="22"/>
              </w:rPr>
              <w:t>30.8</w:t>
            </w:r>
          </w:p>
        </w:tc>
        <w:tc>
          <w:tcPr>
            <w:tcW w:w="656" w:type="pct"/>
            <w:vAlign w:val="center"/>
          </w:tcPr>
          <w:p w14:paraId="261E8FA4" w14:textId="77777777" w:rsidR="004B5852" w:rsidRPr="00970205" w:rsidRDefault="004B5852" w:rsidP="00B3099B">
            <w:pPr>
              <w:jc w:val="right"/>
              <w:rPr>
                <w:color w:val="000000"/>
                <w:sz w:val="22"/>
                <w:szCs w:val="22"/>
              </w:rPr>
            </w:pPr>
            <w:r w:rsidRPr="00970205">
              <w:rPr>
                <w:color w:val="000000"/>
                <w:sz w:val="22"/>
                <w:szCs w:val="22"/>
              </w:rPr>
              <w:t>32.4</w:t>
            </w:r>
          </w:p>
        </w:tc>
        <w:tc>
          <w:tcPr>
            <w:tcW w:w="656" w:type="pct"/>
          </w:tcPr>
          <w:p w14:paraId="7D794DC2" w14:textId="77777777" w:rsidR="004B5852" w:rsidRPr="00970205" w:rsidRDefault="004B5852" w:rsidP="00B3099B">
            <w:pPr>
              <w:jc w:val="center"/>
              <w:rPr>
                <w:color w:val="000000"/>
                <w:sz w:val="22"/>
                <w:szCs w:val="22"/>
              </w:rPr>
            </w:pPr>
            <w:r w:rsidRPr="004D1E70">
              <w:t>-</w:t>
            </w:r>
          </w:p>
        </w:tc>
        <w:tc>
          <w:tcPr>
            <w:tcW w:w="656" w:type="pct"/>
            <w:vAlign w:val="center"/>
          </w:tcPr>
          <w:p w14:paraId="31A8FABF" w14:textId="77777777" w:rsidR="004B5852" w:rsidRPr="00970205" w:rsidRDefault="004B5852" w:rsidP="00B3099B">
            <w:pPr>
              <w:jc w:val="right"/>
              <w:rPr>
                <w:color w:val="000000"/>
                <w:sz w:val="22"/>
                <w:szCs w:val="22"/>
              </w:rPr>
            </w:pPr>
            <w:r w:rsidRPr="00970205">
              <w:rPr>
                <w:color w:val="000000"/>
                <w:sz w:val="22"/>
                <w:szCs w:val="22"/>
              </w:rPr>
              <w:t>19</w:t>
            </w:r>
          </w:p>
        </w:tc>
        <w:tc>
          <w:tcPr>
            <w:tcW w:w="656" w:type="pct"/>
            <w:vAlign w:val="center"/>
          </w:tcPr>
          <w:p w14:paraId="3AA84130" w14:textId="77777777" w:rsidR="004B5852" w:rsidRPr="00970205" w:rsidRDefault="004B5852" w:rsidP="00B3099B">
            <w:pPr>
              <w:jc w:val="right"/>
              <w:rPr>
                <w:color w:val="000000"/>
                <w:sz w:val="22"/>
                <w:szCs w:val="22"/>
              </w:rPr>
            </w:pPr>
            <w:r w:rsidRPr="00970205">
              <w:rPr>
                <w:color w:val="000000"/>
                <w:sz w:val="22"/>
                <w:szCs w:val="22"/>
              </w:rPr>
              <w:t>11.9</w:t>
            </w:r>
          </w:p>
        </w:tc>
        <w:tc>
          <w:tcPr>
            <w:tcW w:w="829" w:type="pct"/>
            <w:vMerge/>
          </w:tcPr>
          <w:p w14:paraId="63D99312" w14:textId="77777777" w:rsidR="004B5852" w:rsidRPr="008537BB" w:rsidRDefault="004B5852" w:rsidP="00B3099B">
            <w:pPr>
              <w:jc w:val="right"/>
              <w:rPr>
                <w:color w:val="000000"/>
                <w:sz w:val="22"/>
                <w:szCs w:val="22"/>
              </w:rPr>
            </w:pPr>
          </w:p>
        </w:tc>
      </w:tr>
      <w:tr w:rsidR="004B5852" w:rsidRPr="00CE32A2" w14:paraId="3C1E1060" w14:textId="77777777" w:rsidTr="00B3099B">
        <w:tc>
          <w:tcPr>
            <w:tcW w:w="717" w:type="pct"/>
            <w:vAlign w:val="center"/>
          </w:tcPr>
          <w:p w14:paraId="7518088F" w14:textId="77777777" w:rsidR="004B5852" w:rsidRPr="00CE32A2" w:rsidRDefault="004B5852" w:rsidP="00B3099B">
            <w:pPr>
              <w:rPr>
                <w:sz w:val="22"/>
                <w:szCs w:val="22"/>
                <w:shd w:val="clear" w:color="auto" w:fill="FFFFFF"/>
              </w:rPr>
            </w:pPr>
          </w:p>
        </w:tc>
        <w:tc>
          <w:tcPr>
            <w:tcW w:w="174" w:type="pct"/>
            <w:vAlign w:val="center"/>
          </w:tcPr>
          <w:p w14:paraId="360D539B" w14:textId="77777777" w:rsidR="004B5852" w:rsidRPr="00CE32A2" w:rsidRDefault="004B5852" w:rsidP="00B3099B">
            <w:pPr>
              <w:jc w:val="center"/>
              <w:rPr>
                <w:sz w:val="22"/>
                <w:szCs w:val="22"/>
                <w:shd w:val="clear" w:color="auto" w:fill="FFFFFF"/>
              </w:rPr>
            </w:pPr>
            <w:r w:rsidRPr="005819C4">
              <w:rPr>
                <w:sz w:val="22"/>
                <w:szCs w:val="22"/>
                <w:shd w:val="clear" w:color="auto" w:fill="FFFFFF"/>
              </w:rPr>
              <w:t>2</w:t>
            </w:r>
          </w:p>
        </w:tc>
        <w:tc>
          <w:tcPr>
            <w:tcW w:w="656" w:type="pct"/>
            <w:vAlign w:val="center"/>
          </w:tcPr>
          <w:p w14:paraId="384D2C50" w14:textId="77777777" w:rsidR="004B5852" w:rsidRPr="00970205" w:rsidRDefault="004B5852" w:rsidP="00B3099B">
            <w:pPr>
              <w:jc w:val="right"/>
              <w:rPr>
                <w:color w:val="000000"/>
                <w:sz w:val="22"/>
                <w:szCs w:val="22"/>
              </w:rPr>
            </w:pPr>
            <w:r w:rsidRPr="00970205">
              <w:rPr>
                <w:color w:val="000000"/>
                <w:sz w:val="22"/>
                <w:szCs w:val="22"/>
              </w:rPr>
              <w:t>19.6</w:t>
            </w:r>
          </w:p>
        </w:tc>
        <w:tc>
          <w:tcPr>
            <w:tcW w:w="656" w:type="pct"/>
            <w:vAlign w:val="center"/>
          </w:tcPr>
          <w:p w14:paraId="03A9CC16" w14:textId="77777777" w:rsidR="004B5852" w:rsidRPr="00970205" w:rsidRDefault="004B5852" w:rsidP="00B3099B">
            <w:pPr>
              <w:jc w:val="right"/>
              <w:rPr>
                <w:color w:val="000000"/>
                <w:sz w:val="22"/>
                <w:szCs w:val="22"/>
              </w:rPr>
            </w:pPr>
            <w:r w:rsidRPr="00970205">
              <w:rPr>
                <w:color w:val="000000"/>
                <w:sz w:val="22"/>
                <w:szCs w:val="22"/>
              </w:rPr>
              <w:t>10.4</w:t>
            </w:r>
          </w:p>
        </w:tc>
        <w:tc>
          <w:tcPr>
            <w:tcW w:w="656" w:type="pct"/>
          </w:tcPr>
          <w:p w14:paraId="2407255C" w14:textId="77777777" w:rsidR="004B5852" w:rsidRPr="00970205" w:rsidRDefault="004B5852" w:rsidP="00B3099B">
            <w:pPr>
              <w:jc w:val="center"/>
              <w:rPr>
                <w:color w:val="000000"/>
                <w:sz w:val="22"/>
                <w:szCs w:val="22"/>
              </w:rPr>
            </w:pPr>
            <w:r w:rsidRPr="004D1E70">
              <w:t>-</w:t>
            </w:r>
          </w:p>
        </w:tc>
        <w:tc>
          <w:tcPr>
            <w:tcW w:w="656" w:type="pct"/>
            <w:vAlign w:val="center"/>
          </w:tcPr>
          <w:p w14:paraId="41310B32" w14:textId="77777777" w:rsidR="004B5852" w:rsidRPr="00970205" w:rsidRDefault="004B5852" w:rsidP="00B3099B">
            <w:pPr>
              <w:jc w:val="right"/>
              <w:rPr>
                <w:color w:val="000000"/>
                <w:sz w:val="22"/>
                <w:szCs w:val="22"/>
              </w:rPr>
            </w:pPr>
            <w:r w:rsidRPr="00970205">
              <w:rPr>
                <w:color w:val="000000"/>
                <w:sz w:val="22"/>
                <w:szCs w:val="22"/>
              </w:rPr>
              <w:t>0.8</w:t>
            </w:r>
          </w:p>
        </w:tc>
        <w:tc>
          <w:tcPr>
            <w:tcW w:w="656" w:type="pct"/>
            <w:vAlign w:val="center"/>
          </w:tcPr>
          <w:p w14:paraId="11874FAA" w14:textId="77777777" w:rsidR="004B5852" w:rsidRPr="00970205" w:rsidRDefault="004B5852" w:rsidP="00B3099B">
            <w:pPr>
              <w:jc w:val="right"/>
              <w:rPr>
                <w:color w:val="000000"/>
                <w:sz w:val="22"/>
                <w:szCs w:val="22"/>
              </w:rPr>
            </w:pPr>
            <w:r w:rsidRPr="00970205">
              <w:rPr>
                <w:color w:val="000000"/>
                <w:sz w:val="22"/>
                <w:szCs w:val="22"/>
              </w:rPr>
              <w:t>3.3</w:t>
            </w:r>
          </w:p>
        </w:tc>
        <w:tc>
          <w:tcPr>
            <w:tcW w:w="829" w:type="pct"/>
            <w:vMerge/>
          </w:tcPr>
          <w:p w14:paraId="0F07DFB6" w14:textId="77777777" w:rsidR="004B5852" w:rsidRPr="008537BB" w:rsidRDefault="004B5852" w:rsidP="00B3099B">
            <w:pPr>
              <w:jc w:val="right"/>
              <w:rPr>
                <w:color w:val="000000"/>
                <w:sz w:val="22"/>
                <w:szCs w:val="22"/>
              </w:rPr>
            </w:pPr>
          </w:p>
        </w:tc>
      </w:tr>
      <w:tr w:rsidR="004B5852" w:rsidRPr="00CE32A2" w14:paraId="3A4EC835" w14:textId="77777777" w:rsidTr="00B3099B">
        <w:tc>
          <w:tcPr>
            <w:tcW w:w="5000" w:type="pct"/>
            <w:gridSpan w:val="8"/>
            <w:vAlign w:val="center"/>
          </w:tcPr>
          <w:p w14:paraId="686702BF" w14:textId="77777777" w:rsidR="004B5852" w:rsidRDefault="004B5852" w:rsidP="00B3099B">
            <w:pPr>
              <w:rPr>
                <w:sz w:val="18"/>
                <w:szCs w:val="22"/>
                <w:shd w:val="clear" w:color="auto" w:fill="FFFFFF"/>
              </w:rPr>
            </w:pPr>
            <w:r w:rsidRPr="00737A03">
              <w:rPr>
                <w:sz w:val="18"/>
                <w:szCs w:val="22"/>
                <w:shd w:val="clear" w:color="auto" w:fill="FFFFFF"/>
              </w:rPr>
              <w:t>Br, Brazil; Ch, China; Jp, Japan; Sp, Spain; US, United States.</w:t>
            </w:r>
          </w:p>
          <w:p w14:paraId="52E14B5A" w14:textId="77777777" w:rsidR="004B5852" w:rsidRPr="00737A03" w:rsidRDefault="004B5852" w:rsidP="00B3099B">
            <w:pPr>
              <w:rPr>
                <w:sz w:val="18"/>
                <w:szCs w:val="22"/>
                <w:shd w:val="clear" w:color="auto" w:fill="FFFFFF"/>
              </w:rPr>
            </w:pPr>
            <w:r>
              <w:rPr>
                <w:sz w:val="18"/>
                <w:szCs w:val="22"/>
                <w:shd w:val="clear" w:color="auto" w:fill="FFFFFF"/>
              </w:rPr>
              <w:t>Bonferroni-corrected p-values resulted from post-hoc comparisons after ordinal logistic regressions.</w:t>
            </w:r>
          </w:p>
          <w:p w14:paraId="2814A01A" w14:textId="77777777" w:rsidR="004B5852" w:rsidRDefault="004B5852" w:rsidP="00B3099B">
            <w:pPr>
              <w:jc w:val="right"/>
              <w:rPr>
                <w:sz w:val="22"/>
                <w:szCs w:val="22"/>
                <w:shd w:val="clear" w:color="auto" w:fill="FFFFFF"/>
              </w:rPr>
            </w:pPr>
          </w:p>
        </w:tc>
      </w:tr>
    </w:tbl>
    <w:p w14:paraId="498BB421" w14:textId="77777777" w:rsidR="004B5852" w:rsidRDefault="004B5852" w:rsidP="003076E8">
      <w:pPr>
        <w:pStyle w:val="EndNoteBibliographyTitle"/>
        <w:jc w:val="left"/>
        <w:rPr>
          <w:rFonts w:ascii="Times New Roman" w:hAnsi="Times New Roman" w:cs="Times New Roman"/>
          <w:b/>
          <w:sz w:val="22"/>
          <w:szCs w:val="22"/>
        </w:rPr>
      </w:pPr>
    </w:p>
    <w:p w14:paraId="7D231D50" w14:textId="77777777" w:rsidR="004B5852" w:rsidRDefault="004B5852" w:rsidP="003076E8">
      <w:pPr>
        <w:pStyle w:val="EndNoteBibliographyTitle"/>
        <w:jc w:val="left"/>
        <w:rPr>
          <w:rFonts w:ascii="Times New Roman" w:hAnsi="Times New Roman" w:cs="Times New Roman"/>
          <w:b/>
          <w:sz w:val="22"/>
          <w:szCs w:val="22"/>
        </w:rPr>
      </w:pPr>
    </w:p>
    <w:p w14:paraId="55C89786" w14:textId="77777777" w:rsidR="006D3520" w:rsidRDefault="006D3520" w:rsidP="003076E8">
      <w:pPr>
        <w:pStyle w:val="EndNoteBibliographyTitle"/>
        <w:jc w:val="left"/>
        <w:rPr>
          <w:rFonts w:ascii="Times New Roman" w:hAnsi="Times New Roman" w:cs="Times New Roman"/>
          <w:b/>
          <w:sz w:val="22"/>
          <w:szCs w:val="22"/>
        </w:rPr>
      </w:pPr>
    </w:p>
    <w:p w14:paraId="77CBBDCD" w14:textId="77777777" w:rsidR="006D3520" w:rsidRDefault="006D3520" w:rsidP="003076E8">
      <w:pPr>
        <w:pStyle w:val="EndNoteBibliographyTitle"/>
        <w:jc w:val="left"/>
        <w:rPr>
          <w:rFonts w:ascii="Times New Roman" w:hAnsi="Times New Roman" w:cs="Times New Roman"/>
          <w:b/>
          <w:sz w:val="22"/>
          <w:szCs w:val="22"/>
        </w:rPr>
      </w:pPr>
    </w:p>
    <w:p w14:paraId="70A000A2" w14:textId="77777777" w:rsidR="006D3520" w:rsidRDefault="006D3520" w:rsidP="003076E8">
      <w:pPr>
        <w:pStyle w:val="EndNoteBibliographyTitle"/>
        <w:jc w:val="left"/>
        <w:rPr>
          <w:rFonts w:ascii="Times New Roman" w:hAnsi="Times New Roman" w:cs="Times New Roman"/>
          <w:b/>
          <w:sz w:val="22"/>
          <w:szCs w:val="22"/>
        </w:rPr>
      </w:pPr>
    </w:p>
    <w:p w14:paraId="0CB861CA" w14:textId="77777777" w:rsidR="006D3520" w:rsidRDefault="006D3520" w:rsidP="003076E8">
      <w:pPr>
        <w:pStyle w:val="EndNoteBibliographyTitle"/>
        <w:jc w:val="left"/>
        <w:rPr>
          <w:rFonts w:ascii="Times New Roman" w:hAnsi="Times New Roman" w:cs="Times New Roman"/>
          <w:b/>
          <w:sz w:val="22"/>
          <w:szCs w:val="22"/>
        </w:rPr>
      </w:pPr>
    </w:p>
    <w:p w14:paraId="55DB6C04" w14:textId="77777777" w:rsidR="006D3520" w:rsidRDefault="006D3520" w:rsidP="003076E8">
      <w:pPr>
        <w:pStyle w:val="EndNoteBibliographyTitle"/>
        <w:jc w:val="left"/>
        <w:rPr>
          <w:rFonts w:ascii="Times New Roman" w:hAnsi="Times New Roman" w:cs="Times New Roman"/>
          <w:b/>
          <w:sz w:val="22"/>
          <w:szCs w:val="22"/>
        </w:rPr>
      </w:pPr>
    </w:p>
    <w:p w14:paraId="6B0AB6AA" w14:textId="77777777" w:rsidR="006D3520" w:rsidRDefault="006D3520" w:rsidP="003076E8">
      <w:pPr>
        <w:pStyle w:val="EndNoteBibliographyTitle"/>
        <w:jc w:val="left"/>
        <w:rPr>
          <w:rFonts w:ascii="Times New Roman" w:hAnsi="Times New Roman" w:cs="Times New Roman"/>
          <w:b/>
          <w:sz w:val="22"/>
          <w:szCs w:val="22"/>
        </w:rPr>
      </w:pPr>
    </w:p>
    <w:p w14:paraId="69DA81B4" w14:textId="77777777" w:rsidR="006D3520" w:rsidRDefault="006D3520" w:rsidP="003076E8">
      <w:pPr>
        <w:pStyle w:val="EndNoteBibliographyTitle"/>
        <w:jc w:val="left"/>
        <w:rPr>
          <w:rFonts w:ascii="Times New Roman" w:hAnsi="Times New Roman" w:cs="Times New Roman"/>
          <w:b/>
          <w:sz w:val="22"/>
          <w:szCs w:val="22"/>
        </w:rPr>
      </w:pPr>
    </w:p>
    <w:p w14:paraId="12630E4D" w14:textId="77777777" w:rsidR="006D3520" w:rsidRDefault="006D3520" w:rsidP="003076E8">
      <w:pPr>
        <w:pStyle w:val="EndNoteBibliographyTitle"/>
        <w:jc w:val="left"/>
        <w:rPr>
          <w:rFonts w:ascii="Times New Roman" w:hAnsi="Times New Roman" w:cs="Times New Roman"/>
          <w:b/>
          <w:sz w:val="22"/>
          <w:szCs w:val="22"/>
        </w:rPr>
      </w:pPr>
    </w:p>
    <w:p w14:paraId="119457BE" w14:textId="77777777" w:rsidR="006D3520" w:rsidRDefault="006D3520" w:rsidP="003076E8">
      <w:pPr>
        <w:pStyle w:val="EndNoteBibliographyTitle"/>
        <w:jc w:val="left"/>
        <w:rPr>
          <w:rFonts w:ascii="Times New Roman" w:hAnsi="Times New Roman" w:cs="Times New Roman"/>
          <w:b/>
          <w:sz w:val="22"/>
          <w:szCs w:val="22"/>
        </w:rPr>
      </w:pPr>
    </w:p>
    <w:p w14:paraId="511F41DC" w14:textId="77777777" w:rsidR="006D3520" w:rsidRDefault="006D3520" w:rsidP="003076E8">
      <w:pPr>
        <w:pStyle w:val="EndNoteBibliographyTitle"/>
        <w:jc w:val="left"/>
        <w:rPr>
          <w:rFonts w:ascii="Times New Roman" w:hAnsi="Times New Roman" w:cs="Times New Roman"/>
          <w:b/>
          <w:sz w:val="22"/>
          <w:szCs w:val="22"/>
        </w:rPr>
      </w:pPr>
    </w:p>
    <w:p w14:paraId="0CD1C6B5" w14:textId="77777777" w:rsidR="006D3520" w:rsidRDefault="006D3520" w:rsidP="003076E8">
      <w:pPr>
        <w:pStyle w:val="EndNoteBibliographyTitle"/>
        <w:jc w:val="left"/>
        <w:rPr>
          <w:rFonts w:ascii="Times New Roman" w:hAnsi="Times New Roman" w:cs="Times New Roman"/>
          <w:b/>
          <w:sz w:val="22"/>
          <w:szCs w:val="22"/>
        </w:rPr>
      </w:pPr>
    </w:p>
    <w:p w14:paraId="0A887435" w14:textId="77777777" w:rsidR="006D3520" w:rsidRDefault="006D3520" w:rsidP="003076E8">
      <w:pPr>
        <w:pStyle w:val="EndNoteBibliographyTitle"/>
        <w:jc w:val="left"/>
        <w:rPr>
          <w:rFonts w:ascii="Times New Roman" w:hAnsi="Times New Roman" w:cs="Times New Roman"/>
          <w:b/>
          <w:sz w:val="22"/>
          <w:szCs w:val="22"/>
        </w:rPr>
      </w:pPr>
    </w:p>
    <w:p w14:paraId="0F09F3A7" w14:textId="77777777" w:rsidR="006D3520" w:rsidRDefault="006D3520" w:rsidP="003076E8">
      <w:pPr>
        <w:pStyle w:val="EndNoteBibliographyTitle"/>
        <w:jc w:val="left"/>
        <w:rPr>
          <w:rFonts w:ascii="Times New Roman" w:hAnsi="Times New Roman" w:cs="Times New Roman"/>
          <w:b/>
          <w:sz w:val="22"/>
          <w:szCs w:val="22"/>
        </w:rPr>
      </w:pPr>
    </w:p>
    <w:p w14:paraId="0945AFD4" w14:textId="77777777" w:rsidR="006D3520" w:rsidRDefault="006D3520" w:rsidP="003076E8">
      <w:pPr>
        <w:pStyle w:val="EndNoteBibliographyTitle"/>
        <w:jc w:val="left"/>
        <w:rPr>
          <w:rFonts w:ascii="Times New Roman" w:hAnsi="Times New Roman" w:cs="Times New Roman"/>
          <w:b/>
          <w:sz w:val="22"/>
          <w:szCs w:val="22"/>
        </w:rPr>
      </w:pPr>
    </w:p>
    <w:p w14:paraId="6F416A4B" w14:textId="77777777" w:rsidR="00F1080C" w:rsidRDefault="00F1080C" w:rsidP="003076E8">
      <w:pPr>
        <w:pStyle w:val="EndNoteBibliographyTitle"/>
        <w:jc w:val="left"/>
        <w:rPr>
          <w:rFonts w:ascii="Times New Roman" w:hAnsi="Times New Roman" w:cs="Times New Roman"/>
          <w:b/>
          <w:sz w:val="22"/>
          <w:szCs w:val="22"/>
        </w:rPr>
      </w:pPr>
    </w:p>
    <w:p w14:paraId="5E349BA0" w14:textId="77777777" w:rsidR="006D3520" w:rsidRDefault="006D3520" w:rsidP="003076E8">
      <w:pPr>
        <w:pStyle w:val="EndNoteBibliographyTitle"/>
        <w:jc w:val="left"/>
        <w:rPr>
          <w:rFonts w:ascii="Times New Roman" w:hAnsi="Times New Roman" w:cs="Times New Roman"/>
          <w:b/>
          <w:sz w:val="22"/>
          <w:szCs w:val="22"/>
        </w:rPr>
      </w:pPr>
    </w:p>
    <w:p w14:paraId="652AA6AA" w14:textId="77777777" w:rsidR="006D3520" w:rsidRDefault="006D3520" w:rsidP="003076E8">
      <w:pPr>
        <w:pStyle w:val="EndNoteBibliographyTitle"/>
        <w:jc w:val="left"/>
        <w:rPr>
          <w:rFonts w:ascii="Times New Roman" w:hAnsi="Times New Roman" w:cs="Times New Roman"/>
          <w:b/>
          <w:sz w:val="22"/>
          <w:szCs w:val="22"/>
        </w:rPr>
      </w:pPr>
    </w:p>
    <w:p w14:paraId="6E49924B" w14:textId="77777777" w:rsidR="006D3520" w:rsidRDefault="006D3520" w:rsidP="003076E8">
      <w:pPr>
        <w:pStyle w:val="EndNoteBibliographyTitle"/>
        <w:jc w:val="left"/>
        <w:rPr>
          <w:rFonts w:ascii="Times New Roman" w:hAnsi="Times New Roman" w:cs="Times New Roman"/>
          <w:b/>
          <w:sz w:val="22"/>
          <w:szCs w:val="22"/>
        </w:rPr>
      </w:pPr>
    </w:p>
    <w:p w14:paraId="60E70B33" w14:textId="77777777" w:rsidR="006D3520" w:rsidRDefault="006D3520" w:rsidP="003076E8">
      <w:pPr>
        <w:pStyle w:val="EndNoteBibliographyTitle"/>
        <w:jc w:val="left"/>
        <w:rPr>
          <w:rFonts w:ascii="Times New Roman" w:hAnsi="Times New Roman" w:cs="Times New Roman"/>
          <w:b/>
          <w:sz w:val="22"/>
          <w:szCs w:val="22"/>
        </w:rPr>
      </w:pPr>
    </w:p>
    <w:p w14:paraId="5D060B72" w14:textId="77777777" w:rsidR="006D3520" w:rsidRDefault="006D3520" w:rsidP="003076E8">
      <w:pPr>
        <w:pStyle w:val="EndNoteBibliographyTitle"/>
        <w:jc w:val="left"/>
        <w:rPr>
          <w:rFonts w:ascii="Times New Roman" w:hAnsi="Times New Roman" w:cs="Times New Roman"/>
          <w:b/>
          <w:sz w:val="22"/>
          <w:szCs w:val="22"/>
        </w:rPr>
      </w:pPr>
    </w:p>
    <w:p w14:paraId="1AFAA90A" w14:textId="77777777" w:rsidR="006D3520" w:rsidRDefault="006D3520" w:rsidP="003076E8">
      <w:pPr>
        <w:pStyle w:val="EndNoteBibliographyTitle"/>
        <w:jc w:val="left"/>
        <w:rPr>
          <w:rFonts w:ascii="Times New Roman" w:hAnsi="Times New Roman" w:cs="Times New Roman"/>
          <w:b/>
          <w:sz w:val="22"/>
          <w:szCs w:val="22"/>
        </w:rPr>
      </w:pPr>
    </w:p>
    <w:p w14:paraId="5FF794FD" w14:textId="77777777" w:rsidR="006D3520" w:rsidRDefault="006D3520" w:rsidP="003076E8">
      <w:pPr>
        <w:pStyle w:val="EndNoteBibliographyTitle"/>
        <w:jc w:val="left"/>
        <w:rPr>
          <w:rFonts w:ascii="Times New Roman" w:hAnsi="Times New Roman" w:cs="Times New Roman"/>
          <w:b/>
          <w:sz w:val="22"/>
          <w:szCs w:val="22"/>
        </w:rPr>
      </w:pPr>
    </w:p>
    <w:p w14:paraId="14E5AEE6" w14:textId="77777777" w:rsidR="006D3520" w:rsidRDefault="006D3520" w:rsidP="003076E8">
      <w:pPr>
        <w:pStyle w:val="EndNoteBibliographyTitle"/>
        <w:jc w:val="left"/>
        <w:rPr>
          <w:rFonts w:ascii="Times New Roman" w:hAnsi="Times New Roman" w:cs="Times New Roman"/>
          <w:b/>
          <w:sz w:val="22"/>
          <w:szCs w:val="22"/>
        </w:rPr>
      </w:pPr>
    </w:p>
    <w:p w14:paraId="441D1CD6" w14:textId="77777777" w:rsidR="004B5852" w:rsidRPr="00EE7CC8" w:rsidRDefault="004B5852" w:rsidP="003076E8">
      <w:pPr>
        <w:pStyle w:val="EndNoteBibliographyTitle"/>
        <w:jc w:val="left"/>
        <w:rPr>
          <w:rFonts w:ascii="Times New Roman" w:hAnsi="Times New Roman" w:cs="Times New Roman"/>
          <w:b/>
          <w:sz w:val="22"/>
          <w:szCs w:val="22"/>
        </w:rPr>
      </w:pPr>
    </w:p>
    <w:p w14:paraId="7963ABC5" w14:textId="77777777" w:rsidR="009B109C" w:rsidRPr="00EE7CC8" w:rsidRDefault="009B109C" w:rsidP="003076E8">
      <w:pPr>
        <w:pStyle w:val="EndNoteBibliographyTitle"/>
        <w:jc w:val="left"/>
        <w:rPr>
          <w:rFonts w:ascii="Times New Roman" w:hAnsi="Times New Roman" w:cs="Times New Roman"/>
          <w:b/>
          <w:sz w:val="22"/>
          <w:szCs w:val="22"/>
        </w:rPr>
      </w:pP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2948"/>
        <w:gridCol w:w="1282"/>
        <w:gridCol w:w="1282"/>
        <w:gridCol w:w="1282"/>
        <w:gridCol w:w="1282"/>
        <w:gridCol w:w="1284"/>
      </w:tblGrid>
      <w:tr w:rsidR="009B109C" w:rsidRPr="00EE7CC8" w14:paraId="66B59648" w14:textId="77777777" w:rsidTr="0007634C">
        <w:trPr>
          <w:jc w:val="center"/>
        </w:trPr>
        <w:tc>
          <w:tcPr>
            <w:tcW w:w="5000" w:type="pct"/>
            <w:gridSpan w:val="6"/>
            <w:tcBorders>
              <w:top w:val="nil"/>
              <w:bottom w:val="single" w:sz="4" w:space="0" w:color="auto"/>
            </w:tcBorders>
            <w:vAlign w:val="center"/>
          </w:tcPr>
          <w:p w14:paraId="4FB17A81" w14:textId="38087176" w:rsidR="009B109C" w:rsidRPr="00EE7CC8" w:rsidRDefault="009B109C" w:rsidP="00E130D1">
            <w:pPr>
              <w:rPr>
                <w:sz w:val="22"/>
                <w:szCs w:val="22"/>
              </w:rPr>
            </w:pPr>
            <w:r w:rsidRPr="00EE7CC8">
              <w:rPr>
                <w:b/>
                <w:bCs/>
                <w:sz w:val="22"/>
                <w:szCs w:val="22"/>
                <w:shd w:val="clear" w:color="auto" w:fill="FFFFFF"/>
              </w:rPr>
              <w:lastRenderedPageBreak/>
              <w:t xml:space="preserve">Supplementary Table </w:t>
            </w:r>
            <w:r w:rsidR="004B5852">
              <w:rPr>
                <w:b/>
                <w:bCs/>
                <w:sz w:val="22"/>
                <w:szCs w:val="22"/>
                <w:shd w:val="clear" w:color="auto" w:fill="FFFFFF"/>
              </w:rPr>
              <w:t>3</w:t>
            </w:r>
            <w:r w:rsidRPr="00EE7CC8">
              <w:rPr>
                <w:b/>
                <w:bCs/>
                <w:sz w:val="22"/>
                <w:szCs w:val="22"/>
                <w:shd w:val="clear" w:color="auto" w:fill="FFFFFF"/>
              </w:rPr>
              <w:t>. Standardized Item Loadings of Confirmatory Factor Analysis (CFA) for One-Factor Solution of ARI Items for Parent and Youth Report</w:t>
            </w:r>
          </w:p>
        </w:tc>
      </w:tr>
      <w:tr w:rsidR="009B109C" w:rsidRPr="00EE7CC8" w14:paraId="692DD206" w14:textId="77777777" w:rsidTr="0007634C">
        <w:trPr>
          <w:jc w:val="center"/>
        </w:trPr>
        <w:tc>
          <w:tcPr>
            <w:tcW w:w="1574" w:type="pct"/>
            <w:tcBorders>
              <w:bottom w:val="single" w:sz="4" w:space="0" w:color="auto"/>
              <w:right w:val="nil"/>
            </w:tcBorders>
          </w:tcPr>
          <w:p w14:paraId="5F5325D1" w14:textId="77777777" w:rsidR="009B109C" w:rsidRPr="00EE7CC8" w:rsidRDefault="009B109C" w:rsidP="00E130D1">
            <w:pPr>
              <w:rPr>
                <w:b/>
                <w:sz w:val="22"/>
                <w:szCs w:val="22"/>
              </w:rPr>
            </w:pPr>
            <w:r w:rsidRPr="00EE7CC8">
              <w:rPr>
                <w:b/>
                <w:sz w:val="22"/>
                <w:szCs w:val="22"/>
              </w:rPr>
              <w:t>Parent report</w:t>
            </w:r>
          </w:p>
        </w:tc>
        <w:tc>
          <w:tcPr>
            <w:tcW w:w="685" w:type="pct"/>
            <w:tcBorders>
              <w:left w:val="nil"/>
              <w:bottom w:val="single" w:sz="4" w:space="0" w:color="auto"/>
              <w:right w:val="nil"/>
            </w:tcBorders>
            <w:vAlign w:val="center"/>
          </w:tcPr>
          <w:p w14:paraId="13DE9EB7" w14:textId="77777777" w:rsidR="009B109C" w:rsidRPr="00EE7CC8" w:rsidRDefault="009B109C" w:rsidP="00E130D1">
            <w:pPr>
              <w:jc w:val="center"/>
              <w:rPr>
                <w:sz w:val="22"/>
                <w:szCs w:val="22"/>
              </w:rPr>
            </w:pPr>
          </w:p>
        </w:tc>
        <w:tc>
          <w:tcPr>
            <w:tcW w:w="685" w:type="pct"/>
            <w:tcBorders>
              <w:left w:val="nil"/>
              <w:bottom w:val="single" w:sz="4" w:space="0" w:color="auto"/>
              <w:right w:val="nil"/>
            </w:tcBorders>
            <w:vAlign w:val="center"/>
          </w:tcPr>
          <w:p w14:paraId="5E7B9983" w14:textId="77777777" w:rsidR="009B109C" w:rsidRPr="00EE7CC8" w:rsidRDefault="009B109C" w:rsidP="00E130D1">
            <w:pPr>
              <w:jc w:val="center"/>
              <w:rPr>
                <w:sz w:val="22"/>
                <w:szCs w:val="22"/>
              </w:rPr>
            </w:pPr>
          </w:p>
        </w:tc>
        <w:tc>
          <w:tcPr>
            <w:tcW w:w="685" w:type="pct"/>
            <w:tcBorders>
              <w:left w:val="nil"/>
              <w:bottom w:val="single" w:sz="4" w:space="0" w:color="auto"/>
              <w:right w:val="nil"/>
            </w:tcBorders>
            <w:vAlign w:val="center"/>
          </w:tcPr>
          <w:p w14:paraId="46BD17EC" w14:textId="77777777" w:rsidR="009B109C" w:rsidRPr="00EE7CC8" w:rsidRDefault="009B109C" w:rsidP="00E130D1">
            <w:pPr>
              <w:jc w:val="center"/>
              <w:rPr>
                <w:sz w:val="22"/>
                <w:szCs w:val="22"/>
              </w:rPr>
            </w:pPr>
          </w:p>
        </w:tc>
        <w:tc>
          <w:tcPr>
            <w:tcW w:w="685" w:type="pct"/>
            <w:tcBorders>
              <w:left w:val="nil"/>
              <w:bottom w:val="single" w:sz="4" w:space="0" w:color="auto"/>
              <w:right w:val="nil"/>
            </w:tcBorders>
            <w:vAlign w:val="center"/>
          </w:tcPr>
          <w:p w14:paraId="5F4B90B3" w14:textId="77777777" w:rsidR="009B109C" w:rsidRPr="00EE7CC8" w:rsidRDefault="009B109C" w:rsidP="00E130D1">
            <w:pPr>
              <w:jc w:val="center"/>
              <w:rPr>
                <w:sz w:val="22"/>
                <w:szCs w:val="22"/>
              </w:rPr>
            </w:pPr>
          </w:p>
        </w:tc>
        <w:tc>
          <w:tcPr>
            <w:tcW w:w="686" w:type="pct"/>
            <w:tcBorders>
              <w:left w:val="nil"/>
              <w:bottom w:val="single" w:sz="4" w:space="0" w:color="auto"/>
            </w:tcBorders>
            <w:vAlign w:val="center"/>
          </w:tcPr>
          <w:p w14:paraId="70FB064E" w14:textId="77777777" w:rsidR="009B109C" w:rsidRPr="00EE7CC8" w:rsidRDefault="009B109C" w:rsidP="00E130D1">
            <w:pPr>
              <w:jc w:val="center"/>
              <w:rPr>
                <w:sz w:val="22"/>
                <w:szCs w:val="22"/>
              </w:rPr>
            </w:pPr>
          </w:p>
        </w:tc>
      </w:tr>
      <w:tr w:rsidR="009B109C" w:rsidRPr="00EE7CC8" w14:paraId="0A2636B9" w14:textId="77777777" w:rsidTr="0007634C">
        <w:trPr>
          <w:jc w:val="center"/>
        </w:trPr>
        <w:tc>
          <w:tcPr>
            <w:tcW w:w="1574" w:type="pct"/>
            <w:tcBorders>
              <w:bottom w:val="single" w:sz="4" w:space="0" w:color="auto"/>
              <w:right w:val="nil"/>
            </w:tcBorders>
          </w:tcPr>
          <w:p w14:paraId="1DDF1B68" w14:textId="77777777" w:rsidR="009B109C" w:rsidRPr="00EE7CC8" w:rsidRDefault="009B109C" w:rsidP="00E130D1">
            <w:pPr>
              <w:rPr>
                <w:b/>
                <w:sz w:val="22"/>
                <w:szCs w:val="22"/>
              </w:rPr>
            </w:pPr>
            <w:r w:rsidRPr="00EE7CC8">
              <w:rPr>
                <w:b/>
                <w:sz w:val="22"/>
                <w:szCs w:val="22"/>
              </w:rPr>
              <w:t>Item</w:t>
            </w:r>
          </w:p>
        </w:tc>
        <w:tc>
          <w:tcPr>
            <w:tcW w:w="685" w:type="pct"/>
            <w:tcBorders>
              <w:left w:val="nil"/>
              <w:bottom w:val="single" w:sz="4" w:space="0" w:color="auto"/>
              <w:right w:val="nil"/>
            </w:tcBorders>
            <w:vAlign w:val="center"/>
          </w:tcPr>
          <w:p w14:paraId="132B157D" w14:textId="77777777" w:rsidR="009B109C" w:rsidRPr="00EE7CC8" w:rsidRDefault="009B109C" w:rsidP="00E130D1">
            <w:pPr>
              <w:jc w:val="center"/>
              <w:rPr>
                <w:sz w:val="22"/>
                <w:szCs w:val="22"/>
              </w:rPr>
            </w:pPr>
            <w:r w:rsidRPr="00EE7CC8">
              <w:rPr>
                <w:b/>
                <w:bCs/>
                <w:sz w:val="22"/>
                <w:szCs w:val="22"/>
                <w:shd w:val="clear" w:color="auto" w:fill="FFFFFF"/>
              </w:rPr>
              <w:t>Japan</w:t>
            </w:r>
          </w:p>
        </w:tc>
        <w:tc>
          <w:tcPr>
            <w:tcW w:w="685" w:type="pct"/>
            <w:tcBorders>
              <w:left w:val="nil"/>
              <w:bottom w:val="single" w:sz="4" w:space="0" w:color="auto"/>
              <w:right w:val="nil"/>
            </w:tcBorders>
            <w:vAlign w:val="center"/>
          </w:tcPr>
          <w:p w14:paraId="76E4126E" w14:textId="77777777" w:rsidR="009B109C" w:rsidRPr="00EE7CC8" w:rsidRDefault="009B109C" w:rsidP="00E130D1">
            <w:pPr>
              <w:jc w:val="center"/>
              <w:rPr>
                <w:sz w:val="22"/>
                <w:szCs w:val="22"/>
              </w:rPr>
            </w:pPr>
            <w:r w:rsidRPr="00EE7CC8">
              <w:rPr>
                <w:b/>
                <w:bCs/>
                <w:sz w:val="22"/>
                <w:szCs w:val="22"/>
                <w:shd w:val="clear" w:color="auto" w:fill="FFFFFF"/>
              </w:rPr>
              <w:t>China</w:t>
            </w:r>
          </w:p>
        </w:tc>
        <w:tc>
          <w:tcPr>
            <w:tcW w:w="685" w:type="pct"/>
            <w:tcBorders>
              <w:left w:val="nil"/>
              <w:bottom w:val="single" w:sz="4" w:space="0" w:color="auto"/>
              <w:right w:val="nil"/>
            </w:tcBorders>
            <w:vAlign w:val="center"/>
          </w:tcPr>
          <w:p w14:paraId="26A404BE" w14:textId="77777777" w:rsidR="009B109C" w:rsidRPr="00EE7CC8" w:rsidRDefault="009B109C" w:rsidP="00E130D1">
            <w:pPr>
              <w:jc w:val="center"/>
              <w:rPr>
                <w:sz w:val="22"/>
                <w:szCs w:val="22"/>
              </w:rPr>
            </w:pPr>
            <w:r w:rsidRPr="00EE7CC8">
              <w:rPr>
                <w:b/>
                <w:bCs/>
                <w:sz w:val="22"/>
                <w:szCs w:val="22"/>
                <w:shd w:val="clear" w:color="auto" w:fill="FFFFFF"/>
              </w:rPr>
              <w:t>US</w:t>
            </w:r>
          </w:p>
        </w:tc>
        <w:tc>
          <w:tcPr>
            <w:tcW w:w="685" w:type="pct"/>
            <w:tcBorders>
              <w:left w:val="nil"/>
              <w:bottom w:val="single" w:sz="4" w:space="0" w:color="auto"/>
              <w:right w:val="nil"/>
            </w:tcBorders>
            <w:vAlign w:val="center"/>
          </w:tcPr>
          <w:p w14:paraId="7D56AD62" w14:textId="77777777" w:rsidR="009B109C" w:rsidRPr="00EE7CC8" w:rsidRDefault="009B109C" w:rsidP="00E130D1">
            <w:pPr>
              <w:jc w:val="center"/>
              <w:rPr>
                <w:sz w:val="22"/>
                <w:szCs w:val="22"/>
              </w:rPr>
            </w:pPr>
            <w:r w:rsidRPr="00EE7CC8">
              <w:rPr>
                <w:b/>
                <w:bCs/>
                <w:sz w:val="22"/>
                <w:szCs w:val="22"/>
                <w:shd w:val="clear" w:color="auto" w:fill="FFFFFF"/>
              </w:rPr>
              <w:t>Brazil</w:t>
            </w:r>
          </w:p>
        </w:tc>
        <w:tc>
          <w:tcPr>
            <w:tcW w:w="686" w:type="pct"/>
            <w:tcBorders>
              <w:left w:val="nil"/>
              <w:bottom w:val="single" w:sz="4" w:space="0" w:color="auto"/>
            </w:tcBorders>
            <w:vAlign w:val="center"/>
          </w:tcPr>
          <w:p w14:paraId="014689EF" w14:textId="77777777" w:rsidR="009B109C" w:rsidRPr="00EE7CC8" w:rsidRDefault="009B109C" w:rsidP="00E130D1">
            <w:pPr>
              <w:jc w:val="center"/>
              <w:rPr>
                <w:sz w:val="22"/>
                <w:szCs w:val="22"/>
              </w:rPr>
            </w:pPr>
            <w:r w:rsidRPr="00EE7CC8">
              <w:rPr>
                <w:b/>
                <w:bCs/>
                <w:sz w:val="22"/>
                <w:szCs w:val="22"/>
                <w:shd w:val="clear" w:color="auto" w:fill="FFFFFF"/>
              </w:rPr>
              <w:t>Spain</w:t>
            </w:r>
          </w:p>
        </w:tc>
      </w:tr>
      <w:tr w:rsidR="009B109C" w:rsidRPr="00EE7CC8" w14:paraId="3A922043" w14:textId="77777777" w:rsidTr="0007634C">
        <w:trPr>
          <w:jc w:val="center"/>
        </w:trPr>
        <w:tc>
          <w:tcPr>
            <w:tcW w:w="1574" w:type="pct"/>
            <w:tcBorders>
              <w:bottom w:val="nil"/>
              <w:right w:val="nil"/>
            </w:tcBorders>
          </w:tcPr>
          <w:p w14:paraId="770E00B7" w14:textId="77777777" w:rsidR="009B109C" w:rsidRPr="00EE7CC8" w:rsidRDefault="009B109C" w:rsidP="00E130D1">
            <w:pPr>
              <w:rPr>
                <w:sz w:val="22"/>
                <w:szCs w:val="22"/>
              </w:rPr>
            </w:pPr>
            <w:r w:rsidRPr="00EE7CC8">
              <w:rPr>
                <w:sz w:val="22"/>
                <w:szCs w:val="22"/>
                <w:shd w:val="clear" w:color="auto" w:fill="FFFFFF"/>
              </w:rPr>
              <w:t>Annoyed</w:t>
            </w:r>
          </w:p>
        </w:tc>
        <w:tc>
          <w:tcPr>
            <w:tcW w:w="685" w:type="pct"/>
            <w:tcBorders>
              <w:left w:val="nil"/>
              <w:bottom w:val="nil"/>
              <w:right w:val="nil"/>
            </w:tcBorders>
            <w:vAlign w:val="center"/>
          </w:tcPr>
          <w:p w14:paraId="6F3E69F2" w14:textId="77777777" w:rsidR="009B109C" w:rsidRPr="00EE7CC8" w:rsidRDefault="009B109C" w:rsidP="00E130D1">
            <w:pPr>
              <w:jc w:val="right"/>
              <w:rPr>
                <w:sz w:val="22"/>
                <w:szCs w:val="22"/>
              </w:rPr>
            </w:pPr>
            <w:r w:rsidRPr="00EE7CC8">
              <w:rPr>
                <w:sz w:val="22"/>
                <w:szCs w:val="22"/>
                <w:shd w:val="clear" w:color="auto" w:fill="FFFFFF"/>
              </w:rPr>
              <w:t>0.77</w:t>
            </w:r>
          </w:p>
        </w:tc>
        <w:tc>
          <w:tcPr>
            <w:tcW w:w="685" w:type="pct"/>
            <w:tcBorders>
              <w:left w:val="nil"/>
              <w:bottom w:val="nil"/>
              <w:right w:val="nil"/>
            </w:tcBorders>
            <w:vAlign w:val="center"/>
          </w:tcPr>
          <w:p w14:paraId="48735C14" w14:textId="77777777" w:rsidR="009B109C" w:rsidRPr="00EE7CC8" w:rsidRDefault="009B109C" w:rsidP="00E130D1">
            <w:pPr>
              <w:jc w:val="right"/>
              <w:rPr>
                <w:sz w:val="22"/>
                <w:szCs w:val="22"/>
              </w:rPr>
            </w:pPr>
            <w:r w:rsidRPr="00EE7CC8">
              <w:rPr>
                <w:sz w:val="22"/>
                <w:szCs w:val="22"/>
                <w:shd w:val="clear" w:color="auto" w:fill="FFFFFF"/>
              </w:rPr>
              <w:t>0.74</w:t>
            </w:r>
          </w:p>
        </w:tc>
        <w:tc>
          <w:tcPr>
            <w:tcW w:w="685" w:type="pct"/>
            <w:tcBorders>
              <w:left w:val="nil"/>
              <w:bottom w:val="nil"/>
              <w:right w:val="nil"/>
            </w:tcBorders>
            <w:vAlign w:val="center"/>
          </w:tcPr>
          <w:p w14:paraId="0CA04C27" w14:textId="77777777" w:rsidR="009B109C" w:rsidRPr="00EE7CC8" w:rsidRDefault="009B109C" w:rsidP="00E130D1">
            <w:pPr>
              <w:jc w:val="right"/>
              <w:rPr>
                <w:sz w:val="22"/>
                <w:szCs w:val="22"/>
              </w:rPr>
            </w:pPr>
            <w:r w:rsidRPr="00EE7CC8">
              <w:rPr>
                <w:sz w:val="22"/>
                <w:szCs w:val="22"/>
                <w:shd w:val="clear" w:color="auto" w:fill="FFFFFF"/>
              </w:rPr>
              <w:t>0.79</w:t>
            </w:r>
          </w:p>
        </w:tc>
        <w:tc>
          <w:tcPr>
            <w:tcW w:w="685" w:type="pct"/>
            <w:tcBorders>
              <w:left w:val="nil"/>
              <w:bottom w:val="nil"/>
              <w:right w:val="nil"/>
            </w:tcBorders>
            <w:vAlign w:val="center"/>
          </w:tcPr>
          <w:p w14:paraId="7C962252" w14:textId="77777777" w:rsidR="009B109C" w:rsidRPr="00EE7CC8" w:rsidRDefault="009B109C" w:rsidP="00E130D1">
            <w:pPr>
              <w:jc w:val="center"/>
              <w:rPr>
                <w:sz w:val="22"/>
                <w:szCs w:val="22"/>
              </w:rPr>
            </w:pPr>
            <w:r w:rsidRPr="00EE7CC8">
              <w:rPr>
                <w:sz w:val="22"/>
                <w:szCs w:val="22"/>
              </w:rPr>
              <w:t>-</w:t>
            </w:r>
          </w:p>
        </w:tc>
        <w:tc>
          <w:tcPr>
            <w:tcW w:w="686" w:type="pct"/>
            <w:tcBorders>
              <w:left w:val="nil"/>
              <w:bottom w:val="nil"/>
            </w:tcBorders>
            <w:vAlign w:val="center"/>
          </w:tcPr>
          <w:p w14:paraId="26AF9FCC" w14:textId="77777777" w:rsidR="009B109C" w:rsidRPr="00EE7CC8" w:rsidRDefault="009B109C" w:rsidP="00E130D1">
            <w:pPr>
              <w:jc w:val="center"/>
              <w:rPr>
                <w:sz w:val="22"/>
                <w:szCs w:val="22"/>
              </w:rPr>
            </w:pPr>
            <w:r w:rsidRPr="00EE7CC8">
              <w:rPr>
                <w:sz w:val="22"/>
                <w:szCs w:val="22"/>
              </w:rPr>
              <w:t>-</w:t>
            </w:r>
          </w:p>
        </w:tc>
      </w:tr>
      <w:tr w:rsidR="009B109C" w:rsidRPr="00EE7CC8" w14:paraId="30EA9F6A" w14:textId="77777777" w:rsidTr="0007634C">
        <w:trPr>
          <w:jc w:val="center"/>
        </w:trPr>
        <w:tc>
          <w:tcPr>
            <w:tcW w:w="1574" w:type="pct"/>
            <w:tcBorders>
              <w:top w:val="nil"/>
              <w:bottom w:val="nil"/>
              <w:right w:val="nil"/>
            </w:tcBorders>
          </w:tcPr>
          <w:p w14:paraId="12EC8B4D" w14:textId="77777777" w:rsidR="009B109C" w:rsidRPr="00EE7CC8" w:rsidRDefault="009B109C" w:rsidP="00E130D1">
            <w:pPr>
              <w:rPr>
                <w:sz w:val="22"/>
                <w:szCs w:val="22"/>
              </w:rPr>
            </w:pPr>
            <w:r w:rsidRPr="00EE7CC8">
              <w:rPr>
                <w:sz w:val="22"/>
                <w:szCs w:val="22"/>
                <w:shd w:val="clear" w:color="auto" w:fill="FFFFFF"/>
              </w:rPr>
              <w:t>Often loses temper</w:t>
            </w:r>
          </w:p>
        </w:tc>
        <w:tc>
          <w:tcPr>
            <w:tcW w:w="685" w:type="pct"/>
            <w:tcBorders>
              <w:top w:val="nil"/>
              <w:left w:val="nil"/>
              <w:bottom w:val="nil"/>
              <w:right w:val="nil"/>
            </w:tcBorders>
            <w:vAlign w:val="center"/>
          </w:tcPr>
          <w:p w14:paraId="17A8BE19" w14:textId="77777777" w:rsidR="009B109C" w:rsidRPr="00EE7CC8" w:rsidRDefault="009B109C" w:rsidP="00E130D1">
            <w:pPr>
              <w:jc w:val="right"/>
              <w:rPr>
                <w:sz w:val="22"/>
                <w:szCs w:val="22"/>
              </w:rPr>
            </w:pPr>
            <w:r w:rsidRPr="00EE7CC8">
              <w:rPr>
                <w:sz w:val="22"/>
                <w:szCs w:val="22"/>
                <w:shd w:val="clear" w:color="auto" w:fill="FFFFFF"/>
              </w:rPr>
              <w:t>0.89</w:t>
            </w:r>
          </w:p>
        </w:tc>
        <w:tc>
          <w:tcPr>
            <w:tcW w:w="685" w:type="pct"/>
            <w:tcBorders>
              <w:top w:val="nil"/>
              <w:left w:val="nil"/>
              <w:bottom w:val="nil"/>
              <w:right w:val="nil"/>
            </w:tcBorders>
            <w:vAlign w:val="center"/>
          </w:tcPr>
          <w:p w14:paraId="3F91969B" w14:textId="77777777" w:rsidR="009B109C" w:rsidRPr="00EE7CC8" w:rsidRDefault="009B109C" w:rsidP="00E130D1">
            <w:pPr>
              <w:jc w:val="right"/>
              <w:rPr>
                <w:sz w:val="22"/>
                <w:szCs w:val="22"/>
              </w:rPr>
            </w:pPr>
            <w:r w:rsidRPr="00EE7CC8">
              <w:rPr>
                <w:sz w:val="22"/>
                <w:szCs w:val="22"/>
                <w:shd w:val="clear" w:color="auto" w:fill="FFFFFF"/>
              </w:rPr>
              <w:t>0.87</w:t>
            </w:r>
          </w:p>
        </w:tc>
        <w:tc>
          <w:tcPr>
            <w:tcW w:w="685" w:type="pct"/>
            <w:tcBorders>
              <w:top w:val="nil"/>
              <w:left w:val="nil"/>
              <w:bottom w:val="nil"/>
              <w:right w:val="nil"/>
            </w:tcBorders>
            <w:vAlign w:val="center"/>
          </w:tcPr>
          <w:p w14:paraId="4F4B83C3" w14:textId="77777777" w:rsidR="009B109C" w:rsidRPr="00EE7CC8" w:rsidRDefault="009B109C" w:rsidP="00E130D1">
            <w:pPr>
              <w:jc w:val="right"/>
              <w:rPr>
                <w:sz w:val="22"/>
                <w:szCs w:val="22"/>
              </w:rPr>
            </w:pPr>
            <w:r w:rsidRPr="00EE7CC8">
              <w:rPr>
                <w:sz w:val="22"/>
                <w:szCs w:val="22"/>
                <w:shd w:val="clear" w:color="auto" w:fill="FFFFFF"/>
              </w:rPr>
              <w:t>0.98</w:t>
            </w:r>
          </w:p>
        </w:tc>
        <w:tc>
          <w:tcPr>
            <w:tcW w:w="685" w:type="pct"/>
            <w:tcBorders>
              <w:top w:val="nil"/>
              <w:left w:val="nil"/>
              <w:bottom w:val="nil"/>
              <w:right w:val="nil"/>
            </w:tcBorders>
            <w:vAlign w:val="center"/>
          </w:tcPr>
          <w:p w14:paraId="1F0AA64F" w14:textId="77777777" w:rsidR="009B109C" w:rsidRPr="00EE7CC8" w:rsidRDefault="009B109C" w:rsidP="00E130D1">
            <w:pPr>
              <w:jc w:val="center"/>
              <w:rPr>
                <w:sz w:val="22"/>
                <w:szCs w:val="22"/>
              </w:rPr>
            </w:pPr>
            <w:r w:rsidRPr="00EE7CC8">
              <w:rPr>
                <w:sz w:val="22"/>
                <w:szCs w:val="22"/>
              </w:rPr>
              <w:t>-</w:t>
            </w:r>
          </w:p>
        </w:tc>
        <w:tc>
          <w:tcPr>
            <w:tcW w:w="686" w:type="pct"/>
            <w:tcBorders>
              <w:top w:val="nil"/>
              <w:left w:val="nil"/>
              <w:bottom w:val="nil"/>
            </w:tcBorders>
            <w:vAlign w:val="center"/>
          </w:tcPr>
          <w:p w14:paraId="769AEFB3" w14:textId="77777777" w:rsidR="009B109C" w:rsidRPr="00EE7CC8" w:rsidRDefault="009B109C" w:rsidP="00E130D1">
            <w:pPr>
              <w:jc w:val="center"/>
              <w:rPr>
                <w:sz w:val="22"/>
                <w:szCs w:val="22"/>
              </w:rPr>
            </w:pPr>
            <w:r w:rsidRPr="00EE7CC8">
              <w:rPr>
                <w:sz w:val="22"/>
                <w:szCs w:val="22"/>
              </w:rPr>
              <w:t>-</w:t>
            </w:r>
          </w:p>
        </w:tc>
      </w:tr>
      <w:tr w:rsidR="009B109C" w:rsidRPr="00EE7CC8" w14:paraId="2BB5DD73" w14:textId="77777777" w:rsidTr="0007634C">
        <w:trPr>
          <w:jc w:val="center"/>
        </w:trPr>
        <w:tc>
          <w:tcPr>
            <w:tcW w:w="1574" w:type="pct"/>
            <w:tcBorders>
              <w:top w:val="nil"/>
              <w:bottom w:val="nil"/>
              <w:right w:val="nil"/>
            </w:tcBorders>
          </w:tcPr>
          <w:p w14:paraId="33F262E0" w14:textId="77777777" w:rsidR="009B109C" w:rsidRPr="00EE7CC8" w:rsidRDefault="009B109C" w:rsidP="00E130D1">
            <w:pPr>
              <w:rPr>
                <w:sz w:val="22"/>
                <w:szCs w:val="22"/>
              </w:rPr>
            </w:pPr>
            <w:r w:rsidRPr="00EE7CC8">
              <w:rPr>
                <w:sz w:val="22"/>
                <w:szCs w:val="22"/>
                <w:shd w:val="clear" w:color="auto" w:fill="FFFFFF"/>
              </w:rPr>
              <w:t>Stays angry</w:t>
            </w:r>
          </w:p>
        </w:tc>
        <w:tc>
          <w:tcPr>
            <w:tcW w:w="685" w:type="pct"/>
            <w:tcBorders>
              <w:top w:val="nil"/>
              <w:left w:val="nil"/>
              <w:bottom w:val="nil"/>
              <w:right w:val="nil"/>
            </w:tcBorders>
            <w:vAlign w:val="center"/>
          </w:tcPr>
          <w:p w14:paraId="74C7FC25" w14:textId="77777777" w:rsidR="009B109C" w:rsidRPr="00EE7CC8" w:rsidRDefault="009B109C" w:rsidP="00E130D1">
            <w:pPr>
              <w:jc w:val="right"/>
              <w:rPr>
                <w:sz w:val="22"/>
                <w:szCs w:val="22"/>
              </w:rPr>
            </w:pPr>
            <w:r w:rsidRPr="00EE7CC8">
              <w:rPr>
                <w:sz w:val="22"/>
                <w:szCs w:val="22"/>
                <w:shd w:val="clear" w:color="auto" w:fill="FFFFFF"/>
              </w:rPr>
              <w:t>0.86</w:t>
            </w:r>
          </w:p>
        </w:tc>
        <w:tc>
          <w:tcPr>
            <w:tcW w:w="685" w:type="pct"/>
            <w:tcBorders>
              <w:top w:val="nil"/>
              <w:left w:val="nil"/>
              <w:bottom w:val="nil"/>
              <w:right w:val="nil"/>
            </w:tcBorders>
            <w:vAlign w:val="center"/>
          </w:tcPr>
          <w:p w14:paraId="3721104D" w14:textId="77777777" w:rsidR="009B109C" w:rsidRPr="00EE7CC8" w:rsidRDefault="009B109C" w:rsidP="00E130D1">
            <w:pPr>
              <w:jc w:val="right"/>
              <w:rPr>
                <w:sz w:val="22"/>
                <w:szCs w:val="22"/>
              </w:rPr>
            </w:pPr>
            <w:r w:rsidRPr="00EE7CC8">
              <w:rPr>
                <w:sz w:val="22"/>
                <w:szCs w:val="22"/>
                <w:shd w:val="clear" w:color="auto" w:fill="FFFFFF"/>
              </w:rPr>
              <w:t>0.58</w:t>
            </w:r>
          </w:p>
        </w:tc>
        <w:tc>
          <w:tcPr>
            <w:tcW w:w="685" w:type="pct"/>
            <w:tcBorders>
              <w:top w:val="nil"/>
              <w:left w:val="nil"/>
              <w:bottom w:val="nil"/>
              <w:right w:val="nil"/>
            </w:tcBorders>
            <w:vAlign w:val="center"/>
          </w:tcPr>
          <w:p w14:paraId="0A7B335E" w14:textId="77777777" w:rsidR="009B109C" w:rsidRPr="00EE7CC8" w:rsidRDefault="009B109C" w:rsidP="00E130D1">
            <w:pPr>
              <w:jc w:val="right"/>
              <w:rPr>
                <w:sz w:val="22"/>
                <w:szCs w:val="22"/>
              </w:rPr>
            </w:pPr>
            <w:r w:rsidRPr="00EE7CC8">
              <w:rPr>
                <w:sz w:val="22"/>
                <w:szCs w:val="22"/>
                <w:shd w:val="clear" w:color="auto" w:fill="FFFFFF"/>
              </w:rPr>
              <w:t>0.86</w:t>
            </w:r>
          </w:p>
        </w:tc>
        <w:tc>
          <w:tcPr>
            <w:tcW w:w="685" w:type="pct"/>
            <w:tcBorders>
              <w:top w:val="nil"/>
              <w:left w:val="nil"/>
              <w:bottom w:val="nil"/>
              <w:right w:val="nil"/>
            </w:tcBorders>
            <w:vAlign w:val="center"/>
          </w:tcPr>
          <w:p w14:paraId="336E4503" w14:textId="77777777" w:rsidR="009B109C" w:rsidRPr="00EE7CC8" w:rsidRDefault="009B109C" w:rsidP="00E130D1">
            <w:pPr>
              <w:jc w:val="center"/>
              <w:rPr>
                <w:sz w:val="22"/>
                <w:szCs w:val="22"/>
              </w:rPr>
            </w:pPr>
            <w:r w:rsidRPr="00EE7CC8">
              <w:rPr>
                <w:sz w:val="22"/>
                <w:szCs w:val="22"/>
              </w:rPr>
              <w:t>-</w:t>
            </w:r>
          </w:p>
        </w:tc>
        <w:tc>
          <w:tcPr>
            <w:tcW w:w="686" w:type="pct"/>
            <w:tcBorders>
              <w:top w:val="nil"/>
              <w:left w:val="nil"/>
              <w:bottom w:val="nil"/>
            </w:tcBorders>
            <w:vAlign w:val="center"/>
          </w:tcPr>
          <w:p w14:paraId="285A4FD8" w14:textId="77777777" w:rsidR="009B109C" w:rsidRPr="00EE7CC8" w:rsidRDefault="009B109C" w:rsidP="00E130D1">
            <w:pPr>
              <w:jc w:val="center"/>
              <w:rPr>
                <w:sz w:val="22"/>
                <w:szCs w:val="22"/>
              </w:rPr>
            </w:pPr>
            <w:r w:rsidRPr="00EE7CC8">
              <w:rPr>
                <w:sz w:val="22"/>
                <w:szCs w:val="22"/>
              </w:rPr>
              <w:t>-</w:t>
            </w:r>
          </w:p>
        </w:tc>
      </w:tr>
      <w:tr w:rsidR="009B109C" w:rsidRPr="00EE7CC8" w14:paraId="23A5E51D" w14:textId="77777777" w:rsidTr="0007634C">
        <w:trPr>
          <w:jc w:val="center"/>
        </w:trPr>
        <w:tc>
          <w:tcPr>
            <w:tcW w:w="1574" w:type="pct"/>
            <w:tcBorders>
              <w:top w:val="nil"/>
              <w:bottom w:val="nil"/>
              <w:right w:val="nil"/>
            </w:tcBorders>
          </w:tcPr>
          <w:p w14:paraId="7AFD3F4B" w14:textId="77777777" w:rsidR="009B109C" w:rsidRPr="00EE7CC8" w:rsidRDefault="009B109C" w:rsidP="00E130D1">
            <w:pPr>
              <w:rPr>
                <w:sz w:val="22"/>
                <w:szCs w:val="22"/>
              </w:rPr>
            </w:pPr>
            <w:r w:rsidRPr="00EE7CC8">
              <w:rPr>
                <w:sz w:val="22"/>
                <w:szCs w:val="22"/>
                <w:shd w:val="clear" w:color="auto" w:fill="FFFFFF"/>
              </w:rPr>
              <w:t>Angry most of time</w:t>
            </w:r>
          </w:p>
        </w:tc>
        <w:tc>
          <w:tcPr>
            <w:tcW w:w="685" w:type="pct"/>
            <w:tcBorders>
              <w:top w:val="nil"/>
              <w:left w:val="nil"/>
              <w:bottom w:val="nil"/>
              <w:right w:val="nil"/>
            </w:tcBorders>
            <w:vAlign w:val="center"/>
          </w:tcPr>
          <w:p w14:paraId="60721B20" w14:textId="77777777" w:rsidR="009B109C" w:rsidRPr="00EE7CC8" w:rsidRDefault="009B109C" w:rsidP="00E130D1">
            <w:pPr>
              <w:jc w:val="right"/>
              <w:rPr>
                <w:sz w:val="22"/>
                <w:szCs w:val="22"/>
              </w:rPr>
            </w:pPr>
            <w:r w:rsidRPr="00EE7CC8">
              <w:rPr>
                <w:sz w:val="22"/>
                <w:szCs w:val="22"/>
                <w:shd w:val="clear" w:color="auto" w:fill="FFFFFF"/>
              </w:rPr>
              <w:t>0.89</w:t>
            </w:r>
          </w:p>
        </w:tc>
        <w:tc>
          <w:tcPr>
            <w:tcW w:w="685" w:type="pct"/>
            <w:tcBorders>
              <w:top w:val="nil"/>
              <w:left w:val="nil"/>
              <w:bottom w:val="nil"/>
              <w:right w:val="nil"/>
            </w:tcBorders>
            <w:vAlign w:val="center"/>
          </w:tcPr>
          <w:p w14:paraId="148796A2" w14:textId="77777777" w:rsidR="009B109C" w:rsidRPr="00EE7CC8" w:rsidRDefault="009B109C" w:rsidP="00E130D1">
            <w:pPr>
              <w:jc w:val="right"/>
              <w:rPr>
                <w:sz w:val="22"/>
                <w:szCs w:val="22"/>
              </w:rPr>
            </w:pPr>
            <w:r w:rsidRPr="00EE7CC8">
              <w:rPr>
                <w:sz w:val="22"/>
                <w:szCs w:val="22"/>
                <w:shd w:val="clear" w:color="auto" w:fill="FFFFFF"/>
              </w:rPr>
              <w:t>0.75</w:t>
            </w:r>
          </w:p>
        </w:tc>
        <w:tc>
          <w:tcPr>
            <w:tcW w:w="685" w:type="pct"/>
            <w:tcBorders>
              <w:top w:val="nil"/>
              <w:left w:val="nil"/>
              <w:bottom w:val="nil"/>
              <w:right w:val="nil"/>
            </w:tcBorders>
            <w:vAlign w:val="center"/>
          </w:tcPr>
          <w:p w14:paraId="30AA8FEE" w14:textId="77777777" w:rsidR="009B109C" w:rsidRPr="00EE7CC8" w:rsidRDefault="009B109C" w:rsidP="00E130D1">
            <w:pPr>
              <w:jc w:val="right"/>
              <w:rPr>
                <w:sz w:val="22"/>
                <w:szCs w:val="22"/>
              </w:rPr>
            </w:pPr>
            <w:r w:rsidRPr="00EE7CC8">
              <w:rPr>
                <w:sz w:val="22"/>
                <w:szCs w:val="22"/>
                <w:shd w:val="clear" w:color="auto" w:fill="FFFFFF"/>
              </w:rPr>
              <w:t>0.93</w:t>
            </w:r>
          </w:p>
        </w:tc>
        <w:tc>
          <w:tcPr>
            <w:tcW w:w="685" w:type="pct"/>
            <w:tcBorders>
              <w:top w:val="nil"/>
              <w:left w:val="nil"/>
              <w:bottom w:val="nil"/>
              <w:right w:val="nil"/>
            </w:tcBorders>
            <w:vAlign w:val="center"/>
          </w:tcPr>
          <w:p w14:paraId="1A607774" w14:textId="77777777" w:rsidR="009B109C" w:rsidRPr="00EE7CC8" w:rsidRDefault="009B109C" w:rsidP="00E130D1">
            <w:pPr>
              <w:jc w:val="center"/>
              <w:rPr>
                <w:sz w:val="22"/>
                <w:szCs w:val="22"/>
              </w:rPr>
            </w:pPr>
            <w:r w:rsidRPr="00EE7CC8">
              <w:rPr>
                <w:sz w:val="22"/>
                <w:szCs w:val="22"/>
              </w:rPr>
              <w:t>-</w:t>
            </w:r>
          </w:p>
        </w:tc>
        <w:tc>
          <w:tcPr>
            <w:tcW w:w="686" w:type="pct"/>
            <w:tcBorders>
              <w:top w:val="nil"/>
              <w:left w:val="nil"/>
              <w:bottom w:val="nil"/>
            </w:tcBorders>
            <w:vAlign w:val="center"/>
          </w:tcPr>
          <w:p w14:paraId="01D35664" w14:textId="77777777" w:rsidR="009B109C" w:rsidRPr="00EE7CC8" w:rsidRDefault="009B109C" w:rsidP="00E130D1">
            <w:pPr>
              <w:jc w:val="center"/>
              <w:rPr>
                <w:sz w:val="22"/>
                <w:szCs w:val="22"/>
              </w:rPr>
            </w:pPr>
            <w:r w:rsidRPr="00EE7CC8">
              <w:rPr>
                <w:sz w:val="22"/>
                <w:szCs w:val="22"/>
              </w:rPr>
              <w:t>-</w:t>
            </w:r>
          </w:p>
        </w:tc>
      </w:tr>
      <w:tr w:rsidR="009B109C" w:rsidRPr="00EE7CC8" w14:paraId="2F772281" w14:textId="77777777" w:rsidTr="0007634C">
        <w:trPr>
          <w:jc w:val="center"/>
        </w:trPr>
        <w:tc>
          <w:tcPr>
            <w:tcW w:w="1574" w:type="pct"/>
            <w:tcBorders>
              <w:top w:val="nil"/>
              <w:bottom w:val="nil"/>
              <w:right w:val="nil"/>
            </w:tcBorders>
          </w:tcPr>
          <w:p w14:paraId="2E535883" w14:textId="77777777" w:rsidR="009B109C" w:rsidRPr="00EE7CC8" w:rsidRDefault="009B109C" w:rsidP="00E130D1">
            <w:pPr>
              <w:rPr>
                <w:sz w:val="22"/>
                <w:szCs w:val="22"/>
              </w:rPr>
            </w:pPr>
            <w:r w:rsidRPr="00EE7CC8">
              <w:rPr>
                <w:sz w:val="22"/>
                <w:szCs w:val="22"/>
                <w:shd w:val="clear" w:color="auto" w:fill="FFFFFF"/>
              </w:rPr>
              <w:t>Angry frequent</w:t>
            </w:r>
          </w:p>
        </w:tc>
        <w:tc>
          <w:tcPr>
            <w:tcW w:w="685" w:type="pct"/>
            <w:tcBorders>
              <w:top w:val="nil"/>
              <w:left w:val="nil"/>
              <w:bottom w:val="nil"/>
              <w:right w:val="nil"/>
            </w:tcBorders>
            <w:vAlign w:val="center"/>
          </w:tcPr>
          <w:p w14:paraId="4E77754D" w14:textId="77777777" w:rsidR="009B109C" w:rsidRPr="00EE7CC8" w:rsidRDefault="009B109C" w:rsidP="00E130D1">
            <w:pPr>
              <w:jc w:val="right"/>
              <w:rPr>
                <w:sz w:val="22"/>
                <w:szCs w:val="22"/>
              </w:rPr>
            </w:pPr>
            <w:r w:rsidRPr="00EE7CC8">
              <w:rPr>
                <w:sz w:val="22"/>
                <w:szCs w:val="22"/>
                <w:shd w:val="clear" w:color="auto" w:fill="FFFFFF"/>
              </w:rPr>
              <w:t>0.93</w:t>
            </w:r>
          </w:p>
        </w:tc>
        <w:tc>
          <w:tcPr>
            <w:tcW w:w="685" w:type="pct"/>
            <w:tcBorders>
              <w:top w:val="nil"/>
              <w:left w:val="nil"/>
              <w:bottom w:val="nil"/>
              <w:right w:val="nil"/>
            </w:tcBorders>
            <w:vAlign w:val="center"/>
          </w:tcPr>
          <w:p w14:paraId="57DBF166" w14:textId="77777777" w:rsidR="009B109C" w:rsidRPr="00EE7CC8" w:rsidRDefault="009B109C" w:rsidP="00E130D1">
            <w:pPr>
              <w:jc w:val="right"/>
              <w:rPr>
                <w:sz w:val="22"/>
                <w:szCs w:val="22"/>
              </w:rPr>
            </w:pPr>
            <w:r w:rsidRPr="00EE7CC8">
              <w:rPr>
                <w:sz w:val="22"/>
                <w:szCs w:val="22"/>
                <w:shd w:val="clear" w:color="auto" w:fill="FFFFFF"/>
              </w:rPr>
              <w:t>0.86</w:t>
            </w:r>
          </w:p>
        </w:tc>
        <w:tc>
          <w:tcPr>
            <w:tcW w:w="685" w:type="pct"/>
            <w:tcBorders>
              <w:top w:val="nil"/>
              <w:left w:val="nil"/>
              <w:bottom w:val="nil"/>
              <w:right w:val="nil"/>
            </w:tcBorders>
            <w:vAlign w:val="center"/>
          </w:tcPr>
          <w:p w14:paraId="2BC8BB82" w14:textId="77777777" w:rsidR="009B109C" w:rsidRPr="00EE7CC8" w:rsidRDefault="009B109C" w:rsidP="00E130D1">
            <w:pPr>
              <w:jc w:val="right"/>
              <w:rPr>
                <w:sz w:val="22"/>
                <w:szCs w:val="22"/>
              </w:rPr>
            </w:pPr>
            <w:r w:rsidRPr="00EE7CC8">
              <w:rPr>
                <w:sz w:val="22"/>
                <w:szCs w:val="22"/>
                <w:shd w:val="clear" w:color="auto" w:fill="FFFFFF"/>
              </w:rPr>
              <w:t>0.93</w:t>
            </w:r>
          </w:p>
        </w:tc>
        <w:tc>
          <w:tcPr>
            <w:tcW w:w="685" w:type="pct"/>
            <w:tcBorders>
              <w:top w:val="nil"/>
              <w:left w:val="nil"/>
              <w:bottom w:val="nil"/>
              <w:right w:val="nil"/>
            </w:tcBorders>
            <w:vAlign w:val="center"/>
          </w:tcPr>
          <w:p w14:paraId="4ECE41D1" w14:textId="77777777" w:rsidR="009B109C" w:rsidRPr="00EE7CC8" w:rsidRDefault="009B109C" w:rsidP="00E130D1">
            <w:pPr>
              <w:jc w:val="center"/>
              <w:rPr>
                <w:sz w:val="22"/>
                <w:szCs w:val="22"/>
              </w:rPr>
            </w:pPr>
            <w:r w:rsidRPr="00EE7CC8">
              <w:rPr>
                <w:sz w:val="22"/>
                <w:szCs w:val="22"/>
              </w:rPr>
              <w:t>-</w:t>
            </w:r>
          </w:p>
        </w:tc>
        <w:tc>
          <w:tcPr>
            <w:tcW w:w="686" w:type="pct"/>
            <w:tcBorders>
              <w:top w:val="nil"/>
              <w:left w:val="nil"/>
              <w:bottom w:val="nil"/>
            </w:tcBorders>
            <w:vAlign w:val="center"/>
          </w:tcPr>
          <w:p w14:paraId="59BFD5BA" w14:textId="77777777" w:rsidR="009B109C" w:rsidRPr="00EE7CC8" w:rsidRDefault="009B109C" w:rsidP="00E130D1">
            <w:pPr>
              <w:jc w:val="center"/>
              <w:rPr>
                <w:sz w:val="22"/>
                <w:szCs w:val="22"/>
              </w:rPr>
            </w:pPr>
            <w:r w:rsidRPr="00EE7CC8">
              <w:rPr>
                <w:sz w:val="22"/>
                <w:szCs w:val="22"/>
              </w:rPr>
              <w:t>-</w:t>
            </w:r>
          </w:p>
        </w:tc>
      </w:tr>
      <w:tr w:rsidR="009B109C" w:rsidRPr="00EE7CC8" w14:paraId="2FFE7288" w14:textId="77777777" w:rsidTr="0007634C">
        <w:trPr>
          <w:jc w:val="center"/>
        </w:trPr>
        <w:tc>
          <w:tcPr>
            <w:tcW w:w="1574" w:type="pct"/>
            <w:tcBorders>
              <w:top w:val="nil"/>
              <w:bottom w:val="single" w:sz="4" w:space="0" w:color="auto"/>
              <w:right w:val="nil"/>
            </w:tcBorders>
          </w:tcPr>
          <w:p w14:paraId="087371DA" w14:textId="77777777" w:rsidR="009B109C" w:rsidRPr="00EE7CC8" w:rsidRDefault="009B109C" w:rsidP="00E130D1">
            <w:pPr>
              <w:rPr>
                <w:sz w:val="22"/>
                <w:szCs w:val="22"/>
              </w:rPr>
            </w:pPr>
            <w:r w:rsidRPr="00EE7CC8">
              <w:rPr>
                <w:sz w:val="22"/>
                <w:szCs w:val="22"/>
                <w:shd w:val="clear" w:color="auto" w:fill="FFFFFF"/>
              </w:rPr>
              <w:t>Loses temper easily</w:t>
            </w:r>
          </w:p>
        </w:tc>
        <w:tc>
          <w:tcPr>
            <w:tcW w:w="685" w:type="pct"/>
            <w:tcBorders>
              <w:top w:val="nil"/>
              <w:left w:val="nil"/>
              <w:bottom w:val="single" w:sz="4" w:space="0" w:color="auto"/>
              <w:right w:val="nil"/>
            </w:tcBorders>
            <w:vAlign w:val="center"/>
          </w:tcPr>
          <w:p w14:paraId="4FE37A82" w14:textId="77777777" w:rsidR="009B109C" w:rsidRPr="00EE7CC8" w:rsidRDefault="009B109C" w:rsidP="00E130D1">
            <w:pPr>
              <w:jc w:val="right"/>
              <w:rPr>
                <w:sz w:val="22"/>
                <w:szCs w:val="22"/>
              </w:rPr>
            </w:pPr>
            <w:r w:rsidRPr="00EE7CC8">
              <w:rPr>
                <w:sz w:val="22"/>
                <w:szCs w:val="22"/>
                <w:shd w:val="clear" w:color="auto" w:fill="FFFFFF"/>
              </w:rPr>
              <w:t>0.95</w:t>
            </w:r>
          </w:p>
        </w:tc>
        <w:tc>
          <w:tcPr>
            <w:tcW w:w="685" w:type="pct"/>
            <w:tcBorders>
              <w:top w:val="nil"/>
              <w:left w:val="nil"/>
              <w:bottom w:val="single" w:sz="4" w:space="0" w:color="auto"/>
              <w:right w:val="nil"/>
            </w:tcBorders>
            <w:vAlign w:val="center"/>
          </w:tcPr>
          <w:p w14:paraId="64DF9D8C" w14:textId="77777777" w:rsidR="009B109C" w:rsidRPr="00EE7CC8" w:rsidRDefault="009B109C" w:rsidP="00E130D1">
            <w:pPr>
              <w:jc w:val="right"/>
              <w:rPr>
                <w:sz w:val="22"/>
                <w:szCs w:val="22"/>
              </w:rPr>
            </w:pPr>
            <w:r w:rsidRPr="00EE7CC8">
              <w:rPr>
                <w:sz w:val="22"/>
                <w:szCs w:val="22"/>
                <w:shd w:val="clear" w:color="auto" w:fill="FFFFFF"/>
              </w:rPr>
              <w:t>0.88</w:t>
            </w:r>
          </w:p>
        </w:tc>
        <w:tc>
          <w:tcPr>
            <w:tcW w:w="685" w:type="pct"/>
            <w:tcBorders>
              <w:top w:val="nil"/>
              <w:left w:val="nil"/>
              <w:bottom w:val="single" w:sz="4" w:space="0" w:color="auto"/>
              <w:right w:val="nil"/>
            </w:tcBorders>
            <w:vAlign w:val="center"/>
          </w:tcPr>
          <w:p w14:paraId="71ABF945" w14:textId="77777777" w:rsidR="009B109C" w:rsidRPr="00EE7CC8" w:rsidRDefault="009B109C" w:rsidP="00E130D1">
            <w:pPr>
              <w:jc w:val="right"/>
              <w:rPr>
                <w:sz w:val="22"/>
                <w:szCs w:val="22"/>
              </w:rPr>
            </w:pPr>
            <w:r w:rsidRPr="00EE7CC8">
              <w:rPr>
                <w:sz w:val="22"/>
                <w:szCs w:val="22"/>
                <w:shd w:val="clear" w:color="auto" w:fill="FFFFFF"/>
              </w:rPr>
              <w:t>0.95</w:t>
            </w:r>
          </w:p>
        </w:tc>
        <w:tc>
          <w:tcPr>
            <w:tcW w:w="685" w:type="pct"/>
            <w:tcBorders>
              <w:top w:val="nil"/>
              <w:left w:val="nil"/>
              <w:bottom w:val="single" w:sz="4" w:space="0" w:color="auto"/>
              <w:right w:val="nil"/>
            </w:tcBorders>
            <w:vAlign w:val="center"/>
          </w:tcPr>
          <w:p w14:paraId="6D86BE1B" w14:textId="77777777" w:rsidR="009B109C" w:rsidRPr="00EE7CC8" w:rsidRDefault="009B109C" w:rsidP="00E130D1">
            <w:pPr>
              <w:jc w:val="center"/>
              <w:rPr>
                <w:sz w:val="22"/>
                <w:szCs w:val="22"/>
              </w:rPr>
            </w:pPr>
            <w:r w:rsidRPr="00EE7CC8">
              <w:rPr>
                <w:sz w:val="22"/>
                <w:szCs w:val="22"/>
              </w:rPr>
              <w:t>-</w:t>
            </w:r>
          </w:p>
        </w:tc>
        <w:tc>
          <w:tcPr>
            <w:tcW w:w="686" w:type="pct"/>
            <w:tcBorders>
              <w:top w:val="nil"/>
              <w:left w:val="nil"/>
              <w:bottom w:val="single" w:sz="4" w:space="0" w:color="auto"/>
            </w:tcBorders>
            <w:vAlign w:val="center"/>
          </w:tcPr>
          <w:p w14:paraId="6537FD54" w14:textId="77777777" w:rsidR="009B109C" w:rsidRPr="00EE7CC8" w:rsidRDefault="009B109C" w:rsidP="00E130D1">
            <w:pPr>
              <w:jc w:val="center"/>
              <w:rPr>
                <w:sz w:val="22"/>
                <w:szCs w:val="22"/>
              </w:rPr>
            </w:pPr>
            <w:r w:rsidRPr="00EE7CC8">
              <w:rPr>
                <w:sz w:val="22"/>
                <w:szCs w:val="22"/>
              </w:rPr>
              <w:t>-</w:t>
            </w:r>
          </w:p>
        </w:tc>
      </w:tr>
      <w:tr w:rsidR="009B109C" w:rsidRPr="00EE7CC8" w14:paraId="704A24B4" w14:textId="77777777" w:rsidTr="0007634C">
        <w:trPr>
          <w:jc w:val="center"/>
        </w:trPr>
        <w:tc>
          <w:tcPr>
            <w:tcW w:w="1574" w:type="pct"/>
            <w:tcBorders>
              <w:bottom w:val="single" w:sz="4" w:space="0" w:color="auto"/>
              <w:right w:val="nil"/>
            </w:tcBorders>
          </w:tcPr>
          <w:p w14:paraId="6FB2162F" w14:textId="77777777" w:rsidR="009B109C" w:rsidRPr="00EE7CC8" w:rsidRDefault="009B109C" w:rsidP="00E130D1">
            <w:pPr>
              <w:rPr>
                <w:i/>
                <w:iCs/>
                <w:sz w:val="22"/>
                <w:szCs w:val="22"/>
                <w:shd w:val="clear" w:color="auto" w:fill="FFFFFF"/>
              </w:rPr>
            </w:pPr>
            <w:r w:rsidRPr="00EE7CC8">
              <w:rPr>
                <w:b/>
                <w:sz w:val="22"/>
                <w:szCs w:val="22"/>
              </w:rPr>
              <w:t>Youth report</w:t>
            </w:r>
          </w:p>
        </w:tc>
        <w:tc>
          <w:tcPr>
            <w:tcW w:w="685" w:type="pct"/>
            <w:tcBorders>
              <w:left w:val="nil"/>
              <w:bottom w:val="single" w:sz="4" w:space="0" w:color="auto"/>
              <w:right w:val="nil"/>
            </w:tcBorders>
            <w:vAlign w:val="center"/>
          </w:tcPr>
          <w:p w14:paraId="1E09F5F3" w14:textId="77777777" w:rsidR="009B109C" w:rsidRPr="00EE7CC8" w:rsidRDefault="009B109C" w:rsidP="00E130D1">
            <w:pPr>
              <w:jc w:val="center"/>
              <w:rPr>
                <w:sz w:val="22"/>
                <w:szCs w:val="22"/>
              </w:rPr>
            </w:pPr>
          </w:p>
        </w:tc>
        <w:tc>
          <w:tcPr>
            <w:tcW w:w="685" w:type="pct"/>
            <w:tcBorders>
              <w:left w:val="nil"/>
              <w:bottom w:val="single" w:sz="4" w:space="0" w:color="auto"/>
              <w:right w:val="nil"/>
            </w:tcBorders>
            <w:vAlign w:val="center"/>
          </w:tcPr>
          <w:p w14:paraId="7F2D1BE7" w14:textId="77777777" w:rsidR="009B109C" w:rsidRPr="00EE7CC8" w:rsidRDefault="009B109C" w:rsidP="00E130D1">
            <w:pPr>
              <w:jc w:val="center"/>
              <w:rPr>
                <w:sz w:val="22"/>
                <w:szCs w:val="22"/>
              </w:rPr>
            </w:pPr>
          </w:p>
        </w:tc>
        <w:tc>
          <w:tcPr>
            <w:tcW w:w="685" w:type="pct"/>
            <w:tcBorders>
              <w:left w:val="nil"/>
              <w:bottom w:val="single" w:sz="4" w:space="0" w:color="auto"/>
              <w:right w:val="nil"/>
            </w:tcBorders>
            <w:vAlign w:val="center"/>
          </w:tcPr>
          <w:p w14:paraId="009468B4" w14:textId="77777777" w:rsidR="009B109C" w:rsidRPr="00EE7CC8" w:rsidRDefault="009B109C" w:rsidP="00E130D1">
            <w:pPr>
              <w:jc w:val="center"/>
              <w:rPr>
                <w:sz w:val="22"/>
                <w:szCs w:val="22"/>
              </w:rPr>
            </w:pPr>
          </w:p>
        </w:tc>
        <w:tc>
          <w:tcPr>
            <w:tcW w:w="685" w:type="pct"/>
            <w:tcBorders>
              <w:left w:val="nil"/>
              <w:bottom w:val="single" w:sz="4" w:space="0" w:color="auto"/>
              <w:right w:val="nil"/>
            </w:tcBorders>
            <w:vAlign w:val="center"/>
          </w:tcPr>
          <w:p w14:paraId="58817790" w14:textId="77777777" w:rsidR="009B109C" w:rsidRPr="00EE7CC8" w:rsidRDefault="009B109C" w:rsidP="00E130D1">
            <w:pPr>
              <w:jc w:val="center"/>
              <w:rPr>
                <w:sz w:val="22"/>
                <w:szCs w:val="22"/>
              </w:rPr>
            </w:pPr>
          </w:p>
        </w:tc>
        <w:tc>
          <w:tcPr>
            <w:tcW w:w="686" w:type="pct"/>
            <w:tcBorders>
              <w:left w:val="nil"/>
              <w:bottom w:val="single" w:sz="4" w:space="0" w:color="auto"/>
            </w:tcBorders>
            <w:vAlign w:val="center"/>
          </w:tcPr>
          <w:p w14:paraId="79D4B5AA" w14:textId="77777777" w:rsidR="009B109C" w:rsidRPr="00EE7CC8" w:rsidRDefault="009B109C" w:rsidP="00E130D1">
            <w:pPr>
              <w:jc w:val="center"/>
              <w:rPr>
                <w:sz w:val="22"/>
                <w:szCs w:val="22"/>
              </w:rPr>
            </w:pPr>
          </w:p>
        </w:tc>
      </w:tr>
      <w:tr w:rsidR="009B109C" w:rsidRPr="00EE7CC8" w14:paraId="029912B8" w14:textId="77777777" w:rsidTr="0007634C">
        <w:trPr>
          <w:jc w:val="center"/>
        </w:trPr>
        <w:tc>
          <w:tcPr>
            <w:tcW w:w="1574" w:type="pct"/>
            <w:tcBorders>
              <w:bottom w:val="single" w:sz="4" w:space="0" w:color="auto"/>
              <w:right w:val="nil"/>
            </w:tcBorders>
          </w:tcPr>
          <w:p w14:paraId="676F0799" w14:textId="77777777" w:rsidR="009B109C" w:rsidRPr="00EE7CC8" w:rsidRDefault="009B109C" w:rsidP="00E130D1">
            <w:pPr>
              <w:rPr>
                <w:i/>
                <w:iCs/>
                <w:sz w:val="22"/>
                <w:szCs w:val="22"/>
                <w:shd w:val="clear" w:color="auto" w:fill="FFFFFF"/>
              </w:rPr>
            </w:pPr>
            <w:r w:rsidRPr="00EE7CC8">
              <w:rPr>
                <w:b/>
                <w:sz w:val="22"/>
                <w:szCs w:val="22"/>
              </w:rPr>
              <w:t>Item</w:t>
            </w:r>
          </w:p>
        </w:tc>
        <w:tc>
          <w:tcPr>
            <w:tcW w:w="685" w:type="pct"/>
            <w:tcBorders>
              <w:left w:val="nil"/>
              <w:bottom w:val="single" w:sz="4" w:space="0" w:color="auto"/>
              <w:right w:val="nil"/>
            </w:tcBorders>
            <w:vAlign w:val="center"/>
          </w:tcPr>
          <w:p w14:paraId="29835C50" w14:textId="77777777" w:rsidR="009B109C" w:rsidRPr="00EE7CC8" w:rsidRDefault="009B109C" w:rsidP="00E130D1">
            <w:pPr>
              <w:jc w:val="center"/>
              <w:rPr>
                <w:sz w:val="22"/>
                <w:szCs w:val="22"/>
              </w:rPr>
            </w:pPr>
            <w:r w:rsidRPr="00EE7CC8">
              <w:rPr>
                <w:b/>
                <w:bCs/>
                <w:sz w:val="22"/>
                <w:szCs w:val="22"/>
                <w:shd w:val="clear" w:color="auto" w:fill="FFFFFF"/>
              </w:rPr>
              <w:t>Japan</w:t>
            </w:r>
          </w:p>
        </w:tc>
        <w:tc>
          <w:tcPr>
            <w:tcW w:w="685" w:type="pct"/>
            <w:tcBorders>
              <w:left w:val="nil"/>
              <w:bottom w:val="single" w:sz="4" w:space="0" w:color="auto"/>
              <w:right w:val="nil"/>
            </w:tcBorders>
            <w:vAlign w:val="center"/>
          </w:tcPr>
          <w:p w14:paraId="2F7939D6" w14:textId="77777777" w:rsidR="009B109C" w:rsidRPr="00EE7CC8" w:rsidRDefault="009B109C" w:rsidP="00E130D1">
            <w:pPr>
              <w:jc w:val="center"/>
              <w:rPr>
                <w:sz w:val="22"/>
                <w:szCs w:val="22"/>
              </w:rPr>
            </w:pPr>
            <w:r w:rsidRPr="00EE7CC8">
              <w:rPr>
                <w:b/>
                <w:bCs/>
                <w:sz w:val="22"/>
                <w:szCs w:val="22"/>
                <w:shd w:val="clear" w:color="auto" w:fill="FFFFFF"/>
              </w:rPr>
              <w:t>China</w:t>
            </w:r>
          </w:p>
        </w:tc>
        <w:tc>
          <w:tcPr>
            <w:tcW w:w="685" w:type="pct"/>
            <w:tcBorders>
              <w:left w:val="nil"/>
              <w:bottom w:val="single" w:sz="4" w:space="0" w:color="auto"/>
              <w:right w:val="nil"/>
            </w:tcBorders>
            <w:vAlign w:val="center"/>
          </w:tcPr>
          <w:p w14:paraId="58AC993D" w14:textId="77777777" w:rsidR="009B109C" w:rsidRPr="00EE7CC8" w:rsidRDefault="009B109C" w:rsidP="00E130D1">
            <w:pPr>
              <w:jc w:val="center"/>
              <w:rPr>
                <w:sz w:val="22"/>
                <w:szCs w:val="22"/>
              </w:rPr>
            </w:pPr>
            <w:r w:rsidRPr="00EE7CC8">
              <w:rPr>
                <w:b/>
                <w:bCs/>
                <w:sz w:val="22"/>
                <w:szCs w:val="22"/>
                <w:shd w:val="clear" w:color="auto" w:fill="FFFFFF"/>
              </w:rPr>
              <w:t>US</w:t>
            </w:r>
          </w:p>
        </w:tc>
        <w:tc>
          <w:tcPr>
            <w:tcW w:w="685" w:type="pct"/>
            <w:tcBorders>
              <w:left w:val="nil"/>
              <w:bottom w:val="single" w:sz="4" w:space="0" w:color="auto"/>
              <w:right w:val="nil"/>
            </w:tcBorders>
            <w:vAlign w:val="center"/>
          </w:tcPr>
          <w:p w14:paraId="707F9279" w14:textId="77777777" w:rsidR="009B109C" w:rsidRPr="00EE7CC8" w:rsidRDefault="009B109C" w:rsidP="00E130D1">
            <w:pPr>
              <w:jc w:val="center"/>
              <w:rPr>
                <w:sz w:val="22"/>
                <w:szCs w:val="22"/>
              </w:rPr>
            </w:pPr>
            <w:r w:rsidRPr="00EE7CC8">
              <w:rPr>
                <w:b/>
                <w:bCs/>
                <w:sz w:val="22"/>
                <w:szCs w:val="22"/>
                <w:shd w:val="clear" w:color="auto" w:fill="FFFFFF"/>
              </w:rPr>
              <w:t>Brazil</w:t>
            </w:r>
          </w:p>
        </w:tc>
        <w:tc>
          <w:tcPr>
            <w:tcW w:w="686" w:type="pct"/>
            <w:tcBorders>
              <w:left w:val="nil"/>
              <w:bottom w:val="single" w:sz="4" w:space="0" w:color="auto"/>
            </w:tcBorders>
            <w:vAlign w:val="center"/>
          </w:tcPr>
          <w:p w14:paraId="69231993" w14:textId="77777777" w:rsidR="009B109C" w:rsidRPr="00EE7CC8" w:rsidRDefault="009B109C" w:rsidP="00E130D1">
            <w:pPr>
              <w:jc w:val="center"/>
              <w:rPr>
                <w:sz w:val="22"/>
                <w:szCs w:val="22"/>
              </w:rPr>
            </w:pPr>
            <w:r w:rsidRPr="00EE7CC8">
              <w:rPr>
                <w:b/>
                <w:bCs/>
                <w:sz w:val="22"/>
                <w:szCs w:val="22"/>
                <w:shd w:val="clear" w:color="auto" w:fill="FFFFFF"/>
              </w:rPr>
              <w:t>Spain</w:t>
            </w:r>
          </w:p>
        </w:tc>
      </w:tr>
      <w:tr w:rsidR="009B109C" w:rsidRPr="00EE7CC8" w14:paraId="32ECC7D5" w14:textId="77777777" w:rsidTr="0007634C">
        <w:trPr>
          <w:jc w:val="center"/>
        </w:trPr>
        <w:tc>
          <w:tcPr>
            <w:tcW w:w="1574" w:type="pct"/>
            <w:tcBorders>
              <w:bottom w:val="nil"/>
              <w:right w:val="nil"/>
            </w:tcBorders>
          </w:tcPr>
          <w:p w14:paraId="456FC90D" w14:textId="77777777" w:rsidR="009B109C" w:rsidRPr="00EE7CC8" w:rsidRDefault="009B109C" w:rsidP="00E130D1">
            <w:pPr>
              <w:rPr>
                <w:i/>
                <w:iCs/>
                <w:sz w:val="22"/>
                <w:szCs w:val="22"/>
                <w:shd w:val="clear" w:color="auto" w:fill="FFFFFF"/>
              </w:rPr>
            </w:pPr>
            <w:r w:rsidRPr="00EE7CC8">
              <w:rPr>
                <w:sz w:val="22"/>
                <w:szCs w:val="22"/>
                <w:shd w:val="clear" w:color="auto" w:fill="FFFFFF"/>
              </w:rPr>
              <w:t>Annoyed</w:t>
            </w:r>
          </w:p>
        </w:tc>
        <w:tc>
          <w:tcPr>
            <w:tcW w:w="685" w:type="pct"/>
            <w:tcBorders>
              <w:left w:val="nil"/>
              <w:bottom w:val="nil"/>
              <w:right w:val="nil"/>
            </w:tcBorders>
            <w:vAlign w:val="center"/>
          </w:tcPr>
          <w:p w14:paraId="6C80D801" w14:textId="77777777" w:rsidR="009B109C" w:rsidRPr="00EE7CC8" w:rsidRDefault="009B109C" w:rsidP="00E130D1">
            <w:pPr>
              <w:jc w:val="center"/>
              <w:rPr>
                <w:sz w:val="22"/>
                <w:szCs w:val="22"/>
              </w:rPr>
            </w:pPr>
            <w:r w:rsidRPr="00EE7CC8">
              <w:rPr>
                <w:sz w:val="22"/>
                <w:szCs w:val="22"/>
              </w:rPr>
              <w:t>-</w:t>
            </w:r>
          </w:p>
        </w:tc>
        <w:tc>
          <w:tcPr>
            <w:tcW w:w="685" w:type="pct"/>
            <w:tcBorders>
              <w:left w:val="nil"/>
              <w:bottom w:val="nil"/>
              <w:right w:val="nil"/>
            </w:tcBorders>
            <w:vAlign w:val="center"/>
          </w:tcPr>
          <w:p w14:paraId="25EB9EDE" w14:textId="77777777" w:rsidR="009B109C" w:rsidRPr="00EE7CC8" w:rsidRDefault="009B109C" w:rsidP="00E130D1">
            <w:pPr>
              <w:jc w:val="right"/>
              <w:rPr>
                <w:sz w:val="22"/>
                <w:szCs w:val="22"/>
              </w:rPr>
            </w:pPr>
            <w:r w:rsidRPr="00EE7CC8">
              <w:rPr>
                <w:sz w:val="22"/>
                <w:szCs w:val="22"/>
                <w:shd w:val="clear" w:color="auto" w:fill="FFFFFF"/>
              </w:rPr>
              <w:t>0.78</w:t>
            </w:r>
          </w:p>
        </w:tc>
        <w:tc>
          <w:tcPr>
            <w:tcW w:w="685" w:type="pct"/>
            <w:tcBorders>
              <w:left w:val="nil"/>
              <w:bottom w:val="nil"/>
              <w:right w:val="nil"/>
            </w:tcBorders>
            <w:vAlign w:val="center"/>
          </w:tcPr>
          <w:p w14:paraId="5B3A71E7" w14:textId="77777777" w:rsidR="009B109C" w:rsidRPr="00EE7CC8" w:rsidRDefault="009B109C" w:rsidP="00E130D1">
            <w:pPr>
              <w:jc w:val="right"/>
              <w:rPr>
                <w:sz w:val="22"/>
                <w:szCs w:val="22"/>
              </w:rPr>
            </w:pPr>
            <w:r w:rsidRPr="00EE7CC8">
              <w:rPr>
                <w:sz w:val="22"/>
                <w:szCs w:val="22"/>
                <w:shd w:val="clear" w:color="auto" w:fill="FFFFFF"/>
              </w:rPr>
              <w:t>0.68</w:t>
            </w:r>
          </w:p>
        </w:tc>
        <w:tc>
          <w:tcPr>
            <w:tcW w:w="685" w:type="pct"/>
            <w:tcBorders>
              <w:left w:val="nil"/>
              <w:bottom w:val="nil"/>
              <w:right w:val="nil"/>
            </w:tcBorders>
            <w:vAlign w:val="center"/>
          </w:tcPr>
          <w:p w14:paraId="6C30A127" w14:textId="77777777" w:rsidR="009B109C" w:rsidRPr="00EE7CC8" w:rsidRDefault="009B109C" w:rsidP="00E130D1">
            <w:pPr>
              <w:jc w:val="right"/>
              <w:rPr>
                <w:sz w:val="22"/>
                <w:szCs w:val="22"/>
              </w:rPr>
            </w:pPr>
            <w:r w:rsidRPr="00EE7CC8">
              <w:rPr>
                <w:sz w:val="22"/>
                <w:szCs w:val="22"/>
                <w:shd w:val="clear" w:color="auto" w:fill="FFFFFF"/>
              </w:rPr>
              <w:t>0.69</w:t>
            </w:r>
          </w:p>
        </w:tc>
        <w:tc>
          <w:tcPr>
            <w:tcW w:w="686" w:type="pct"/>
            <w:tcBorders>
              <w:left w:val="nil"/>
              <w:bottom w:val="nil"/>
            </w:tcBorders>
            <w:vAlign w:val="center"/>
          </w:tcPr>
          <w:p w14:paraId="20A34723" w14:textId="77777777" w:rsidR="009B109C" w:rsidRPr="00EE7CC8" w:rsidRDefault="009B109C" w:rsidP="00E130D1">
            <w:pPr>
              <w:jc w:val="right"/>
              <w:rPr>
                <w:sz w:val="22"/>
                <w:szCs w:val="22"/>
              </w:rPr>
            </w:pPr>
            <w:r w:rsidRPr="00EE7CC8">
              <w:rPr>
                <w:sz w:val="22"/>
                <w:szCs w:val="22"/>
                <w:shd w:val="clear" w:color="auto" w:fill="FFFFFF"/>
              </w:rPr>
              <w:t>0.66</w:t>
            </w:r>
          </w:p>
        </w:tc>
      </w:tr>
      <w:tr w:rsidR="009B109C" w:rsidRPr="00EE7CC8" w14:paraId="29EFBC82" w14:textId="77777777" w:rsidTr="0007634C">
        <w:trPr>
          <w:jc w:val="center"/>
        </w:trPr>
        <w:tc>
          <w:tcPr>
            <w:tcW w:w="1574" w:type="pct"/>
            <w:tcBorders>
              <w:top w:val="nil"/>
              <w:bottom w:val="nil"/>
              <w:right w:val="nil"/>
            </w:tcBorders>
          </w:tcPr>
          <w:p w14:paraId="40BB001C" w14:textId="77777777" w:rsidR="009B109C" w:rsidRPr="00EE7CC8" w:rsidRDefault="009B109C" w:rsidP="00E130D1">
            <w:pPr>
              <w:rPr>
                <w:i/>
                <w:iCs/>
                <w:sz w:val="22"/>
                <w:szCs w:val="22"/>
                <w:shd w:val="clear" w:color="auto" w:fill="FFFFFF"/>
              </w:rPr>
            </w:pPr>
            <w:r w:rsidRPr="00EE7CC8">
              <w:rPr>
                <w:sz w:val="22"/>
                <w:szCs w:val="22"/>
                <w:shd w:val="clear" w:color="auto" w:fill="FFFFFF"/>
              </w:rPr>
              <w:t>Often loses temper</w:t>
            </w:r>
          </w:p>
        </w:tc>
        <w:tc>
          <w:tcPr>
            <w:tcW w:w="685" w:type="pct"/>
            <w:tcBorders>
              <w:top w:val="nil"/>
              <w:left w:val="nil"/>
              <w:bottom w:val="nil"/>
              <w:right w:val="nil"/>
            </w:tcBorders>
            <w:vAlign w:val="center"/>
          </w:tcPr>
          <w:p w14:paraId="610001D2" w14:textId="77777777" w:rsidR="009B109C" w:rsidRPr="00EE7CC8" w:rsidRDefault="009B109C" w:rsidP="00E130D1">
            <w:pPr>
              <w:jc w:val="center"/>
              <w:rPr>
                <w:sz w:val="22"/>
                <w:szCs w:val="22"/>
              </w:rPr>
            </w:pPr>
            <w:r w:rsidRPr="00EE7CC8">
              <w:rPr>
                <w:sz w:val="22"/>
                <w:szCs w:val="22"/>
              </w:rPr>
              <w:t>-</w:t>
            </w:r>
          </w:p>
        </w:tc>
        <w:tc>
          <w:tcPr>
            <w:tcW w:w="685" w:type="pct"/>
            <w:tcBorders>
              <w:top w:val="nil"/>
              <w:left w:val="nil"/>
              <w:bottom w:val="nil"/>
              <w:right w:val="nil"/>
            </w:tcBorders>
            <w:vAlign w:val="center"/>
          </w:tcPr>
          <w:p w14:paraId="5852B259" w14:textId="77777777" w:rsidR="009B109C" w:rsidRPr="00EE7CC8" w:rsidRDefault="009B109C" w:rsidP="00E130D1">
            <w:pPr>
              <w:jc w:val="right"/>
              <w:rPr>
                <w:sz w:val="22"/>
                <w:szCs w:val="22"/>
              </w:rPr>
            </w:pPr>
            <w:r w:rsidRPr="00EE7CC8">
              <w:rPr>
                <w:sz w:val="22"/>
                <w:szCs w:val="22"/>
                <w:shd w:val="clear" w:color="auto" w:fill="FFFFFF"/>
              </w:rPr>
              <w:t>0.89</w:t>
            </w:r>
          </w:p>
        </w:tc>
        <w:tc>
          <w:tcPr>
            <w:tcW w:w="685" w:type="pct"/>
            <w:tcBorders>
              <w:top w:val="nil"/>
              <w:left w:val="nil"/>
              <w:bottom w:val="nil"/>
              <w:right w:val="nil"/>
            </w:tcBorders>
            <w:vAlign w:val="center"/>
          </w:tcPr>
          <w:p w14:paraId="7790F119" w14:textId="77777777" w:rsidR="009B109C" w:rsidRPr="00EE7CC8" w:rsidRDefault="009B109C" w:rsidP="00E130D1">
            <w:pPr>
              <w:jc w:val="right"/>
              <w:rPr>
                <w:sz w:val="22"/>
                <w:szCs w:val="22"/>
              </w:rPr>
            </w:pPr>
            <w:r w:rsidRPr="00EE7CC8">
              <w:rPr>
                <w:sz w:val="22"/>
                <w:szCs w:val="22"/>
                <w:shd w:val="clear" w:color="auto" w:fill="FFFFFF"/>
              </w:rPr>
              <w:t>0.89</w:t>
            </w:r>
          </w:p>
        </w:tc>
        <w:tc>
          <w:tcPr>
            <w:tcW w:w="685" w:type="pct"/>
            <w:tcBorders>
              <w:top w:val="nil"/>
              <w:left w:val="nil"/>
              <w:bottom w:val="nil"/>
              <w:right w:val="nil"/>
            </w:tcBorders>
            <w:vAlign w:val="center"/>
          </w:tcPr>
          <w:p w14:paraId="0E7E3416" w14:textId="77777777" w:rsidR="009B109C" w:rsidRPr="00EE7CC8" w:rsidRDefault="009B109C" w:rsidP="00E130D1">
            <w:pPr>
              <w:jc w:val="right"/>
              <w:rPr>
                <w:sz w:val="22"/>
                <w:szCs w:val="22"/>
              </w:rPr>
            </w:pPr>
            <w:r w:rsidRPr="00EE7CC8">
              <w:rPr>
                <w:sz w:val="22"/>
                <w:szCs w:val="22"/>
                <w:shd w:val="clear" w:color="auto" w:fill="FFFFFF"/>
              </w:rPr>
              <w:t>0.86</w:t>
            </w:r>
          </w:p>
        </w:tc>
        <w:tc>
          <w:tcPr>
            <w:tcW w:w="686" w:type="pct"/>
            <w:tcBorders>
              <w:top w:val="nil"/>
              <w:left w:val="nil"/>
              <w:bottom w:val="nil"/>
            </w:tcBorders>
            <w:vAlign w:val="center"/>
          </w:tcPr>
          <w:p w14:paraId="1AA0E7F7" w14:textId="77777777" w:rsidR="009B109C" w:rsidRPr="00EE7CC8" w:rsidRDefault="009B109C" w:rsidP="00E130D1">
            <w:pPr>
              <w:jc w:val="right"/>
              <w:rPr>
                <w:sz w:val="22"/>
                <w:szCs w:val="22"/>
              </w:rPr>
            </w:pPr>
            <w:r w:rsidRPr="00EE7CC8">
              <w:rPr>
                <w:sz w:val="22"/>
                <w:szCs w:val="22"/>
                <w:shd w:val="clear" w:color="auto" w:fill="FFFFFF"/>
              </w:rPr>
              <w:t>0.81</w:t>
            </w:r>
          </w:p>
        </w:tc>
      </w:tr>
      <w:tr w:rsidR="009B109C" w:rsidRPr="00EE7CC8" w14:paraId="42F13EF7" w14:textId="77777777" w:rsidTr="0007634C">
        <w:trPr>
          <w:jc w:val="center"/>
        </w:trPr>
        <w:tc>
          <w:tcPr>
            <w:tcW w:w="1574" w:type="pct"/>
            <w:tcBorders>
              <w:top w:val="nil"/>
              <w:bottom w:val="nil"/>
              <w:right w:val="nil"/>
            </w:tcBorders>
          </w:tcPr>
          <w:p w14:paraId="6D1F8F88" w14:textId="77777777" w:rsidR="009B109C" w:rsidRPr="00EE7CC8" w:rsidRDefault="009B109C" w:rsidP="00E130D1">
            <w:pPr>
              <w:rPr>
                <w:i/>
                <w:iCs/>
                <w:sz w:val="22"/>
                <w:szCs w:val="22"/>
                <w:shd w:val="clear" w:color="auto" w:fill="FFFFFF"/>
              </w:rPr>
            </w:pPr>
            <w:r w:rsidRPr="00EE7CC8">
              <w:rPr>
                <w:sz w:val="22"/>
                <w:szCs w:val="22"/>
                <w:shd w:val="clear" w:color="auto" w:fill="FFFFFF"/>
              </w:rPr>
              <w:t>Stays angry</w:t>
            </w:r>
          </w:p>
        </w:tc>
        <w:tc>
          <w:tcPr>
            <w:tcW w:w="685" w:type="pct"/>
            <w:tcBorders>
              <w:top w:val="nil"/>
              <w:left w:val="nil"/>
              <w:bottom w:val="nil"/>
              <w:right w:val="nil"/>
            </w:tcBorders>
            <w:vAlign w:val="center"/>
          </w:tcPr>
          <w:p w14:paraId="6ED2391B" w14:textId="77777777" w:rsidR="009B109C" w:rsidRPr="00EE7CC8" w:rsidRDefault="009B109C" w:rsidP="00E130D1">
            <w:pPr>
              <w:jc w:val="center"/>
              <w:rPr>
                <w:sz w:val="22"/>
                <w:szCs w:val="22"/>
              </w:rPr>
            </w:pPr>
            <w:r w:rsidRPr="00EE7CC8">
              <w:rPr>
                <w:sz w:val="22"/>
                <w:szCs w:val="22"/>
              </w:rPr>
              <w:t>-</w:t>
            </w:r>
          </w:p>
        </w:tc>
        <w:tc>
          <w:tcPr>
            <w:tcW w:w="685" w:type="pct"/>
            <w:tcBorders>
              <w:top w:val="nil"/>
              <w:left w:val="nil"/>
              <w:bottom w:val="nil"/>
              <w:right w:val="nil"/>
            </w:tcBorders>
            <w:vAlign w:val="center"/>
          </w:tcPr>
          <w:p w14:paraId="11E5C5CF" w14:textId="77777777" w:rsidR="009B109C" w:rsidRPr="00EE7CC8" w:rsidRDefault="009B109C" w:rsidP="00E130D1">
            <w:pPr>
              <w:jc w:val="right"/>
              <w:rPr>
                <w:sz w:val="22"/>
                <w:szCs w:val="22"/>
              </w:rPr>
            </w:pPr>
            <w:r w:rsidRPr="00EE7CC8">
              <w:rPr>
                <w:sz w:val="22"/>
                <w:szCs w:val="22"/>
                <w:shd w:val="clear" w:color="auto" w:fill="FFFFFF"/>
              </w:rPr>
              <w:t>0.55</w:t>
            </w:r>
          </w:p>
        </w:tc>
        <w:tc>
          <w:tcPr>
            <w:tcW w:w="685" w:type="pct"/>
            <w:tcBorders>
              <w:top w:val="nil"/>
              <w:left w:val="nil"/>
              <w:bottom w:val="nil"/>
              <w:right w:val="nil"/>
            </w:tcBorders>
            <w:vAlign w:val="center"/>
          </w:tcPr>
          <w:p w14:paraId="36E25990" w14:textId="77777777" w:rsidR="009B109C" w:rsidRPr="00EE7CC8" w:rsidRDefault="009B109C" w:rsidP="00E130D1">
            <w:pPr>
              <w:jc w:val="right"/>
              <w:rPr>
                <w:sz w:val="22"/>
                <w:szCs w:val="22"/>
              </w:rPr>
            </w:pPr>
            <w:r w:rsidRPr="00EE7CC8">
              <w:rPr>
                <w:sz w:val="22"/>
                <w:szCs w:val="22"/>
                <w:shd w:val="clear" w:color="auto" w:fill="FFFFFF"/>
              </w:rPr>
              <w:t>0.64</w:t>
            </w:r>
          </w:p>
        </w:tc>
        <w:tc>
          <w:tcPr>
            <w:tcW w:w="685" w:type="pct"/>
            <w:tcBorders>
              <w:top w:val="nil"/>
              <w:left w:val="nil"/>
              <w:bottom w:val="nil"/>
              <w:right w:val="nil"/>
            </w:tcBorders>
            <w:vAlign w:val="center"/>
          </w:tcPr>
          <w:p w14:paraId="2492A81B" w14:textId="77777777" w:rsidR="009B109C" w:rsidRPr="00EE7CC8" w:rsidRDefault="009B109C" w:rsidP="00E130D1">
            <w:pPr>
              <w:jc w:val="right"/>
              <w:rPr>
                <w:sz w:val="22"/>
                <w:szCs w:val="22"/>
              </w:rPr>
            </w:pPr>
            <w:r w:rsidRPr="00EE7CC8">
              <w:rPr>
                <w:sz w:val="22"/>
                <w:szCs w:val="22"/>
                <w:shd w:val="clear" w:color="auto" w:fill="FFFFFF"/>
              </w:rPr>
              <w:t>0.74</w:t>
            </w:r>
          </w:p>
        </w:tc>
        <w:tc>
          <w:tcPr>
            <w:tcW w:w="686" w:type="pct"/>
            <w:tcBorders>
              <w:top w:val="nil"/>
              <w:left w:val="nil"/>
              <w:bottom w:val="nil"/>
            </w:tcBorders>
            <w:vAlign w:val="center"/>
          </w:tcPr>
          <w:p w14:paraId="2947CF87" w14:textId="77777777" w:rsidR="009B109C" w:rsidRPr="00EE7CC8" w:rsidRDefault="009B109C" w:rsidP="00E130D1">
            <w:pPr>
              <w:jc w:val="right"/>
              <w:rPr>
                <w:sz w:val="22"/>
                <w:szCs w:val="22"/>
              </w:rPr>
            </w:pPr>
            <w:r w:rsidRPr="00EE7CC8">
              <w:rPr>
                <w:sz w:val="22"/>
                <w:szCs w:val="22"/>
                <w:shd w:val="clear" w:color="auto" w:fill="FFFFFF"/>
              </w:rPr>
              <w:t>0.49</w:t>
            </w:r>
          </w:p>
        </w:tc>
      </w:tr>
      <w:tr w:rsidR="009B109C" w:rsidRPr="00EE7CC8" w14:paraId="0BA06F19" w14:textId="77777777" w:rsidTr="0007634C">
        <w:trPr>
          <w:jc w:val="center"/>
        </w:trPr>
        <w:tc>
          <w:tcPr>
            <w:tcW w:w="1574" w:type="pct"/>
            <w:tcBorders>
              <w:top w:val="nil"/>
              <w:bottom w:val="nil"/>
              <w:right w:val="nil"/>
            </w:tcBorders>
          </w:tcPr>
          <w:p w14:paraId="3C096A2A" w14:textId="77777777" w:rsidR="009B109C" w:rsidRPr="00EE7CC8" w:rsidRDefault="009B109C" w:rsidP="00E130D1">
            <w:pPr>
              <w:rPr>
                <w:i/>
                <w:iCs/>
                <w:sz w:val="22"/>
                <w:szCs w:val="22"/>
                <w:shd w:val="clear" w:color="auto" w:fill="FFFFFF"/>
              </w:rPr>
            </w:pPr>
            <w:r w:rsidRPr="00EE7CC8">
              <w:rPr>
                <w:sz w:val="22"/>
                <w:szCs w:val="22"/>
                <w:shd w:val="clear" w:color="auto" w:fill="FFFFFF"/>
              </w:rPr>
              <w:t>Angry most of time</w:t>
            </w:r>
          </w:p>
        </w:tc>
        <w:tc>
          <w:tcPr>
            <w:tcW w:w="685" w:type="pct"/>
            <w:tcBorders>
              <w:top w:val="nil"/>
              <w:left w:val="nil"/>
              <w:bottom w:val="nil"/>
              <w:right w:val="nil"/>
            </w:tcBorders>
            <w:vAlign w:val="center"/>
          </w:tcPr>
          <w:p w14:paraId="503A9E54" w14:textId="77777777" w:rsidR="009B109C" w:rsidRPr="00EE7CC8" w:rsidRDefault="009B109C" w:rsidP="00E130D1">
            <w:pPr>
              <w:jc w:val="center"/>
              <w:rPr>
                <w:sz w:val="22"/>
                <w:szCs w:val="22"/>
              </w:rPr>
            </w:pPr>
            <w:r w:rsidRPr="00EE7CC8">
              <w:rPr>
                <w:sz w:val="22"/>
                <w:szCs w:val="22"/>
              </w:rPr>
              <w:t>-</w:t>
            </w:r>
          </w:p>
        </w:tc>
        <w:tc>
          <w:tcPr>
            <w:tcW w:w="685" w:type="pct"/>
            <w:tcBorders>
              <w:top w:val="nil"/>
              <w:left w:val="nil"/>
              <w:bottom w:val="nil"/>
              <w:right w:val="nil"/>
            </w:tcBorders>
            <w:vAlign w:val="center"/>
          </w:tcPr>
          <w:p w14:paraId="73D8EAE2" w14:textId="77777777" w:rsidR="009B109C" w:rsidRPr="00EE7CC8" w:rsidRDefault="009B109C" w:rsidP="00E130D1">
            <w:pPr>
              <w:jc w:val="right"/>
              <w:rPr>
                <w:sz w:val="22"/>
                <w:szCs w:val="22"/>
              </w:rPr>
            </w:pPr>
            <w:r w:rsidRPr="00EE7CC8">
              <w:rPr>
                <w:sz w:val="22"/>
                <w:szCs w:val="22"/>
                <w:shd w:val="clear" w:color="auto" w:fill="FFFFFF"/>
              </w:rPr>
              <w:t>0.82</w:t>
            </w:r>
          </w:p>
        </w:tc>
        <w:tc>
          <w:tcPr>
            <w:tcW w:w="685" w:type="pct"/>
            <w:tcBorders>
              <w:top w:val="nil"/>
              <w:left w:val="nil"/>
              <w:bottom w:val="nil"/>
              <w:right w:val="nil"/>
            </w:tcBorders>
            <w:vAlign w:val="center"/>
          </w:tcPr>
          <w:p w14:paraId="63B7CF4B" w14:textId="77777777" w:rsidR="009B109C" w:rsidRPr="00EE7CC8" w:rsidRDefault="009B109C" w:rsidP="00E130D1">
            <w:pPr>
              <w:jc w:val="right"/>
              <w:rPr>
                <w:sz w:val="22"/>
                <w:szCs w:val="22"/>
              </w:rPr>
            </w:pPr>
            <w:r w:rsidRPr="00EE7CC8">
              <w:rPr>
                <w:sz w:val="22"/>
                <w:szCs w:val="22"/>
                <w:shd w:val="clear" w:color="auto" w:fill="FFFFFF"/>
              </w:rPr>
              <w:t>0.87</w:t>
            </w:r>
          </w:p>
        </w:tc>
        <w:tc>
          <w:tcPr>
            <w:tcW w:w="685" w:type="pct"/>
            <w:tcBorders>
              <w:top w:val="nil"/>
              <w:left w:val="nil"/>
              <w:bottom w:val="nil"/>
              <w:right w:val="nil"/>
            </w:tcBorders>
            <w:vAlign w:val="center"/>
          </w:tcPr>
          <w:p w14:paraId="1D985F5E" w14:textId="77777777" w:rsidR="009B109C" w:rsidRPr="00EE7CC8" w:rsidRDefault="009B109C" w:rsidP="00E130D1">
            <w:pPr>
              <w:jc w:val="right"/>
              <w:rPr>
                <w:sz w:val="22"/>
                <w:szCs w:val="22"/>
              </w:rPr>
            </w:pPr>
            <w:r w:rsidRPr="00EE7CC8">
              <w:rPr>
                <w:sz w:val="22"/>
                <w:szCs w:val="22"/>
                <w:shd w:val="clear" w:color="auto" w:fill="FFFFFF"/>
              </w:rPr>
              <w:t>0.74</w:t>
            </w:r>
          </w:p>
        </w:tc>
        <w:tc>
          <w:tcPr>
            <w:tcW w:w="686" w:type="pct"/>
            <w:tcBorders>
              <w:top w:val="nil"/>
              <w:left w:val="nil"/>
              <w:bottom w:val="nil"/>
            </w:tcBorders>
            <w:vAlign w:val="center"/>
          </w:tcPr>
          <w:p w14:paraId="798F5AEF" w14:textId="77777777" w:rsidR="009B109C" w:rsidRPr="00EE7CC8" w:rsidRDefault="009B109C" w:rsidP="00E130D1">
            <w:pPr>
              <w:jc w:val="right"/>
              <w:rPr>
                <w:sz w:val="22"/>
                <w:szCs w:val="22"/>
              </w:rPr>
            </w:pPr>
            <w:r w:rsidRPr="00EE7CC8">
              <w:rPr>
                <w:sz w:val="22"/>
                <w:szCs w:val="22"/>
                <w:shd w:val="clear" w:color="auto" w:fill="FFFFFF"/>
              </w:rPr>
              <w:t>0.82</w:t>
            </w:r>
          </w:p>
        </w:tc>
      </w:tr>
      <w:tr w:rsidR="009B109C" w:rsidRPr="00EE7CC8" w14:paraId="75D52896" w14:textId="77777777" w:rsidTr="0007634C">
        <w:trPr>
          <w:jc w:val="center"/>
        </w:trPr>
        <w:tc>
          <w:tcPr>
            <w:tcW w:w="1574" w:type="pct"/>
            <w:tcBorders>
              <w:top w:val="nil"/>
              <w:bottom w:val="nil"/>
              <w:right w:val="nil"/>
            </w:tcBorders>
          </w:tcPr>
          <w:p w14:paraId="24D2D7B1" w14:textId="77777777" w:rsidR="009B109C" w:rsidRPr="00EE7CC8" w:rsidRDefault="009B109C" w:rsidP="00E130D1">
            <w:pPr>
              <w:rPr>
                <w:i/>
                <w:iCs/>
                <w:sz w:val="22"/>
                <w:szCs w:val="22"/>
                <w:shd w:val="clear" w:color="auto" w:fill="FFFFFF"/>
              </w:rPr>
            </w:pPr>
            <w:r w:rsidRPr="00EE7CC8">
              <w:rPr>
                <w:sz w:val="22"/>
                <w:szCs w:val="22"/>
                <w:shd w:val="clear" w:color="auto" w:fill="FFFFFF"/>
              </w:rPr>
              <w:t>Angry frequent</w:t>
            </w:r>
          </w:p>
        </w:tc>
        <w:tc>
          <w:tcPr>
            <w:tcW w:w="685" w:type="pct"/>
            <w:tcBorders>
              <w:top w:val="nil"/>
              <w:left w:val="nil"/>
              <w:bottom w:val="nil"/>
              <w:right w:val="nil"/>
            </w:tcBorders>
            <w:vAlign w:val="center"/>
          </w:tcPr>
          <w:p w14:paraId="47A97153" w14:textId="77777777" w:rsidR="009B109C" w:rsidRPr="00EE7CC8" w:rsidRDefault="009B109C" w:rsidP="00E130D1">
            <w:pPr>
              <w:jc w:val="center"/>
              <w:rPr>
                <w:sz w:val="22"/>
                <w:szCs w:val="22"/>
              </w:rPr>
            </w:pPr>
            <w:r w:rsidRPr="00EE7CC8">
              <w:rPr>
                <w:sz w:val="22"/>
                <w:szCs w:val="22"/>
              </w:rPr>
              <w:t>-</w:t>
            </w:r>
          </w:p>
        </w:tc>
        <w:tc>
          <w:tcPr>
            <w:tcW w:w="685" w:type="pct"/>
            <w:tcBorders>
              <w:top w:val="nil"/>
              <w:left w:val="nil"/>
              <w:bottom w:val="nil"/>
              <w:right w:val="nil"/>
            </w:tcBorders>
            <w:vAlign w:val="center"/>
          </w:tcPr>
          <w:p w14:paraId="4A6D56B1" w14:textId="77777777" w:rsidR="009B109C" w:rsidRPr="00EE7CC8" w:rsidRDefault="009B109C" w:rsidP="00E130D1">
            <w:pPr>
              <w:jc w:val="right"/>
              <w:rPr>
                <w:sz w:val="22"/>
                <w:szCs w:val="22"/>
              </w:rPr>
            </w:pPr>
            <w:r w:rsidRPr="00EE7CC8">
              <w:rPr>
                <w:sz w:val="22"/>
                <w:szCs w:val="22"/>
                <w:shd w:val="clear" w:color="auto" w:fill="FFFFFF"/>
              </w:rPr>
              <w:t>0.90</w:t>
            </w:r>
          </w:p>
        </w:tc>
        <w:tc>
          <w:tcPr>
            <w:tcW w:w="685" w:type="pct"/>
            <w:tcBorders>
              <w:top w:val="nil"/>
              <w:left w:val="nil"/>
              <w:bottom w:val="nil"/>
              <w:right w:val="nil"/>
            </w:tcBorders>
            <w:vAlign w:val="center"/>
          </w:tcPr>
          <w:p w14:paraId="5FA3A076" w14:textId="77777777" w:rsidR="009B109C" w:rsidRPr="00EE7CC8" w:rsidRDefault="009B109C" w:rsidP="00E130D1">
            <w:pPr>
              <w:jc w:val="right"/>
              <w:rPr>
                <w:sz w:val="22"/>
                <w:szCs w:val="22"/>
              </w:rPr>
            </w:pPr>
            <w:r w:rsidRPr="00EE7CC8">
              <w:rPr>
                <w:sz w:val="22"/>
                <w:szCs w:val="22"/>
                <w:shd w:val="clear" w:color="auto" w:fill="FFFFFF"/>
              </w:rPr>
              <w:t>0.82</w:t>
            </w:r>
          </w:p>
        </w:tc>
        <w:tc>
          <w:tcPr>
            <w:tcW w:w="685" w:type="pct"/>
            <w:tcBorders>
              <w:top w:val="nil"/>
              <w:left w:val="nil"/>
              <w:bottom w:val="nil"/>
              <w:right w:val="nil"/>
            </w:tcBorders>
            <w:vAlign w:val="center"/>
          </w:tcPr>
          <w:p w14:paraId="234FB8BE" w14:textId="77777777" w:rsidR="009B109C" w:rsidRPr="00EE7CC8" w:rsidRDefault="009B109C" w:rsidP="00E130D1">
            <w:pPr>
              <w:jc w:val="right"/>
              <w:rPr>
                <w:sz w:val="22"/>
                <w:szCs w:val="22"/>
              </w:rPr>
            </w:pPr>
            <w:r w:rsidRPr="00EE7CC8">
              <w:rPr>
                <w:sz w:val="22"/>
                <w:szCs w:val="22"/>
                <w:shd w:val="clear" w:color="auto" w:fill="FFFFFF"/>
              </w:rPr>
              <w:t>0.77</w:t>
            </w:r>
          </w:p>
        </w:tc>
        <w:tc>
          <w:tcPr>
            <w:tcW w:w="686" w:type="pct"/>
            <w:tcBorders>
              <w:top w:val="nil"/>
              <w:left w:val="nil"/>
              <w:bottom w:val="nil"/>
            </w:tcBorders>
            <w:vAlign w:val="center"/>
          </w:tcPr>
          <w:p w14:paraId="446F1DC0" w14:textId="77777777" w:rsidR="009B109C" w:rsidRPr="00EE7CC8" w:rsidRDefault="009B109C" w:rsidP="00E130D1">
            <w:pPr>
              <w:jc w:val="right"/>
              <w:rPr>
                <w:sz w:val="22"/>
                <w:szCs w:val="22"/>
              </w:rPr>
            </w:pPr>
            <w:r w:rsidRPr="00EE7CC8">
              <w:rPr>
                <w:sz w:val="22"/>
                <w:szCs w:val="22"/>
                <w:shd w:val="clear" w:color="auto" w:fill="FFFFFF"/>
              </w:rPr>
              <w:t>0.70</w:t>
            </w:r>
          </w:p>
        </w:tc>
      </w:tr>
      <w:tr w:rsidR="009B109C" w:rsidRPr="00EE7CC8" w14:paraId="5DDE00D3" w14:textId="77777777" w:rsidTr="0007634C">
        <w:trPr>
          <w:jc w:val="center"/>
        </w:trPr>
        <w:tc>
          <w:tcPr>
            <w:tcW w:w="1574" w:type="pct"/>
            <w:tcBorders>
              <w:top w:val="nil"/>
              <w:bottom w:val="single" w:sz="4" w:space="0" w:color="auto"/>
              <w:right w:val="nil"/>
            </w:tcBorders>
          </w:tcPr>
          <w:p w14:paraId="0D82FA88" w14:textId="77777777" w:rsidR="009B109C" w:rsidRPr="00EE7CC8" w:rsidRDefault="009B109C" w:rsidP="00E130D1">
            <w:pPr>
              <w:rPr>
                <w:i/>
                <w:iCs/>
                <w:sz w:val="22"/>
                <w:szCs w:val="22"/>
                <w:shd w:val="clear" w:color="auto" w:fill="FFFFFF"/>
              </w:rPr>
            </w:pPr>
            <w:r w:rsidRPr="00EE7CC8">
              <w:rPr>
                <w:sz w:val="22"/>
                <w:szCs w:val="22"/>
                <w:shd w:val="clear" w:color="auto" w:fill="FFFFFF"/>
              </w:rPr>
              <w:t>Loses temper easily</w:t>
            </w:r>
          </w:p>
        </w:tc>
        <w:tc>
          <w:tcPr>
            <w:tcW w:w="685" w:type="pct"/>
            <w:tcBorders>
              <w:top w:val="nil"/>
              <w:left w:val="nil"/>
              <w:bottom w:val="single" w:sz="4" w:space="0" w:color="auto"/>
              <w:right w:val="nil"/>
            </w:tcBorders>
            <w:vAlign w:val="center"/>
          </w:tcPr>
          <w:p w14:paraId="74D1E694" w14:textId="77777777" w:rsidR="009B109C" w:rsidRPr="00EE7CC8" w:rsidRDefault="009B109C" w:rsidP="00E130D1">
            <w:pPr>
              <w:jc w:val="center"/>
              <w:rPr>
                <w:sz w:val="22"/>
                <w:szCs w:val="22"/>
              </w:rPr>
            </w:pPr>
            <w:r w:rsidRPr="00EE7CC8">
              <w:rPr>
                <w:sz w:val="22"/>
                <w:szCs w:val="22"/>
              </w:rPr>
              <w:t>-</w:t>
            </w:r>
          </w:p>
        </w:tc>
        <w:tc>
          <w:tcPr>
            <w:tcW w:w="685" w:type="pct"/>
            <w:tcBorders>
              <w:top w:val="nil"/>
              <w:left w:val="nil"/>
              <w:bottom w:val="single" w:sz="4" w:space="0" w:color="auto"/>
              <w:right w:val="nil"/>
            </w:tcBorders>
            <w:vAlign w:val="center"/>
          </w:tcPr>
          <w:p w14:paraId="3387BE4B" w14:textId="77777777" w:rsidR="009B109C" w:rsidRPr="00EE7CC8" w:rsidRDefault="009B109C" w:rsidP="00E130D1">
            <w:pPr>
              <w:jc w:val="right"/>
              <w:rPr>
                <w:sz w:val="22"/>
                <w:szCs w:val="22"/>
              </w:rPr>
            </w:pPr>
            <w:r w:rsidRPr="00EE7CC8">
              <w:rPr>
                <w:sz w:val="22"/>
                <w:szCs w:val="22"/>
                <w:shd w:val="clear" w:color="auto" w:fill="FFFFFF"/>
              </w:rPr>
              <w:t>0.84</w:t>
            </w:r>
          </w:p>
        </w:tc>
        <w:tc>
          <w:tcPr>
            <w:tcW w:w="685" w:type="pct"/>
            <w:tcBorders>
              <w:top w:val="nil"/>
              <w:left w:val="nil"/>
              <w:bottom w:val="single" w:sz="4" w:space="0" w:color="auto"/>
              <w:right w:val="nil"/>
            </w:tcBorders>
            <w:vAlign w:val="center"/>
          </w:tcPr>
          <w:p w14:paraId="799C06E7" w14:textId="77777777" w:rsidR="009B109C" w:rsidRPr="00EE7CC8" w:rsidRDefault="009B109C" w:rsidP="00E130D1">
            <w:pPr>
              <w:jc w:val="right"/>
              <w:rPr>
                <w:sz w:val="22"/>
                <w:szCs w:val="22"/>
              </w:rPr>
            </w:pPr>
            <w:r w:rsidRPr="00EE7CC8">
              <w:rPr>
                <w:sz w:val="22"/>
                <w:szCs w:val="22"/>
                <w:shd w:val="clear" w:color="auto" w:fill="FFFFFF"/>
              </w:rPr>
              <w:t>0.86</w:t>
            </w:r>
          </w:p>
        </w:tc>
        <w:tc>
          <w:tcPr>
            <w:tcW w:w="685" w:type="pct"/>
            <w:tcBorders>
              <w:top w:val="nil"/>
              <w:left w:val="nil"/>
              <w:bottom w:val="single" w:sz="4" w:space="0" w:color="auto"/>
              <w:right w:val="nil"/>
            </w:tcBorders>
            <w:vAlign w:val="center"/>
          </w:tcPr>
          <w:p w14:paraId="71C1CCF1" w14:textId="77777777" w:rsidR="009B109C" w:rsidRPr="00EE7CC8" w:rsidRDefault="009B109C" w:rsidP="00E130D1">
            <w:pPr>
              <w:jc w:val="right"/>
              <w:rPr>
                <w:sz w:val="22"/>
                <w:szCs w:val="22"/>
              </w:rPr>
            </w:pPr>
            <w:r w:rsidRPr="00EE7CC8">
              <w:rPr>
                <w:sz w:val="22"/>
                <w:szCs w:val="22"/>
                <w:shd w:val="clear" w:color="auto" w:fill="FFFFFF"/>
              </w:rPr>
              <w:t>0.83</w:t>
            </w:r>
          </w:p>
        </w:tc>
        <w:tc>
          <w:tcPr>
            <w:tcW w:w="686" w:type="pct"/>
            <w:tcBorders>
              <w:top w:val="nil"/>
              <w:left w:val="nil"/>
              <w:bottom w:val="single" w:sz="4" w:space="0" w:color="auto"/>
            </w:tcBorders>
            <w:vAlign w:val="center"/>
          </w:tcPr>
          <w:p w14:paraId="32E031A9" w14:textId="77777777" w:rsidR="009B109C" w:rsidRPr="00EE7CC8" w:rsidRDefault="009B109C" w:rsidP="00E130D1">
            <w:pPr>
              <w:jc w:val="right"/>
              <w:rPr>
                <w:sz w:val="22"/>
                <w:szCs w:val="22"/>
              </w:rPr>
            </w:pPr>
            <w:r w:rsidRPr="00EE7CC8">
              <w:rPr>
                <w:sz w:val="22"/>
                <w:szCs w:val="22"/>
                <w:shd w:val="clear" w:color="auto" w:fill="FFFFFF"/>
              </w:rPr>
              <w:t>0.80</w:t>
            </w:r>
          </w:p>
        </w:tc>
      </w:tr>
    </w:tbl>
    <w:p w14:paraId="7835FBDB" w14:textId="77777777" w:rsidR="009B109C" w:rsidRPr="00EE7CC8" w:rsidRDefault="009B109C" w:rsidP="003076E8">
      <w:pPr>
        <w:pStyle w:val="EndNoteBibliographyTitle"/>
        <w:jc w:val="left"/>
        <w:rPr>
          <w:rFonts w:ascii="Times New Roman" w:hAnsi="Times New Roman" w:cs="Times New Roman"/>
          <w:b/>
          <w:sz w:val="22"/>
          <w:szCs w:val="22"/>
        </w:rPr>
      </w:pPr>
    </w:p>
    <w:p w14:paraId="43A50487" w14:textId="1A11FA54" w:rsidR="00F652F3" w:rsidRPr="00EE7CC8" w:rsidRDefault="00F652F3" w:rsidP="003076E8">
      <w:pPr>
        <w:pStyle w:val="EndNoteBibliographyTitle"/>
        <w:jc w:val="left"/>
        <w:rPr>
          <w:rFonts w:ascii="Times New Roman" w:hAnsi="Times New Roman" w:cs="Times New Roman"/>
          <w:b/>
          <w:sz w:val="22"/>
          <w:szCs w:val="22"/>
        </w:rPr>
      </w:pPr>
    </w:p>
    <w:p w14:paraId="216FB69C" w14:textId="54B34DE2" w:rsidR="00777223" w:rsidRPr="00EE7CC8" w:rsidRDefault="00777223" w:rsidP="00F652F3">
      <w:pPr>
        <w:spacing w:after="100" w:afterAutospacing="1" w:line="360" w:lineRule="auto"/>
        <w:rPr>
          <w:sz w:val="22"/>
          <w:szCs w:val="22"/>
        </w:rPr>
      </w:pPr>
    </w:p>
    <w:sectPr w:rsidR="00777223" w:rsidRPr="00EE7CC8" w:rsidSect="00C6127A">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5A8F" w14:textId="77777777" w:rsidR="00B60A45" w:rsidRDefault="00B60A45" w:rsidP="00994C1C">
      <w:r>
        <w:separator/>
      </w:r>
    </w:p>
  </w:endnote>
  <w:endnote w:type="continuationSeparator" w:id="0">
    <w:p w14:paraId="6BA5CA3E" w14:textId="77777777" w:rsidR="00B60A45" w:rsidRDefault="00B60A45" w:rsidP="0099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233913"/>
      <w:docPartObj>
        <w:docPartGallery w:val="Page Numbers (Bottom of Page)"/>
        <w:docPartUnique/>
      </w:docPartObj>
    </w:sdtPr>
    <w:sdtContent>
      <w:p w14:paraId="0F7F0DAE" w14:textId="3D1D62A8" w:rsidR="00283ED1" w:rsidRDefault="00283ED1" w:rsidP="00E64B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03E8F">
          <w:rPr>
            <w:rStyle w:val="PageNumber"/>
          </w:rPr>
          <w:fldChar w:fldCharType="separate"/>
        </w:r>
        <w:r w:rsidR="00B03E8F">
          <w:rPr>
            <w:rStyle w:val="PageNumber"/>
            <w:noProof/>
          </w:rPr>
          <w:t>2</w:t>
        </w:r>
        <w:r>
          <w:rPr>
            <w:rStyle w:val="PageNumber"/>
          </w:rPr>
          <w:fldChar w:fldCharType="end"/>
        </w:r>
      </w:p>
    </w:sdtContent>
  </w:sdt>
  <w:p w14:paraId="7DDFD86F" w14:textId="77777777" w:rsidR="00283ED1" w:rsidRDefault="00283ED1" w:rsidP="00994C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0736771"/>
      <w:docPartObj>
        <w:docPartGallery w:val="Page Numbers (Bottom of Page)"/>
        <w:docPartUnique/>
      </w:docPartObj>
    </w:sdtPr>
    <w:sdtContent>
      <w:p w14:paraId="049174A2" w14:textId="6CE799C8" w:rsidR="00283ED1" w:rsidRDefault="00283ED1" w:rsidP="00E64B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140F">
          <w:rPr>
            <w:rStyle w:val="PageNumber"/>
            <w:noProof/>
          </w:rPr>
          <w:t>21</w:t>
        </w:r>
        <w:r>
          <w:rPr>
            <w:rStyle w:val="PageNumber"/>
          </w:rPr>
          <w:fldChar w:fldCharType="end"/>
        </w:r>
      </w:p>
    </w:sdtContent>
  </w:sdt>
  <w:p w14:paraId="65C2FDDA" w14:textId="77777777" w:rsidR="00283ED1" w:rsidRDefault="00283ED1" w:rsidP="00994C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1DB5" w14:textId="77777777" w:rsidR="00B60A45" w:rsidRDefault="00B60A45" w:rsidP="00994C1C">
      <w:r>
        <w:separator/>
      </w:r>
    </w:p>
  </w:footnote>
  <w:footnote w:type="continuationSeparator" w:id="0">
    <w:p w14:paraId="35ABEEC5" w14:textId="77777777" w:rsidR="00B60A45" w:rsidRDefault="00B60A45" w:rsidP="0099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899"/>
    <w:multiLevelType w:val="hybridMultilevel"/>
    <w:tmpl w:val="CC3C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553A2"/>
    <w:multiLevelType w:val="hybridMultilevel"/>
    <w:tmpl w:val="881A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B3598"/>
    <w:multiLevelType w:val="multilevel"/>
    <w:tmpl w:val="B244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C587D"/>
    <w:multiLevelType w:val="hybridMultilevel"/>
    <w:tmpl w:val="EB8CD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65FC8"/>
    <w:multiLevelType w:val="hybridMultilevel"/>
    <w:tmpl w:val="AD4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0C2F"/>
    <w:multiLevelType w:val="multilevel"/>
    <w:tmpl w:val="166EB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93F52"/>
    <w:multiLevelType w:val="multilevel"/>
    <w:tmpl w:val="D9F8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113FA"/>
    <w:multiLevelType w:val="hybridMultilevel"/>
    <w:tmpl w:val="3F366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567BC"/>
    <w:multiLevelType w:val="hybridMultilevel"/>
    <w:tmpl w:val="CAF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17B8"/>
    <w:multiLevelType w:val="hybridMultilevel"/>
    <w:tmpl w:val="28628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12FA2"/>
    <w:multiLevelType w:val="hybridMultilevel"/>
    <w:tmpl w:val="66EAA0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150130"/>
    <w:multiLevelType w:val="hybridMultilevel"/>
    <w:tmpl w:val="80F2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B5ADB"/>
    <w:multiLevelType w:val="multilevel"/>
    <w:tmpl w:val="B37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3218B"/>
    <w:multiLevelType w:val="multilevel"/>
    <w:tmpl w:val="12D6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B4341"/>
    <w:multiLevelType w:val="hybridMultilevel"/>
    <w:tmpl w:val="CE6E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455C1"/>
    <w:multiLevelType w:val="multilevel"/>
    <w:tmpl w:val="07C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1396">
    <w:abstractNumId w:val="7"/>
  </w:num>
  <w:num w:numId="2" w16cid:durableId="1775595002">
    <w:abstractNumId w:val="14"/>
  </w:num>
  <w:num w:numId="3" w16cid:durableId="1370566195">
    <w:abstractNumId w:val="4"/>
  </w:num>
  <w:num w:numId="4" w16cid:durableId="1781607894">
    <w:abstractNumId w:val="9"/>
  </w:num>
  <w:num w:numId="5" w16cid:durableId="1614436349">
    <w:abstractNumId w:val="3"/>
  </w:num>
  <w:num w:numId="6" w16cid:durableId="609826307">
    <w:abstractNumId w:val="8"/>
  </w:num>
  <w:num w:numId="7" w16cid:durableId="936526873">
    <w:abstractNumId w:val="1"/>
  </w:num>
  <w:num w:numId="8" w16cid:durableId="2131432958">
    <w:abstractNumId w:val="11"/>
  </w:num>
  <w:num w:numId="9" w16cid:durableId="597256770">
    <w:abstractNumId w:val="0"/>
  </w:num>
  <w:num w:numId="10" w16cid:durableId="625501789">
    <w:abstractNumId w:val="13"/>
  </w:num>
  <w:num w:numId="11" w16cid:durableId="1582595692">
    <w:abstractNumId w:val="2"/>
  </w:num>
  <w:num w:numId="12" w16cid:durableId="229853152">
    <w:abstractNumId w:val="12"/>
  </w:num>
  <w:num w:numId="13" w16cid:durableId="1602765195">
    <w:abstractNumId w:val="15"/>
  </w:num>
  <w:num w:numId="14" w16cid:durableId="773866015">
    <w:abstractNumId w:val="5"/>
  </w:num>
  <w:num w:numId="15" w16cid:durableId="1954436804">
    <w:abstractNumId w:val="10"/>
  </w:num>
  <w:num w:numId="16" w16cid:durableId="1774780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Child Adol Psych&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21&lt;record-ids&gt;&lt;item&gt;2650&lt;/item&gt;&lt;item&gt;2654&lt;/item&gt;&lt;item&gt;2655&lt;/item&gt;&lt;item&gt;2662&lt;/item&gt;&lt;item&gt;2663&lt;/item&gt;&lt;item&gt;2666&lt;/item&gt;&lt;item&gt;2671&lt;/item&gt;&lt;item&gt;3037&lt;/item&gt;&lt;item&gt;3280&lt;/item&gt;&lt;item&gt;3281&lt;/item&gt;&lt;item&gt;3282&lt;/item&gt;&lt;item&gt;3283&lt;/item&gt;&lt;item&gt;3284&lt;/item&gt;&lt;item&gt;3286&lt;/item&gt;&lt;item&gt;3288&lt;/item&gt;&lt;item&gt;3289&lt;/item&gt;&lt;item&gt;3290&lt;/item&gt;&lt;item&gt;3292&lt;/item&gt;&lt;item&gt;3294&lt;/item&gt;&lt;item&gt;3296&lt;/item&gt;&lt;item&gt;3300&lt;/item&gt;&lt;item&gt;3301&lt;/item&gt;&lt;item&gt;3302&lt;/item&gt;&lt;item&gt;3304&lt;/item&gt;&lt;item&gt;3305&lt;/item&gt;&lt;item&gt;3306&lt;/item&gt;&lt;item&gt;3307&lt;/item&gt;&lt;item&gt;3308&lt;/item&gt;&lt;item&gt;3334&lt;/item&gt;&lt;item&gt;3335&lt;/item&gt;&lt;item&gt;3336&lt;/item&gt;&lt;item&gt;3337&lt;/item&gt;&lt;item&gt;3338&lt;/item&gt;&lt;item&gt;3353&lt;/item&gt;&lt;item&gt;3354&lt;/item&gt;&lt;item&gt;3355&lt;/item&gt;&lt;item&gt;3356&lt;/item&gt;&lt;item&gt;3357&lt;/item&gt;&lt;item&gt;3358&lt;/item&gt;&lt;item&gt;3360&lt;/item&gt;&lt;item&gt;3431&lt;/item&gt;&lt;item&gt;3433&lt;/item&gt;&lt;item&gt;3594&lt;/item&gt;&lt;item&gt;3595&lt;/item&gt;&lt;item&gt;3764&lt;/item&gt;&lt;item&gt;3765&lt;/item&gt;&lt;item&gt;3843&lt;/item&gt;&lt;item&gt;3844&lt;/item&gt;&lt;/record-ids&gt;&lt;/item&gt;&lt;/Libraries&gt;"/>
  </w:docVars>
  <w:rsids>
    <w:rsidRoot w:val="00A6244F"/>
    <w:rsid w:val="00000330"/>
    <w:rsid w:val="000006F5"/>
    <w:rsid w:val="000010AA"/>
    <w:rsid w:val="0000147A"/>
    <w:rsid w:val="0000554D"/>
    <w:rsid w:val="00006997"/>
    <w:rsid w:val="0001213F"/>
    <w:rsid w:val="00012A5E"/>
    <w:rsid w:val="00012E3B"/>
    <w:rsid w:val="00012F97"/>
    <w:rsid w:val="0001526C"/>
    <w:rsid w:val="000203A4"/>
    <w:rsid w:val="000213C0"/>
    <w:rsid w:val="00024DCD"/>
    <w:rsid w:val="000255F9"/>
    <w:rsid w:val="00031019"/>
    <w:rsid w:val="00031B51"/>
    <w:rsid w:val="000325CF"/>
    <w:rsid w:val="00032A06"/>
    <w:rsid w:val="000358A7"/>
    <w:rsid w:val="00041009"/>
    <w:rsid w:val="00041C8D"/>
    <w:rsid w:val="00043220"/>
    <w:rsid w:val="00043D17"/>
    <w:rsid w:val="00045765"/>
    <w:rsid w:val="00050D1D"/>
    <w:rsid w:val="00051D44"/>
    <w:rsid w:val="00053D53"/>
    <w:rsid w:val="0005426B"/>
    <w:rsid w:val="0005493E"/>
    <w:rsid w:val="00054E2C"/>
    <w:rsid w:val="00054FF6"/>
    <w:rsid w:val="00056194"/>
    <w:rsid w:val="000624E9"/>
    <w:rsid w:val="00064069"/>
    <w:rsid w:val="00067EFC"/>
    <w:rsid w:val="0007634C"/>
    <w:rsid w:val="00076C2F"/>
    <w:rsid w:val="000775C8"/>
    <w:rsid w:val="00077F87"/>
    <w:rsid w:val="0008109E"/>
    <w:rsid w:val="0008266B"/>
    <w:rsid w:val="00083EEF"/>
    <w:rsid w:val="000863F8"/>
    <w:rsid w:val="00086B4D"/>
    <w:rsid w:val="00086F36"/>
    <w:rsid w:val="00090C0E"/>
    <w:rsid w:val="0009567B"/>
    <w:rsid w:val="0009785B"/>
    <w:rsid w:val="00097FEE"/>
    <w:rsid w:val="000A07D8"/>
    <w:rsid w:val="000A0E4D"/>
    <w:rsid w:val="000A674F"/>
    <w:rsid w:val="000B209A"/>
    <w:rsid w:val="000B2829"/>
    <w:rsid w:val="000B33E3"/>
    <w:rsid w:val="000B46CA"/>
    <w:rsid w:val="000B55A5"/>
    <w:rsid w:val="000B6C14"/>
    <w:rsid w:val="000B6DE5"/>
    <w:rsid w:val="000C4487"/>
    <w:rsid w:val="000C4AEA"/>
    <w:rsid w:val="000C6277"/>
    <w:rsid w:val="000D07E2"/>
    <w:rsid w:val="000D1363"/>
    <w:rsid w:val="000D3859"/>
    <w:rsid w:val="000D4A49"/>
    <w:rsid w:val="000D525F"/>
    <w:rsid w:val="000E13E7"/>
    <w:rsid w:val="000E32F7"/>
    <w:rsid w:val="000E4E28"/>
    <w:rsid w:val="000E572F"/>
    <w:rsid w:val="000E5DBF"/>
    <w:rsid w:val="000E6203"/>
    <w:rsid w:val="000E635C"/>
    <w:rsid w:val="000E6894"/>
    <w:rsid w:val="000F3C55"/>
    <w:rsid w:val="000F4540"/>
    <w:rsid w:val="000F71B6"/>
    <w:rsid w:val="000F77F4"/>
    <w:rsid w:val="00100654"/>
    <w:rsid w:val="00100F61"/>
    <w:rsid w:val="0010170D"/>
    <w:rsid w:val="001024C0"/>
    <w:rsid w:val="00102D76"/>
    <w:rsid w:val="00106FE6"/>
    <w:rsid w:val="0011057B"/>
    <w:rsid w:val="00121C3B"/>
    <w:rsid w:val="00122929"/>
    <w:rsid w:val="00122E2F"/>
    <w:rsid w:val="001262F7"/>
    <w:rsid w:val="00127ECA"/>
    <w:rsid w:val="0013335F"/>
    <w:rsid w:val="0013724D"/>
    <w:rsid w:val="001464EE"/>
    <w:rsid w:val="001524D7"/>
    <w:rsid w:val="00153A03"/>
    <w:rsid w:val="00154FC8"/>
    <w:rsid w:val="00156932"/>
    <w:rsid w:val="00157161"/>
    <w:rsid w:val="00157DA3"/>
    <w:rsid w:val="00160E9C"/>
    <w:rsid w:val="001621A6"/>
    <w:rsid w:val="00162805"/>
    <w:rsid w:val="00164D67"/>
    <w:rsid w:val="00167E2A"/>
    <w:rsid w:val="00170A47"/>
    <w:rsid w:val="001728BD"/>
    <w:rsid w:val="001731C0"/>
    <w:rsid w:val="00173D7A"/>
    <w:rsid w:val="00174923"/>
    <w:rsid w:val="00183509"/>
    <w:rsid w:val="00183584"/>
    <w:rsid w:val="001838EF"/>
    <w:rsid w:val="001846F8"/>
    <w:rsid w:val="001850EE"/>
    <w:rsid w:val="001901B2"/>
    <w:rsid w:val="0019044C"/>
    <w:rsid w:val="00190C55"/>
    <w:rsid w:val="00190FC4"/>
    <w:rsid w:val="00192484"/>
    <w:rsid w:val="00193422"/>
    <w:rsid w:val="00193C4F"/>
    <w:rsid w:val="001941CD"/>
    <w:rsid w:val="001A13EC"/>
    <w:rsid w:val="001A60F8"/>
    <w:rsid w:val="001B0811"/>
    <w:rsid w:val="001B1962"/>
    <w:rsid w:val="001B1A58"/>
    <w:rsid w:val="001B2947"/>
    <w:rsid w:val="001B5B3B"/>
    <w:rsid w:val="001B61D1"/>
    <w:rsid w:val="001B7A99"/>
    <w:rsid w:val="001D0F3E"/>
    <w:rsid w:val="001D142D"/>
    <w:rsid w:val="001D2480"/>
    <w:rsid w:val="001D586F"/>
    <w:rsid w:val="001D5AB0"/>
    <w:rsid w:val="001D5B57"/>
    <w:rsid w:val="001D6376"/>
    <w:rsid w:val="001E0788"/>
    <w:rsid w:val="001E07B0"/>
    <w:rsid w:val="001E0E3B"/>
    <w:rsid w:val="001E372C"/>
    <w:rsid w:val="001F19E1"/>
    <w:rsid w:val="001F2ECC"/>
    <w:rsid w:val="001F3227"/>
    <w:rsid w:val="001F3745"/>
    <w:rsid w:val="001F56E9"/>
    <w:rsid w:val="001F6959"/>
    <w:rsid w:val="0020035D"/>
    <w:rsid w:val="002007A5"/>
    <w:rsid w:val="00201FE9"/>
    <w:rsid w:val="00202C34"/>
    <w:rsid w:val="00204D14"/>
    <w:rsid w:val="00205EB8"/>
    <w:rsid w:val="00216FB2"/>
    <w:rsid w:val="00217DF6"/>
    <w:rsid w:val="00217E8F"/>
    <w:rsid w:val="00221170"/>
    <w:rsid w:val="00223341"/>
    <w:rsid w:val="0022356D"/>
    <w:rsid w:val="002243DC"/>
    <w:rsid w:val="002359A5"/>
    <w:rsid w:val="00237BD0"/>
    <w:rsid w:val="002401DD"/>
    <w:rsid w:val="002469E7"/>
    <w:rsid w:val="00247AD9"/>
    <w:rsid w:val="00251597"/>
    <w:rsid w:val="002529E9"/>
    <w:rsid w:val="00255117"/>
    <w:rsid w:val="00262889"/>
    <w:rsid w:val="002644FA"/>
    <w:rsid w:val="00266372"/>
    <w:rsid w:val="00266A41"/>
    <w:rsid w:val="00267895"/>
    <w:rsid w:val="00271C1C"/>
    <w:rsid w:val="002764B5"/>
    <w:rsid w:val="002777DE"/>
    <w:rsid w:val="00281386"/>
    <w:rsid w:val="002814B3"/>
    <w:rsid w:val="002835A0"/>
    <w:rsid w:val="00283893"/>
    <w:rsid w:val="00283ED1"/>
    <w:rsid w:val="002879A9"/>
    <w:rsid w:val="00287D89"/>
    <w:rsid w:val="00291EF1"/>
    <w:rsid w:val="00294837"/>
    <w:rsid w:val="002972EC"/>
    <w:rsid w:val="00297F51"/>
    <w:rsid w:val="002A068D"/>
    <w:rsid w:val="002A13BD"/>
    <w:rsid w:val="002A1B05"/>
    <w:rsid w:val="002A2DDE"/>
    <w:rsid w:val="002A3E1B"/>
    <w:rsid w:val="002A3EED"/>
    <w:rsid w:val="002A67D0"/>
    <w:rsid w:val="002B02DA"/>
    <w:rsid w:val="002B16C2"/>
    <w:rsid w:val="002B4144"/>
    <w:rsid w:val="002B48CB"/>
    <w:rsid w:val="002B48F8"/>
    <w:rsid w:val="002B5B93"/>
    <w:rsid w:val="002C33E3"/>
    <w:rsid w:val="002D3D0A"/>
    <w:rsid w:val="002D623C"/>
    <w:rsid w:val="002E00D9"/>
    <w:rsid w:val="002E12AE"/>
    <w:rsid w:val="002E15EA"/>
    <w:rsid w:val="002E1D84"/>
    <w:rsid w:val="002E3110"/>
    <w:rsid w:val="002E6C19"/>
    <w:rsid w:val="002E6C5D"/>
    <w:rsid w:val="002E7AD8"/>
    <w:rsid w:val="002F1D0E"/>
    <w:rsid w:val="002F20CD"/>
    <w:rsid w:val="002F248B"/>
    <w:rsid w:val="002F44D9"/>
    <w:rsid w:val="002F4B83"/>
    <w:rsid w:val="002F578D"/>
    <w:rsid w:val="002F5EDF"/>
    <w:rsid w:val="002F7008"/>
    <w:rsid w:val="002F77AF"/>
    <w:rsid w:val="002F7F61"/>
    <w:rsid w:val="003050EB"/>
    <w:rsid w:val="00307280"/>
    <w:rsid w:val="0030747D"/>
    <w:rsid w:val="003076E8"/>
    <w:rsid w:val="003104F7"/>
    <w:rsid w:val="00312827"/>
    <w:rsid w:val="00312F4F"/>
    <w:rsid w:val="00314E19"/>
    <w:rsid w:val="003216CC"/>
    <w:rsid w:val="00321BB5"/>
    <w:rsid w:val="00327228"/>
    <w:rsid w:val="003309A2"/>
    <w:rsid w:val="0033441A"/>
    <w:rsid w:val="003344BD"/>
    <w:rsid w:val="00335014"/>
    <w:rsid w:val="003365B5"/>
    <w:rsid w:val="00337542"/>
    <w:rsid w:val="003401AF"/>
    <w:rsid w:val="00341933"/>
    <w:rsid w:val="00341B10"/>
    <w:rsid w:val="003421CE"/>
    <w:rsid w:val="003422DD"/>
    <w:rsid w:val="00344BEC"/>
    <w:rsid w:val="0034501B"/>
    <w:rsid w:val="00345223"/>
    <w:rsid w:val="00347350"/>
    <w:rsid w:val="00355952"/>
    <w:rsid w:val="00356877"/>
    <w:rsid w:val="0036074D"/>
    <w:rsid w:val="00363678"/>
    <w:rsid w:val="003659F0"/>
    <w:rsid w:val="003677B3"/>
    <w:rsid w:val="0037035C"/>
    <w:rsid w:val="003723C8"/>
    <w:rsid w:val="00372AAD"/>
    <w:rsid w:val="00373020"/>
    <w:rsid w:val="00374222"/>
    <w:rsid w:val="003744FB"/>
    <w:rsid w:val="003803D1"/>
    <w:rsid w:val="003831B0"/>
    <w:rsid w:val="003840E5"/>
    <w:rsid w:val="0038585B"/>
    <w:rsid w:val="00390E1D"/>
    <w:rsid w:val="003936E0"/>
    <w:rsid w:val="0039410A"/>
    <w:rsid w:val="00394596"/>
    <w:rsid w:val="00394C49"/>
    <w:rsid w:val="00395377"/>
    <w:rsid w:val="00395FB3"/>
    <w:rsid w:val="00396B80"/>
    <w:rsid w:val="00396DCE"/>
    <w:rsid w:val="003A673C"/>
    <w:rsid w:val="003A7E4E"/>
    <w:rsid w:val="003B2583"/>
    <w:rsid w:val="003B3C92"/>
    <w:rsid w:val="003B5BAA"/>
    <w:rsid w:val="003C06E9"/>
    <w:rsid w:val="003C3523"/>
    <w:rsid w:val="003C72AB"/>
    <w:rsid w:val="003D3EBD"/>
    <w:rsid w:val="003D5A07"/>
    <w:rsid w:val="003D5F3B"/>
    <w:rsid w:val="003E23CF"/>
    <w:rsid w:val="003F1389"/>
    <w:rsid w:val="003F216C"/>
    <w:rsid w:val="003F50B5"/>
    <w:rsid w:val="003F7841"/>
    <w:rsid w:val="0040281B"/>
    <w:rsid w:val="00403BDD"/>
    <w:rsid w:val="00405227"/>
    <w:rsid w:val="0040527D"/>
    <w:rsid w:val="00405FA5"/>
    <w:rsid w:val="00407990"/>
    <w:rsid w:val="004104AF"/>
    <w:rsid w:val="004125D2"/>
    <w:rsid w:val="004128D1"/>
    <w:rsid w:val="00412C2B"/>
    <w:rsid w:val="0041370F"/>
    <w:rsid w:val="004209E1"/>
    <w:rsid w:val="004232AD"/>
    <w:rsid w:val="00423712"/>
    <w:rsid w:val="00430124"/>
    <w:rsid w:val="004305A7"/>
    <w:rsid w:val="0043218B"/>
    <w:rsid w:val="00434CBA"/>
    <w:rsid w:val="004355C6"/>
    <w:rsid w:val="00436328"/>
    <w:rsid w:val="0044151D"/>
    <w:rsid w:val="00442E8B"/>
    <w:rsid w:val="0044309B"/>
    <w:rsid w:val="004443E3"/>
    <w:rsid w:val="0044559C"/>
    <w:rsid w:val="00447950"/>
    <w:rsid w:val="004518B2"/>
    <w:rsid w:val="00451EC4"/>
    <w:rsid w:val="00456B1C"/>
    <w:rsid w:val="00464DBF"/>
    <w:rsid w:val="004659CB"/>
    <w:rsid w:val="00465C09"/>
    <w:rsid w:val="00466459"/>
    <w:rsid w:val="00467128"/>
    <w:rsid w:val="00470004"/>
    <w:rsid w:val="0047069A"/>
    <w:rsid w:val="00470864"/>
    <w:rsid w:val="004712A9"/>
    <w:rsid w:val="00471DCF"/>
    <w:rsid w:val="00474E09"/>
    <w:rsid w:val="0047696C"/>
    <w:rsid w:val="0047748F"/>
    <w:rsid w:val="00477587"/>
    <w:rsid w:val="00480969"/>
    <w:rsid w:val="004823C1"/>
    <w:rsid w:val="00483773"/>
    <w:rsid w:val="00483C0E"/>
    <w:rsid w:val="0049015E"/>
    <w:rsid w:val="004907AA"/>
    <w:rsid w:val="00492955"/>
    <w:rsid w:val="00494E81"/>
    <w:rsid w:val="00497534"/>
    <w:rsid w:val="00497D92"/>
    <w:rsid w:val="004A263E"/>
    <w:rsid w:val="004A27E5"/>
    <w:rsid w:val="004A7A21"/>
    <w:rsid w:val="004B209C"/>
    <w:rsid w:val="004B3F15"/>
    <w:rsid w:val="004B5219"/>
    <w:rsid w:val="004B5852"/>
    <w:rsid w:val="004C01F3"/>
    <w:rsid w:val="004C3623"/>
    <w:rsid w:val="004C40F4"/>
    <w:rsid w:val="004C48FF"/>
    <w:rsid w:val="004C5395"/>
    <w:rsid w:val="004C5A86"/>
    <w:rsid w:val="004C7CFE"/>
    <w:rsid w:val="004D4823"/>
    <w:rsid w:val="004D52BA"/>
    <w:rsid w:val="004D53C7"/>
    <w:rsid w:val="004D5F06"/>
    <w:rsid w:val="004E0140"/>
    <w:rsid w:val="004E11D4"/>
    <w:rsid w:val="004E1E0D"/>
    <w:rsid w:val="004E2DDA"/>
    <w:rsid w:val="004E51FA"/>
    <w:rsid w:val="004E7835"/>
    <w:rsid w:val="004F416F"/>
    <w:rsid w:val="004F46D5"/>
    <w:rsid w:val="0050145F"/>
    <w:rsid w:val="00502008"/>
    <w:rsid w:val="0050238A"/>
    <w:rsid w:val="005049B1"/>
    <w:rsid w:val="00506671"/>
    <w:rsid w:val="00506BEE"/>
    <w:rsid w:val="00507EB7"/>
    <w:rsid w:val="005109E0"/>
    <w:rsid w:val="00510BF7"/>
    <w:rsid w:val="00514673"/>
    <w:rsid w:val="00517DFF"/>
    <w:rsid w:val="00520462"/>
    <w:rsid w:val="00520E90"/>
    <w:rsid w:val="00530AAE"/>
    <w:rsid w:val="00530AE2"/>
    <w:rsid w:val="005325D4"/>
    <w:rsid w:val="005337D1"/>
    <w:rsid w:val="005342BB"/>
    <w:rsid w:val="00534840"/>
    <w:rsid w:val="005375B8"/>
    <w:rsid w:val="005376BF"/>
    <w:rsid w:val="005410EA"/>
    <w:rsid w:val="00551795"/>
    <w:rsid w:val="005555E8"/>
    <w:rsid w:val="005567AC"/>
    <w:rsid w:val="00560BC4"/>
    <w:rsid w:val="00562A7D"/>
    <w:rsid w:val="0056431F"/>
    <w:rsid w:val="00566BB0"/>
    <w:rsid w:val="00567198"/>
    <w:rsid w:val="00567453"/>
    <w:rsid w:val="00567FC8"/>
    <w:rsid w:val="00571221"/>
    <w:rsid w:val="005715D9"/>
    <w:rsid w:val="00573B75"/>
    <w:rsid w:val="00574643"/>
    <w:rsid w:val="00576DD4"/>
    <w:rsid w:val="00577721"/>
    <w:rsid w:val="005819C4"/>
    <w:rsid w:val="00583586"/>
    <w:rsid w:val="005839A8"/>
    <w:rsid w:val="00585D84"/>
    <w:rsid w:val="00585F77"/>
    <w:rsid w:val="00587AC6"/>
    <w:rsid w:val="005918FE"/>
    <w:rsid w:val="00592AC3"/>
    <w:rsid w:val="00592B5A"/>
    <w:rsid w:val="005960D3"/>
    <w:rsid w:val="005A006F"/>
    <w:rsid w:val="005A54B5"/>
    <w:rsid w:val="005A579E"/>
    <w:rsid w:val="005A58AE"/>
    <w:rsid w:val="005B0183"/>
    <w:rsid w:val="005B29F2"/>
    <w:rsid w:val="005B4B79"/>
    <w:rsid w:val="005B52F2"/>
    <w:rsid w:val="005C0A21"/>
    <w:rsid w:val="005C1F99"/>
    <w:rsid w:val="005C557E"/>
    <w:rsid w:val="005C5B41"/>
    <w:rsid w:val="005C7467"/>
    <w:rsid w:val="005D0D20"/>
    <w:rsid w:val="005D48E5"/>
    <w:rsid w:val="005E13E4"/>
    <w:rsid w:val="005E1F8C"/>
    <w:rsid w:val="005E2C42"/>
    <w:rsid w:val="005E3BBE"/>
    <w:rsid w:val="005E5864"/>
    <w:rsid w:val="005F1429"/>
    <w:rsid w:val="005F156C"/>
    <w:rsid w:val="005F33C9"/>
    <w:rsid w:val="005F44C3"/>
    <w:rsid w:val="00603755"/>
    <w:rsid w:val="006078A2"/>
    <w:rsid w:val="0061414C"/>
    <w:rsid w:val="00614BC6"/>
    <w:rsid w:val="00617941"/>
    <w:rsid w:val="00617B9C"/>
    <w:rsid w:val="00617D21"/>
    <w:rsid w:val="00620019"/>
    <w:rsid w:val="0062738F"/>
    <w:rsid w:val="00630B70"/>
    <w:rsid w:val="0063140F"/>
    <w:rsid w:val="0063293D"/>
    <w:rsid w:val="0063313E"/>
    <w:rsid w:val="00634E73"/>
    <w:rsid w:val="00640A90"/>
    <w:rsid w:val="00643DC9"/>
    <w:rsid w:val="00645F76"/>
    <w:rsid w:val="006460B7"/>
    <w:rsid w:val="00651129"/>
    <w:rsid w:val="00653613"/>
    <w:rsid w:val="00656725"/>
    <w:rsid w:val="0065697E"/>
    <w:rsid w:val="00660760"/>
    <w:rsid w:val="0066477A"/>
    <w:rsid w:val="00671A6B"/>
    <w:rsid w:val="00671AF6"/>
    <w:rsid w:val="00676B7D"/>
    <w:rsid w:val="00677BEE"/>
    <w:rsid w:val="00677EB1"/>
    <w:rsid w:val="006805C6"/>
    <w:rsid w:val="0068097E"/>
    <w:rsid w:val="00680B82"/>
    <w:rsid w:val="00682434"/>
    <w:rsid w:val="006829C0"/>
    <w:rsid w:val="006836E9"/>
    <w:rsid w:val="00684727"/>
    <w:rsid w:val="00687932"/>
    <w:rsid w:val="00690B82"/>
    <w:rsid w:val="00694AC5"/>
    <w:rsid w:val="0069696A"/>
    <w:rsid w:val="006A0688"/>
    <w:rsid w:val="006A0D0C"/>
    <w:rsid w:val="006A1A69"/>
    <w:rsid w:val="006A2764"/>
    <w:rsid w:val="006A67B4"/>
    <w:rsid w:val="006A7431"/>
    <w:rsid w:val="006B1873"/>
    <w:rsid w:val="006B26AB"/>
    <w:rsid w:val="006B3341"/>
    <w:rsid w:val="006B43E6"/>
    <w:rsid w:val="006B572E"/>
    <w:rsid w:val="006B6D02"/>
    <w:rsid w:val="006B7A26"/>
    <w:rsid w:val="006B7D28"/>
    <w:rsid w:val="006C1B96"/>
    <w:rsid w:val="006C3845"/>
    <w:rsid w:val="006C5276"/>
    <w:rsid w:val="006C749D"/>
    <w:rsid w:val="006C7B77"/>
    <w:rsid w:val="006D0A96"/>
    <w:rsid w:val="006D3520"/>
    <w:rsid w:val="006D4DF3"/>
    <w:rsid w:val="006D61DF"/>
    <w:rsid w:val="006D741D"/>
    <w:rsid w:val="006E1CC3"/>
    <w:rsid w:val="006E2278"/>
    <w:rsid w:val="006E33E5"/>
    <w:rsid w:val="006E4EEF"/>
    <w:rsid w:val="006E6910"/>
    <w:rsid w:val="006E6E47"/>
    <w:rsid w:val="006E74AA"/>
    <w:rsid w:val="006F117C"/>
    <w:rsid w:val="006F2DE7"/>
    <w:rsid w:val="006F4736"/>
    <w:rsid w:val="006F5E9B"/>
    <w:rsid w:val="006F61A5"/>
    <w:rsid w:val="006F61D8"/>
    <w:rsid w:val="0070095D"/>
    <w:rsid w:val="007010AB"/>
    <w:rsid w:val="007014C7"/>
    <w:rsid w:val="00705719"/>
    <w:rsid w:val="0070667F"/>
    <w:rsid w:val="00706DD6"/>
    <w:rsid w:val="007109FF"/>
    <w:rsid w:val="00712684"/>
    <w:rsid w:val="00713610"/>
    <w:rsid w:val="00715188"/>
    <w:rsid w:val="00722FAD"/>
    <w:rsid w:val="0072306F"/>
    <w:rsid w:val="00727AF6"/>
    <w:rsid w:val="00727C68"/>
    <w:rsid w:val="007328DF"/>
    <w:rsid w:val="00732BFF"/>
    <w:rsid w:val="00732F62"/>
    <w:rsid w:val="00733A30"/>
    <w:rsid w:val="00733D43"/>
    <w:rsid w:val="0073570E"/>
    <w:rsid w:val="00736735"/>
    <w:rsid w:val="00737A03"/>
    <w:rsid w:val="00741DFC"/>
    <w:rsid w:val="007443CE"/>
    <w:rsid w:val="00745F9F"/>
    <w:rsid w:val="00746CBC"/>
    <w:rsid w:val="00750ABC"/>
    <w:rsid w:val="00750BBC"/>
    <w:rsid w:val="00752AA6"/>
    <w:rsid w:val="0075344A"/>
    <w:rsid w:val="00754AE7"/>
    <w:rsid w:val="007556CC"/>
    <w:rsid w:val="00762435"/>
    <w:rsid w:val="00762BE1"/>
    <w:rsid w:val="00763004"/>
    <w:rsid w:val="00764234"/>
    <w:rsid w:val="00764648"/>
    <w:rsid w:val="007658AE"/>
    <w:rsid w:val="00771098"/>
    <w:rsid w:val="0077293A"/>
    <w:rsid w:val="00776192"/>
    <w:rsid w:val="0077628E"/>
    <w:rsid w:val="00777223"/>
    <w:rsid w:val="00777B7A"/>
    <w:rsid w:val="007851EF"/>
    <w:rsid w:val="00794165"/>
    <w:rsid w:val="007978F2"/>
    <w:rsid w:val="007A2B29"/>
    <w:rsid w:val="007A4685"/>
    <w:rsid w:val="007A4F11"/>
    <w:rsid w:val="007A5F12"/>
    <w:rsid w:val="007A708E"/>
    <w:rsid w:val="007B482F"/>
    <w:rsid w:val="007B5EF3"/>
    <w:rsid w:val="007B71D1"/>
    <w:rsid w:val="007C1880"/>
    <w:rsid w:val="007C2476"/>
    <w:rsid w:val="007C3105"/>
    <w:rsid w:val="007C659B"/>
    <w:rsid w:val="007C7E1A"/>
    <w:rsid w:val="007D08FC"/>
    <w:rsid w:val="007D31E7"/>
    <w:rsid w:val="007D33E9"/>
    <w:rsid w:val="007D3695"/>
    <w:rsid w:val="007D563E"/>
    <w:rsid w:val="007D7782"/>
    <w:rsid w:val="007E04B3"/>
    <w:rsid w:val="007E0FF6"/>
    <w:rsid w:val="007E127D"/>
    <w:rsid w:val="007E305F"/>
    <w:rsid w:val="007E5117"/>
    <w:rsid w:val="007E5F61"/>
    <w:rsid w:val="007F1677"/>
    <w:rsid w:val="007F5962"/>
    <w:rsid w:val="007F6233"/>
    <w:rsid w:val="00802C54"/>
    <w:rsid w:val="00803905"/>
    <w:rsid w:val="00804AA1"/>
    <w:rsid w:val="00811C62"/>
    <w:rsid w:val="00813862"/>
    <w:rsid w:val="00814DB9"/>
    <w:rsid w:val="00815C2A"/>
    <w:rsid w:val="008216F2"/>
    <w:rsid w:val="008217F7"/>
    <w:rsid w:val="00827B93"/>
    <w:rsid w:val="008315DB"/>
    <w:rsid w:val="0083412B"/>
    <w:rsid w:val="008361FB"/>
    <w:rsid w:val="00836293"/>
    <w:rsid w:val="00836AE8"/>
    <w:rsid w:val="00840387"/>
    <w:rsid w:val="008421B8"/>
    <w:rsid w:val="00844A03"/>
    <w:rsid w:val="00846A32"/>
    <w:rsid w:val="008503EF"/>
    <w:rsid w:val="00851E21"/>
    <w:rsid w:val="00853171"/>
    <w:rsid w:val="008537BB"/>
    <w:rsid w:val="00862402"/>
    <w:rsid w:val="00862877"/>
    <w:rsid w:val="00862AFA"/>
    <w:rsid w:val="008677EE"/>
    <w:rsid w:val="00874546"/>
    <w:rsid w:val="00875F43"/>
    <w:rsid w:val="008761A2"/>
    <w:rsid w:val="00876495"/>
    <w:rsid w:val="00877EA2"/>
    <w:rsid w:val="0088034A"/>
    <w:rsid w:val="00881DED"/>
    <w:rsid w:val="008872EB"/>
    <w:rsid w:val="00887380"/>
    <w:rsid w:val="0089196C"/>
    <w:rsid w:val="00893F84"/>
    <w:rsid w:val="008A0EB6"/>
    <w:rsid w:val="008A0FDF"/>
    <w:rsid w:val="008A4A05"/>
    <w:rsid w:val="008A4BA4"/>
    <w:rsid w:val="008B1429"/>
    <w:rsid w:val="008B1D48"/>
    <w:rsid w:val="008B2AF8"/>
    <w:rsid w:val="008B30B4"/>
    <w:rsid w:val="008B36D9"/>
    <w:rsid w:val="008B55A1"/>
    <w:rsid w:val="008B6FEA"/>
    <w:rsid w:val="008C3CF9"/>
    <w:rsid w:val="008C5B44"/>
    <w:rsid w:val="008D242D"/>
    <w:rsid w:val="008D3F5B"/>
    <w:rsid w:val="008E1D9C"/>
    <w:rsid w:val="008E229F"/>
    <w:rsid w:val="008E386C"/>
    <w:rsid w:val="008E5277"/>
    <w:rsid w:val="008F23D1"/>
    <w:rsid w:val="008F50D6"/>
    <w:rsid w:val="008F65DF"/>
    <w:rsid w:val="00903F1F"/>
    <w:rsid w:val="009058BA"/>
    <w:rsid w:val="009075F7"/>
    <w:rsid w:val="00910BD8"/>
    <w:rsid w:val="00912148"/>
    <w:rsid w:val="00912A0F"/>
    <w:rsid w:val="00912AE9"/>
    <w:rsid w:val="00913AA3"/>
    <w:rsid w:val="0091502C"/>
    <w:rsid w:val="00915E14"/>
    <w:rsid w:val="00916CD1"/>
    <w:rsid w:val="009206A1"/>
    <w:rsid w:val="009239BC"/>
    <w:rsid w:val="009245FA"/>
    <w:rsid w:val="0092566D"/>
    <w:rsid w:val="00927145"/>
    <w:rsid w:val="00927997"/>
    <w:rsid w:val="00930B7F"/>
    <w:rsid w:val="00930F34"/>
    <w:rsid w:val="00931608"/>
    <w:rsid w:val="00935A7F"/>
    <w:rsid w:val="00935C61"/>
    <w:rsid w:val="00940106"/>
    <w:rsid w:val="009418AA"/>
    <w:rsid w:val="009424D8"/>
    <w:rsid w:val="00945681"/>
    <w:rsid w:val="009502C5"/>
    <w:rsid w:val="0095124B"/>
    <w:rsid w:val="0095236B"/>
    <w:rsid w:val="00953A09"/>
    <w:rsid w:val="009556B5"/>
    <w:rsid w:val="00956A72"/>
    <w:rsid w:val="00960325"/>
    <w:rsid w:val="00960AC1"/>
    <w:rsid w:val="00960CF6"/>
    <w:rsid w:val="009614C1"/>
    <w:rsid w:val="00965812"/>
    <w:rsid w:val="009658DE"/>
    <w:rsid w:val="00967452"/>
    <w:rsid w:val="00970205"/>
    <w:rsid w:val="00970CC1"/>
    <w:rsid w:val="00971075"/>
    <w:rsid w:val="0097320E"/>
    <w:rsid w:val="00973E5B"/>
    <w:rsid w:val="009762C4"/>
    <w:rsid w:val="00981B94"/>
    <w:rsid w:val="00984674"/>
    <w:rsid w:val="009905D6"/>
    <w:rsid w:val="00990808"/>
    <w:rsid w:val="00992714"/>
    <w:rsid w:val="00994C1C"/>
    <w:rsid w:val="009958BF"/>
    <w:rsid w:val="00996ECB"/>
    <w:rsid w:val="009A0CBE"/>
    <w:rsid w:val="009A1C56"/>
    <w:rsid w:val="009A2AB6"/>
    <w:rsid w:val="009A5110"/>
    <w:rsid w:val="009A750D"/>
    <w:rsid w:val="009B02A8"/>
    <w:rsid w:val="009B109C"/>
    <w:rsid w:val="009B1702"/>
    <w:rsid w:val="009B4410"/>
    <w:rsid w:val="009B4DA5"/>
    <w:rsid w:val="009B4DCD"/>
    <w:rsid w:val="009B5F3E"/>
    <w:rsid w:val="009B6EA5"/>
    <w:rsid w:val="009C04BD"/>
    <w:rsid w:val="009C1D55"/>
    <w:rsid w:val="009C36FC"/>
    <w:rsid w:val="009C631A"/>
    <w:rsid w:val="009C6E8F"/>
    <w:rsid w:val="009D02DE"/>
    <w:rsid w:val="009D02E0"/>
    <w:rsid w:val="009D0382"/>
    <w:rsid w:val="009E0239"/>
    <w:rsid w:val="009E0F12"/>
    <w:rsid w:val="009F364E"/>
    <w:rsid w:val="00A00336"/>
    <w:rsid w:val="00A04C99"/>
    <w:rsid w:val="00A056FD"/>
    <w:rsid w:val="00A05DB1"/>
    <w:rsid w:val="00A05DBD"/>
    <w:rsid w:val="00A06060"/>
    <w:rsid w:val="00A06D8A"/>
    <w:rsid w:val="00A07339"/>
    <w:rsid w:val="00A07ED3"/>
    <w:rsid w:val="00A15009"/>
    <w:rsid w:val="00A20868"/>
    <w:rsid w:val="00A21FF1"/>
    <w:rsid w:val="00A24AB4"/>
    <w:rsid w:val="00A25665"/>
    <w:rsid w:val="00A27F86"/>
    <w:rsid w:val="00A304C1"/>
    <w:rsid w:val="00A31916"/>
    <w:rsid w:val="00A32985"/>
    <w:rsid w:val="00A353B5"/>
    <w:rsid w:val="00A3561A"/>
    <w:rsid w:val="00A364C8"/>
    <w:rsid w:val="00A36F34"/>
    <w:rsid w:val="00A40DC2"/>
    <w:rsid w:val="00A43D6A"/>
    <w:rsid w:val="00A4502F"/>
    <w:rsid w:val="00A52FD1"/>
    <w:rsid w:val="00A54825"/>
    <w:rsid w:val="00A55B44"/>
    <w:rsid w:val="00A56C87"/>
    <w:rsid w:val="00A60D94"/>
    <w:rsid w:val="00A6244F"/>
    <w:rsid w:val="00A6264E"/>
    <w:rsid w:val="00A63B19"/>
    <w:rsid w:val="00A64B5D"/>
    <w:rsid w:val="00A66A80"/>
    <w:rsid w:val="00A67C49"/>
    <w:rsid w:val="00A739E5"/>
    <w:rsid w:val="00A73A48"/>
    <w:rsid w:val="00A75052"/>
    <w:rsid w:val="00A751DD"/>
    <w:rsid w:val="00A75DA8"/>
    <w:rsid w:val="00A760F8"/>
    <w:rsid w:val="00A775D7"/>
    <w:rsid w:val="00A81939"/>
    <w:rsid w:val="00A82B46"/>
    <w:rsid w:val="00A8595F"/>
    <w:rsid w:val="00A861D5"/>
    <w:rsid w:val="00A90C82"/>
    <w:rsid w:val="00A95AF4"/>
    <w:rsid w:val="00A95DBA"/>
    <w:rsid w:val="00A970EC"/>
    <w:rsid w:val="00AB2006"/>
    <w:rsid w:val="00AB2960"/>
    <w:rsid w:val="00AB5351"/>
    <w:rsid w:val="00AB7DA6"/>
    <w:rsid w:val="00AC2BFD"/>
    <w:rsid w:val="00AC46FC"/>
    <w:rsid w:val="00AD44C7"/>
    <w:rsid w:val="00AD68D3"/>
    <w:rsid w:val="00AD68E7"/>
    <w:rsid w:val="00AD69CE"/>
    <w:rsid w:val="00AF255A"/>
    <w:rsid w:val="00AF3D8D"/>
    <w:rsid w:val="00AF5AA0"/>
    <w:rsid w:val="00B00300"/>
    <w:rsid w:val="00B00849"/>
    <w:rsid w:val="00B00BC1"/>
    <w:rsid w:val="00B02539"/>
    <w:rsid w:val="00B02DC4"/>
    <w:rsid w:val="00B03E8F"/>
    <w:rsid w:val="00B048E0"/>
    <w:rsid w:val="00B1192C"/>
    <w:rsid w:val="00B141DA"/>
    <w:rsid w:val="00B15D11"/>
    <w:rsid w:val="00B160C3"/>
    <w:rsid w:val="00B17E81"/>
    <w:rsid w:val="00B200FE"/>
    <w:rsid w:val="00B20D8E"/>
    <w:rsid w:val="00B2190C"/>
    <w:rsid w:val="00B2233F"/>
    <w:rsid w:val="00B2636D"/>
    <w:rsid w:val="00B300EF"/>
    <w:rsid w:val="00B309C4"/>
    <w:rsid w:val="00B346F2"/>
    <w:rsid w:val="00B41C17"/>
    <w:rsid w:val="00B4339C"/>
    <w:rsid w:val="00B440B4"/>
    <w:rsid w:val="00B44981"/>
    <w:rsid w:val="00B473E4"/>
    <w:rsid w:val="00B47718"/>
    <w:rsid w:val="00B5001F"/>
    <w:rsid w:val="00B50DAF"/>
    <w:rsid w:val="00B51DA7"/>
    <w:rsid w:val="00B52152"/>
    <w:rsid w:val="00B52F14"/>
    <w:rsid w:val="00B530AC"/>
    <w:rsid w:val="00B54683"/>
    <w:rsid w:val="00B54949"/>
    <w:rsid w:val="00B55100"/>
    <w:rsid w:val="00B55ED7"/>
    <w:rsid w:val="00B6092D"/>
    <w:rsid w:val="00B60A3E"/>
    <w:rsid w:val="00B60A45"/>
    <w:rsid w:val="00B61420"/>
    <w:rsid w:val="00B6301E"/>
    <w:rsid w:val="00B6362C"/>
    <w:rsid w:val="00B666DA"/>
    <w:rsid w:val="00B71129"/>
    <w:rsid w:val="00B72E50"/>
    <w:rsid w:val="00B73DB6"/>
    <w:rsid w:val="00B76304"/>
    <w:rsid w:val="00B801CD"/>
    <w:rsid w:val="00B82051"/>
    <w:rsid w:val="00B85F2E"/>
    <w:rsid w:val="00B86E47"/>
    <w:rsid w:val="00B90AAB"/>
    <w:rsid w:val="00B940BE"/>
    <w:rsid w:val="00B95267"/>
    <w:rsid w:val="00B9556B"/>
    <w:rsid w:val="00B966D6"/>
    <w:rsid w:val="00B96938"/>
    <w:rsid w:val="00BA053C"/>
    <w:rsid w:val="00BA2EFD"/>
    <w:rsid w:val="00BA3FB4"/>
    <w:rsid w:val="00BA44DA"/>
    <w:rsid w:val="00BA4739"/>
    <w:rsid w:val="00BA780F"/>
    <w:rsid w:val="00BB020C"/>
    <w:rsid w:val="00BB24C1"/>
    <w:rsid w:val="00BB4CBE"/>
    <w:rsid w:val="00BC05D4"/>
    <w:rsid w:val="00BC0F0C"/>
    <w:rsid w:val="00BC28D1"/>
    <w:rsid w:val="00BC6213"/>
    <w:rsid w:val="00BC69EC"/>
    <w:rsid w:val="00BD1E32"/>
    <w:rsid w:val="00BD2B9E"/>
    <w:rsid w:val="00BD3164"/>
    <w:rsid w:val="00BD3D70"/>
    <w:rsid w:val="00BD3EF7"/>
    <w:rsid w:val="00BD4B36"/>
    <w:rsid w:val="00BD5205"/>
    <w:rsid w:val="00BE0057"/>
    <w:rsid w:val="00BE2E1A"/>
    <w:rsid w:val="00BE5749"/>
    <w:rsid w:val="00BF025E"/>
    <w:rsid w:val="00BF0AA6"/>
    <w:rsid w:val="00BF5FEA"/>
    <w:rsid w:val="00C022FF"/>
    <w:rsid w:val="00C061C1"/>
    <w:rsid w:val="00C07D5C"/>
    <w:rsid w:val="00C10F58"/>
    <w:rsid w:val="00C235CD"/>
    <w:rsid w:val="00C24C83"/>
    <w:rsid w:val="00C25E4C"/>
    <w:rsid w:val="00C3074F"/>
    <w:rsid w:val="00C4526E"/>
    <w:rsid w:val="00C47EB6"/>
    <w:rsid w:val="00C504E9"/>
    <w:rsid w:val="00C507AE"/>
    <w:rsid w:val="00C55D61"/>
    <w:rsid w:val="00C57D32"/>
    <w:rsid w:val="00C6021A"/>
    <w:rsid w:val="00C60317"/>
    <w:rsid w:val="00C60AA8"/>
    <w:rsid w:val="00C6106D"/>
    <w:rsid w:val="00C6127A"/>
    <w:rsid w:val="00C61B4C"/>
    <w:rsid w:val="00C6562A"/>
    <w:rsid w:val="00C72D4F"/>
    <w:rsid w:val="00C76206"/>
    <w:rsid w:val="00C86240"/>
    <w:rsid w:val="00C86778"/>
    <w:rsid w:val="00C86FCF"/>
    <w:rsid w:val="00C90E5B"/>
    <w:rsid w:val="00C91722"/>
    <w:rsid w:val="00C91865"/>
    <w:rsid w:val="00C92A32"/>
    <w:rsid w:val="00C9354B"/>
    <w:rsid w:val="00C94FF4"/>
    <w:rsid w:val="00CA03AD"/>
    <w:rsid w:val="00CA4216"/>
    <w:rsid w:val="00CA42A6"/>
    <w:rsid w:val="00CB1249"/>
    <w:rsid w:val="00CB4960"/>
    <w:rsid w:val="00CB4FE7"/>
    <w:rsid w:val="00CB6516"/>
    <w:rsid w:val="00CB6B37"/>
    <w:rsid w:val="00CB7FE1"/>
    <w:rsid w:val="00CC07CB"/>
    <w:rsid w:val="00CC1F8F"/>
    <w:rsid w:val="00CC29B5"/>
    <w:rsid w:val="00CC3F05"/>
    <w:rsid w:val="00CC3F5D"/>
    <w:rsid w:val="00CC3F62"/>
    <w:rsid w:val="00CC4B6A"/>
    <w:rsid w:val="00CC69BD"/>
    <w:rsid w:val="00CD0107"/>
    <w:rsid w:val="00CD031F"/>
    <w:rsid w:val="00CD1219"/>
    <w:rsid w:val="00CD2F1E"/>
    <w:rsid w:val="00CD6E34"/>
    <w:rsid w:val="00CE32A2"/>
    <w:rsid w:val="00CE3EF3"/>
    <w:rsid w:val="00CF07A9"/>
    <w:rsid w:val="00CF0FFE"/>
    <w:rsid w:val="00CF58E7"/>
    <w:rsid w:val="00CF7BF9"/>
    <w:rsid w:val="00CF7F9D"/>
    <w:rsid w:val="00D0073B"/>
    <w:rsid w:val="00D03404"/>
    <w:rsid w:val="00D0388F"/>
    <w:rsid w:val="00D13045"/>
    <w:rsid w:val="00D130AC"/>
    <w:rsid w:val="00D13A29"/>
    <w:rsid w:val="00D1461F"/>
    <w:rsid w:val="00D147E7"/>
    <w:rsid w:val="00D151D1"/>
    <w:rsid w:val="00D153A8"/>
    <w:rsid w:val="00D15933"/>
    <w:rsid w:val="00D16193"/>
    <w:rsid w:val="00D172D8"/>
    <w:rsid w:val="00D21E50"/>
    <w:rsid w:val="00D22728"/>
    <w:rsid w:val="00D227D0"/>
    <w:rsid w:val="00D2625D"/>
    <w:rsid w:val="00D26A41"/>
    <w:rsid w:val="00D30390"/>
    <w:rsid w:val="00D31E00"/>
    <w:rsid w:val="00D321CB"/>
    <w:rsid w:val="00D32C04"/>
    <w:rsid w:val="00D34DA5"/>
    <w:rsid w:val="00D352A0"/>
    <w:rsid w:val="00D35918"/>
    <w:rsid w:val="00D36036"/>
    <w:rsid w:val="00D36CF9"/>
    <w:rsid w:val="00D4195B"/>
    <w:rsid w:val="00D45FEE"/>
    <w:rsid w:val="00D46093"/>
    <w:rsid w:val="00D46AA4"/>
    <w:rsid w:val="00D47A86"/>
    <w:rsid w:val="00D47B3E"/>
    <w:rsid w:val="00D47EB2"/>
    <w:rsid w:val="00D50D91"/>
    <w:rsid w:val="00D541D7"/>
    <w:rsid w:val="00D54279"/>
    <w:rsid w:val="00D54EF0"/>
    <w:rsid w:val="00D55A9D"/>
    <w:rsid w:val="00D55B51"/>
    <w:rsid w:val="00D56766"/>
    <w:rsid w:val="00D60EEE"/>
    <w:rsid w:val="00D63D64"/>
    <w:rsid w:val="00D668DE"/>
    <w:rsid w:val="00D66A4A"/>
    <w:rsid w:val="00D708EF"/>
    <w:rsid w:val="00D71A55"/>
    <w:rsid w:val="00D71D11"/>
    <w:rsid w:val="00D7292A"/>
    <w:rsid w:val="00D755B6"/>
    <w:rsid w:val="00D75F89"/>
    <w:rsid w:val="00D75FAA"/>
    <w:rsid w:val="00D82DF0"/>
    <w:rsid w:val="00D83326"/>
    <w:rsid w:val="00D85406"/>
    <w:rsid w:val="00D879BD"/>
    <w:rsid w:val="00D9282E"/>
    <w:rsid w:val="00D94DE4"/>
    <w:rsid w:val="00D97080"/>
    <w:rsid w:val="00DA35DE"/>
    <w:rsid w:val="00DA44E1"/>
    <w:rsid w:val="00DA5698"/>
    <w:rsid w:val="00DB541B"/>
    <w:rsid w:val="00DB7CA6"/>
    <w:rsid w:val="00DC0AFE"/>
    <w:rsid w:val="00DC1E6E"/>
    <w:rsid w:val="00DC2D98"/>
    <w:rsid w:val="00DC7238"/>
    <w:rsid w:val="00DD15C1"/>
    <w:rsid w:val="00DD7EDF"/>
    <w:rsid w:val="00DE10CB"/>
    <w:rsid w:val="00DE2A93"/>
    <w:rsid w:val="00DE308B"/>
    <w:rsid w:val="00DF399B"/>
    <w:rsid w:val="00DF4309"/>
    <w:rsid w:val="00E001DC"/>
    <w:rsid w:val="00E03544"/>
    <w:rsid w:val="00E05261"/>
    <w:rsid w:val="00E06E0D"/>
    <w:rsid w:val="00E11C2E"/>
    <w:rsid w:val="00E1288D"/>
    <w:rsid w:val="00E13195"/>
    <w:rsid w:val="00E20C66"/>
    <w:rsid w:val="00E23631"/>
    <w:rsid w:val="00E23C67"/>
    <w:rsid w:val="00E24DB1"/>
    <w:rsid w:val="00E2554C"/>
    <w:rsid w:val="00E30308"/>
    <w:rsid w:val="00E33DD9"/>
    <w:rsid w:val="00E34FD7"/>
    <w:rsid w:val="00E35A32"/>
    <w:rsid w:val="00E370E2"/>
    <w:rsid w:val="00E373A2"/>
    <w:rsid w:val="00E42606"/>
    <w:rsid w:val="00E42D62"/>
    <w:rsid w:val="00E436E3"/>
    <w:rsid w:val="00E43D75"/>
    <w:rsid w:val="00E43EC8"/>
    <w:rsid w:val="00E476BB"/>
    <w:rsid w:val="00E4776B"/>
    <w:rsid w:val="00E47BEE"/>
    <w:rsid w:val="00E47FC2"/>
    <w:rsid w:val="00E50292"/>
    <w:rsid w:val="00E51794"/>
    <w:rsid w:val="00E60A9A"/>
    <w:rsid w:val="00E60D86"/>
    <w:rsid w:val="00E647E4"/>
    <w:rsid w:val="00E64B12"/>
    <w:rsid w:val="00E65024"/>
    <w:rsid w:val="00E658FE"/>
    <w:rsid w:val="00E731CE"/>
    <w:rsid w:val="00E7594E"/>
    <w:rsid w:val="00E75E50"/>
    <w:rsid w:val="00E77EC6"/>
    <w:rsid w:val="00E80B7C"/>
    <w:rsid w:val="00E810CD"/>
    <w:rsid w:val="00E82E18"/>
    <w:rsid w:val="00E852E7"/>
    <w:rsid w:val="00E90A68"/>
    <w:rsid w:val="00E90AB6"/>
    <w:rsid w:val="00E91649"/>
    <w:rsid w:val="00E92486"/>
    <w:rsid w:val="00E92B66"/>
    <w:rsid w:val="00E935E9"/>
    <w:rsid w:val="00E959B8"/>
    <w:rsid w:val="00E976F4"/>
    <w:rsid w:val="00E9775F"/>
    <w:rsid w:val="00EA0E9C"/>
    <w:rsid w:val="00EA3558"/>
    <w:rsid w:val="00EA3F5E"/>
    <w:rsid w:val="00EA475C"/>
    <w:rsid w:val="00EA4C3E"/>
    <w:rsid w:val="00EA672C"/>
    <w:rsid w:val="00EA74C6"/>
    <w:rsid w:val="00EB00B3"/>
    <w:rsid w:val="00EB3990"/>
    <w:rsid w:val="00EB7334"/>
    <w:rsid w:val="00EC4029"/>
    <w:rsid w:val="00EC71E5"/>
    <w:rsid w:val="00EC72B7"/>
    <w:rsid w:val="00EC7F7F"/>
    <w:rsid w:val="00EC7FD5"/>
    <w:rsid w:val="00ED1055"/>
    <w:rsid w:val="00ED190E"/>
    <w:rsid w:val="00ED1DC4"/>
    <w:rsid w:val="00ED5116"/>
    <w:rsid w:val="00EE1FD6"/>
    <w:rsid w:val="00EE3127"/>
    <w:rsid w:val="00EE6C56"/>
    <w:rsid w:val="00EE6D72"/>
    <w:rsid w:val="00EE761E"/>
    <w:rsid w:val="00EE7CC8"/>
    <w:rsid w:val="00EF5B49"/>
    <w:rsid w:val="00F0011A"/>
    <w:rsid w:val="00F0448D"/>
    <w:rsid w:val="00F04D81"/>
    <w:rsid w:val="00F053F0"/>
    <w:rsid w:val="00F064F1"/>
    <w:rsid w:val="00F0653E"/>
    <w:rsid w:val="00F069BE"/>
    <w:rsid w:val="00F1080C"/>
    <w:rsid w:val="00F163BF"/>
    <w:rsid w:val="00F168E5"/>
    <w:rsid w:val="00F21ACD"/>
    <w:rsid w:val="00F2201C"/>
    <w:rsid w:val="00F266FD"/>
    <w:rsid w:val="00F27518"/>
    <w:rsid w:val="00F31E6C"/>
    <w:rsid w:val="00F3268B"/>
    <w:rsid w:val="00F32F70"/>
    <w:rsid w:val="00F34296"/>
    <w:rsid w:val="00F34A08"/>
    <w:rsid w:val="00F40C7F"/>
    <w:rsid w:val="00F42435"/>
    <w:rsid w:val="00F42F1C"/>
    <w:rsid w:val="00F46C33"/>
    <w:rsid w:val="00F47686"/>
    <w:rsid w:val="00F50351"/>
    <w:rsid w:val="00F511CD"/>
    <w:rsid w:val="00F526C5"/>
    <w:rsid w:val="00F52FEE"/>
    <w:rsid w:val="00F53BEB"/>
    <w:rsid w:val="00F53D0C"/>
    <w:rsid w:val="00F631E0"/>
    <w:rsid w:val="00F6350D"/>
    <w:rsid w:val="00F6474F"/>
    <w:rsid w:val="00F64E46"/>
    <w:rsid w:val="00F652F3"/>
    <w:rsid w:val="00F66824"/>
    <w:rsid w:val="00F66E78"/>
    <w:rsid w:val="00F67347"/>
    <w:rsid w:val="00F67383"/>
    <w:rsid w:val="00F677DF"/>
    <w:rsid w:val="00F702F6"/>
    <w:rsid w:val="00F71134"/>
    <w:rsid w:val="00F71BC6"/>
    <w:rsid w:val="00F75712"/>
    <w:rsid w:val="00F8104D"/>
    <w:rsid w:val="00F85D30"/>
    <w:rsid w:val="00F87486"/>
    <w:rsid w:val="00F87C5A"/>
    <w:rsid w:val="00F94035"/>
    <w:rsid w:val="00F96A63"/>
    <w:rsid w:val="00F971E5"/>
    <w:rsid w:val="00F9796A"/>
    <w:rsid w:val="00FA0CF2"/>
    <w:rsid w:val="00FA2C3E"/>
    <w:rsid w:val="00FA4B93"/>
    <w:rsid w:val="00FA707A"/>
    <w:rsid w:val="00FB004A"/>
    <w:rsid w:val="00FB1E02"/>
    <w:rsid w:val="00FB2110"/>
    <w:rsid w:val="00FB331B"/>
    <w:rsid w:val="00FB795A"/>
    <w:rsid w:val="00FC1C24"/>
    <w:rsid w:val="00FC47E3"/>
    <w:rsid w:val="00FC4CE5"/>
    <w:rsid w:val="00FC5759"/>
    <w:rsid w:val="00FC5FE0"/>
    <w:rsid w:val="00FC650E"/>
    <w:rsid w:val="00FC6852"/>
    <w:rsid w:val="00FD0611"/>
    <w:rsid w:val="00FD17F3"/>
    <w:rsid w:val="00FD2312"/>
    <w:rsid w:val="00FD630E"/>
    <w:rsid w:val="00FD6EF1"/>
    <w:rsid w:val="00FE154E"/>
    <w:rsid w:val="00FE2FAC"/>
    <w:rsid w:val="00FE49E0"/>
    <w:rsid w:val="00FE4D0D"/>
    <w:rsid w:val="00FF22EA"/>
    <w:rsid w:val="00FF25AB"/>
    <w:rsid w:val="00FF4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5CC57"/>
  <w15:chartTrackingRefBased/>
  <w15:docId w15:val="{09D10BC7-7A44-42A8-BFC5-A24276DB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6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61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17D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4C8"/>
    <w:rPr>
      <w:color w:val="0000FF"/>
      <w:u w:val="single"/>
    </w:rPr>
  </w:style>
  <w:style w:type="character" w:customStyle="1" w:styleId="apple-converted-space">
    <w:name w:val="apple-converted-space"/>
    <w:basedOn w:val="DefaultParagraphFont"/>
    <w:rsid w:val="00A364C8"/>
  </w:style>
  <w:style w:type="paragraph" w:customStyle="1" w:styleId="EndNoteBibliographyTitle">
    <w:name w:val="EndNote Bibliography Title"/>
    <w:basedOn w:val="Normal"/>
    <w:link w:val="EndNoteBibliographyTitleChar"/>
    <w:rsid w:val="00915E14"/>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15E14"/>
    <w:rPr>
      <w:rFonts w:ascii="Calibri" w:eastAsia="Times New Roman" w:hAnsi="Calibri" w:cs="Calibri"/>
      <w:kern w:val="0"/>
      <w14:ligatures w14:val="none"/>
    </w:rPr>
  </w:style>
  <w:style w:type="paragraph" w:customStyle="1" w:styleId="EndNoteBibliography">
    <w:name w:val="EndNote Bibliography"/>
    <w:basedOn w:val="Normal"/>
    <w:link w:val="EndNoteBibliographyChar"/>
    <w:rsid w:val="00915E14"/>
    <w:rPr>
      <w:rFonts w:ascii="Calibri" w:hAnsi="Calibri" w:cs="Calibri"/>
    </w:rPr>
  </w:style>
  <w:style w:type="character" w:customStyle="1" w:styleId="EndNoteBibliographyChar">
    <w:name w:val="EndNote Bibliography Char"/>
    <w:basedOn w:val="DefaultParagraphFont"/>
    <w:link w:val="EndNoteBibliography"/>
    <w:rsid w:val="00915E14"/>
    <w:rPr>
      <w:rFonts w:ascii="Calibri" w:eastAsia="Times New Roman" w:hAnsi="Calibri" w:cs="Calibri"/>
      <w:kern w:val="0"/>
      <w14:ligatures w14:val="none"/>
    </w:rPr>
  </w:style>
  <w:style w:type="paragraph" w:styleId="ListParagraph">
    <w:name w:val="List Paragraph"/>
    <w:basedOn w:val="Normal"/>
    <w:uiPriority w:val="34"/>
    <w:qFormat/>
    <w:rsid w:val="00E370E2"/>
    <w:pPr>
      <w:ind w:left="720"/>
      <w:contextualSpacing/>
    </w:pPr>
  </w:style>
  <w:style w:type="paragraph" w:styleId="NormalWeb">
    <w:name w:val="Normal (Web)"/>
    <w:basedOn w:val="Normal"/>
    <w:uiPriority w:val="99"/>
    <w:unhideWhenUsed/>
    <w:rsid w:val="00BF5FEA"/>
    <w:pPr>
      <w:spacing w:before="100" w:beforeAutospacing="1" w:after="100" w:afterAutospacing="1"/>
    </w:pPr>
  </w:style>
  <w:style w:type="character" w:styleId="CommentReference">
    <w:name w:val="annotation reference"/>
    <w:basedOn w:val="DefaultParagraphFont"/>
    <w:uiPriority w:val="99"/>
    <w:semiHidden/>
    <w:unhideWhenUsed/>
    <w:rsid w:val="000C6277"/>
    <w:rPr>
      <w:sz w:val="16"/>
      <w:szCs w:val="16"/>
    </w:rPr>
  </w:style>
  <w:style w:type="paragraph" w:styleId="CommentText">
    <w:name w:val="annotation text"/>
    <w:basedOn w:val="Normal"/>
    <w:link w:val="CommentTextChar"/>
    <w:uiPriority w:val="99"/>
    <w:unhideWhenUsed/>
    <w:rsid w:val="000C6277"/>
    <w:rPr>
      <w:sz w:val="20"/>
      <w:szCs w:val="20"/>
    </w:rPr>
  </w:style>
  <w:style w:type="character" w:customStyle="1" w:styleId="CommentTextChar">
    <w:name w:val="Comment Text Char"/>
    <w:basedOn w:val="DefaultParagraphFont"/>
    <w:link w:val="CommentText"/>
    <w:uiPriority w:val="99"/>
    <w:rsid w:val="000C6277"/>
    <w:rPr>
      <w:sz w:val="20"/>
      <w:szCs w:val="20"/>
    </w:rPr>
  </w:style>
  <w:style w:type="paragraph" w:styleId="CommentSubject">
    <w:name w:val="annotation subject"/>
    <w:basedOn w:val="CommentText"/>
    <w:next w:val="CommentText"/>
    <w:link w:val="CommentSubjectChar"/>
    <w:uiPriority w:val="99"/>
    <w:semiHidden/>
    <w:unhideWhenUsed/>
    <w:rsid w:val="000C6277"/>
    <w:rPr>
      <w:b/>
      <w:bCs/>
    </w:rPr>
  </w:style>
  <w:style w:type="character" w:customStyle="1" w:styleId="CommentSubjectChar">
    <w:name w:val="Comment Subject Char"/>
    <w:basedOn w:val="CommentTextChar"/>
    <w:link w:val="CommentSubject"/>
    <w:uiPriority w:val="99"/>
    <w:semiHidden/>
    <w:rsid w:val="000C6277"/>
    <w:rPr>
      <w:b/>
      <w:bCs/>
      <w:sz w:val="20"/>
      <w:szCs w:val="20"/>
    </w:rPr>
  </w:style>
  <w:style w:type="paragraph" w:styleId="Footer">
    <w:name w:val="footer"/>
    <w:basedOn w:val="Normal"/>
    <w:link w:val="FooterChar"/>
    <w:uiPriority w:val="99"/>
    <w:unhideWhenUsed/>
    <w:rsid w:val="00994C1C"/>
    <w:pPr>
      <w:tabs>
        <w:tab w:val="center" w:pos="4680"/>
        <w:tab w:val="right" w:pos="9360"/>
      </w:tabs>
    </w:pPr>
  </w:style>
  <w:style w:type="character" w:customStyle="1" w:styleId="FooterChar">
    <w:name w:val="Footer Char"/>
    <w:basedOn w:val="DefaultParagraphFont"/>
    <w:link w:val="Footer"/>
    <w:uiPriority w:val="99"/>
    <w:rsid w:val="00994C1C"/>
  </w:style>
  <w:style w:type="character" w:styleId="PageNumber">
    <w:name w:val="page number"/>
    <w:basedOn w:val="DefaultParagraphFont"/>
    <w:uiPriority w:val="99"/>
    <w:semiHidden/>
    <w:unhideWhenUsed/>
    <w:rsid w:val="00994C1C"/>
  </w:style>
  <w:style w:type="table" w:styleId="TableGrid">
    <w:name w:val="Table Grid"/>
    <w:basedOn w:val="TableNormal"/>
    <w:uiPriority w:val="39"/>
    <w:rsid w:val="00727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05C6"/>
    <w:rPr>
      <w:b/>
      <w:bCs/>
    </w:rPr>
  </w:style>
  <w:style w:type="character" w:customStyle="1" w:styleId="UnresolvedMention1">
    <w:name w:val="Unresolved Mention1"/>
    <w:basedOn w:val="DefaultParagraphFont"/>
    <w:uiPriority w:val="99"/>
    <w:semiHidden/>
    <w:unhideWhenUsed/>
    <w:rsid w:val="00FC6852"/>
    <w:rPr>
      <w:color w:val="605E5C"/>
      <w:shd w:val="clear" w:color="auto" w:fill="E1DFDD"/>
    </w:rPr>
  </w:style>
  <w:style w:type="character" w:styleId="FollowedHyperlink">
    <w:name w:val="FollowedHyperlink"/>
    <w:basedOn w:val="DefaultParagraphFont"/>
    <w:uiPriority w:val="99"/>
    <w:semiHidden/>
    <w:unhideWhenUsed/>
    <w:rsid w:val="00FC6852"/>
    <w:rPr>
      <w:color w:val="954F72" w:themeColor="followedHyperlink"/>
      <w:u w:val="single"/>
    </w:rPr>
  </w:style>
  <w:style w:type="paragraph" w:styleId="BalloonText">
    <w:name w:val="Balloon Text"/>
    <w:basedOn w:val="Normal"/>
    <w:link w:val="BalloonTextChar"/>
    <w:uiPriority w:val="99"/>
    <w:semiHidden/>
    <w:unhideWhenUsed/>
    <w:rsid w:val="00B26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36D"/>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E658FE"/>
    <w:pPr>
      <w:tabs>
        <w:tab w:val="center" w:pos="4252"/>
        <w:tab w:val="right" w:pos="8504"/>
      </w:tabs>
    </w:pPr>
  </w:style>
  <w:style w:type="character" w:customStyle="1" w:styleId="HeaderChar">
    <w:name w:val="Header Char"/>
    <w:basedOn w:val="DefaultParagraphFont"/>
    <w:link w:val="Header"/>
    <w:uiPriority w:val="99"/>
    <w:rsid w:val="00E658FE"/>
    <w:rPr>
      <w:rFonts w:ascii="Times New Roman" w:eastAsia="Times New Roman" w:hAnsi="Times New Roman" w:cs="Times New Roman"/>
      <w:kern w:val="0"/>
      <w14:ligatures w14:val="none"/>
    </w:rPr>
  </w:style>
  <w:style w:type="paragraph" w:styleId="Revision">
    <w:name w:val="Revision"/>
    <w:hidden/>
    <w:uiPriority w:val="99"/>
    <w:semiHidden/>
    <w:rsid w:val="00577721"/>
    <w:rPr>
      <w:rFonts w:ascii="Times New Roman" w:eastAsia="Times New Roman" w:hAnsi="Times New Roman" w:cs="Times New Roman"/>
      <w:kern w:val="0"/>
      <w14:ligatures w14:val="none"/>
    </w:rPr>
  </w:style>
  <w:style w:type="character" w:customStyle="1" w:styleId="citationsource-journal">
    <w:name w:val="citation_source-journal"/>
    <w:basedOn w:val="DefaultParagraphFont"/>
    <w:rsid w:val="00480969"/>
  </w:style>
  <w:style w:type="character" w:styleId="Emphasis">
    <w:name w:val="Emphasis"/>
    <w:basedOn w:val="DefaultParagraphFont"/>
    <w:uiPriority w:val="20"/>
    <w:qFormat/>
    <w:rsid w:val="00480969"/>
    <w:rPr>
      <w:i/>
      <w:iCs/>
    </w:rPr>
  </w:style>
  <w:style w:type="character" w:customStyle="1" w:styleId="gpwvoe5cb5b">
    <w:name w:val="gpwvoe5cb5b"/>
    <w:basedOn w:val="DefaultParagraphFont"/>
    <w:rsid w:val="003659F0"/>
  </w:style>
  <w:style w:type="character" w:customStyle="1" w:styleId="Heading3Char">
    <w:name w:val="Heading 3 Char"/>
    <w:basedOn w:val="DefaultParagraphFont"/>
    <w:link w:val="Heading3"/>
    <w:uiPriority w:val="9"/>
    <w:rsid w:val="00517DFF"/>
    <w:rPr>
      <w:rFonts w:ascii="Times New Roman" w:eastAsia="Times New Roman" w:hAnsi="Times New Roman" w:cs="Times New Roman"/>
      <w:b/>
      <w:bCs/>
      <w:kern w:val="0"/>
      <w:sz w:val="27"/>
      <w:szCs w:val="27"/>
      <w14:ligatures w14:val="none"/>
    </w:rPr>
  </w:style>
  <w:style w:type="character" w:customStyle="1" w:styleId="UnresolvedMention2">
    <w:name w:val="Unresolved Mention2"/>
    <w:basedOn w:val="DefaultParagraphFont"/>
    <w:uiPriority w:val="99"/>
    <w:semiHidden/>
    <w:unhideWhenUsed/>
    <w:rsid w:val="00C47EB6"/>
    <w:rPr>
      <w:color w:val="605E5C"/>
      <w:shd w:val="clear" w:color="auto" w:fill="E1DFDD"/>
    </w:rPr>
  </w:style>
  <w:style w:type="character" w:customStyle="1" w:styleId="UnresolvedMention3">
    <w:name w:val="Unresolved Mention3"/>
    <w:basedOn w:val="DefaultParagraphFont"/>
    <w:uiPriority w:val="99"/>
    <w:semiHidden/>
    <w:unhideWhenUsed/>
    <w:rsid w:val="00043D17"/>
    <w:rPr>
      <w:color w:val="605E5C"/>
      <w:shd w:val="clear" w:color="auto" w:fill="E1DFDD"/>
    </w:rPr>
  </w:style>
  <w:style w:type="character" w:styleId="UnresolvedMention">
    <w:name w:val="Unresolved Mention"/>
    <w:basedOn w:val="DefaultParagraphFont"/>
    <w:uiPriority w:val="99"/>
    <w:semiHidden/>
    <w:unhideWhenUsed/>
    <w:rsid w:val="0049015E"/>
    <w:rPr>
      <w:color w:val="605E5C"/>
      <w:shd w:val="clear" w:color="auto" w:fill="E1DFDD"/>
    </w:rPr>
  </w:style>
  <w:style w:type="character" w:customStyle="1" w:styleId="Heading1Char">
    <w:name w:val="Heading 1 Char"/>
    <w:basedOn w:val="DefaultParagraphFont"/>
    <w:link w:val="Heading1"/>
    <w:uiPriority w:val="9"/>
    <w:rsid w:val="00D1619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1936">
      <w:bodyDiv w:val="1"/>
      <w:marLeft w:val="0"/>
      <w:marRight w:val="0"/>
      <w:marTop w:val="0"/>
      <w:marBottom w:val="0"/>
      <w:divBdr>
        <w:top w:val="none" w:sz="0" w:space="0" w:color="auto"/>
        <w:left w:val="none" w:sz="0" w:space="0" w:color="auto"/>
        <w:bottom w:val="none" w:sz="0" w:space="0" w:color="auto"/>
        <w:right w:val="none" w:sz="0" w:space="0" w:color="auto"/>
      </w:divBdr>
    </w:div>
    <w:div w:id="131992816">
      <w:bodyDiv w:val="1"/>
      <w:marLeft w:val="0"/>
      <w:marRight w:val="0"/>
      <w:marTop w:val="0"/>
      <w:marBottom w:val="0"/>
      <w:divBdr>
        <w:top w:val="none" w:sz="0" w:space="0" w:color="auto"/>
        <w:left w:val="none" w:sz="0" w:space="0" w:color="auto"/>
        <w:bottom w:val="none" w:sz="0" w:space="0" w:color="auto"/>
        <w:right w:val="none" w:sz="0" w:space="0" w:color="auto"/>
      </w:divBdr>
    </w:div>
    <w:div w:id="243224237">
      <w:bodyDiv w:val="1"/>
      <w:marLeft w:val="0"/>
      <w:marRight w:val="0"/>
      <w:marTop w:val="0"/>
      <w:marBottom w:val="0"/>
      <w:divBdr>
        <w:top w:val="none" w:sz="0" w:space="0" w:color="auto"/>
        <w:left w:val="none" w:sz="0" w:space="0" w:color="auto"/>
        <w:bottom w:val="none" w:sz="0" w:space="0" w:color="auto"/>
        <w:right w:val="none" w:sz="0" w:space="0" w:color="auto"/>
      </w:divBdr>
    </w:div>
    <w:div w:id="385639706">
      <w:bodyDiv w:val="1"/>
      <w:marLeft w:val="0"/>
      <w:marRight w:val="0"/>
      <w:marTop w:val="0"/>
      <w:marBottom w:val="0"/>
      <w:divBdr>
        <w:top w:val="none" w:sz="0" w:space="0" w:color="auto"/>
        <w:left w:val="none" w:sz="0" w:space="0" w:color="auto"/>
        <w:bottom w:val="none" w:sz="0" w:space="0" w:color="auto"/>
        <w:right w:val="none" w:sz="0" w:space="0" w:color="auto"/>
      </w:divBdr>
    </w:div>
    <w:div w:id="387262669">
      <w:bodyDiv w:val="1"/>
      <w:marLeft w:val="0"/>
      <w:marRight w:val="0"/>
      <w:marTop w:val="0"/>
      <w:marBottom w:val="0"/>
      <w:divBdr>
        <w:top w:val="none" w:sz="0" w:space="0" w:color="auto"/>
        <w:left w:val="none" w:sz="0" w:space="0" w:color="auto"/>
        <w:bottom w:val="none" w:sz="0" w:space="0" w:color="auto"/>
        <w:right w:val="none" w:sz="0" w:space="0" w:color="auto"/>
      </w:divBdr>
    </w:div>
    <w:div w:id="391196997">
      <w:bodyDiv w:val="1"/>
      <w:marLeft w:val="0"/>
      <w:marRight w:val="0"/>
      <w:marTop w:val="0"/>
      <w:marBottom w:val="0"/>
      <w:divBdr>
        <w:top w:val="none" w:sz="0" w:space="0" w:color="auto"/>
        <w:left w:val="none" w:sz="0" w:space="0" w:color="auto"/>
        <w:bottom w:val="none" w:sz="0" w:space="0" w:color="auto"/>
        <w:right w:val="none" w:sz="0" w:space="0" w:color="auto"/>
      </w:divBdr>
    </w:div>
    <w:div w:id="447164343">
      <w:bodyDiv w:val="1"/>
      <w:marLeft w:val="0"/>
      <w:marRight w:val="0"/>
      <w:marTop w:val="0"/>
      <w:marBottom w:val="0"/>
      <w:divBdr>
        <w:top w:val="none" w:sz="0" w:space="0" w:color="auto"/>
        <w:left w:val="none" w:sz="0" w:space="0" w:color="auto"/>
        <w:bottom w:val="none" w:sz="0" w:space="0" w:color="auto"/>
        <w:right w:val="none" w:sz="0" w:space="0" w:color="auto"/>
      </w:divBdr>
    </w:div>
    <w:div w:id="604463116">
      <w:bodyDiv w:val="1"/>
      <w:marLeft w:val="0"/>
      <w:marRight w:val="0"/>
      <w:marTop w:val="0"/>
      <w:marBottom w:val="0"/>
      <w:divBdr>
        <w:top w:val="none" w:sz="0" w:space="0" w:color="auto"/>
        <w:left w:val="none" w:sz="0" w:space="0" w:color="auto"/>
        <w:bottom w:val="none" w:sz="0" w:space="0" w:color="auto"/>
        <w:right w:val="none" w:sz="0" w:space="0" w:color="auto"/>
      </w:divBdr>
    </w:div>
    <w:div w:id="745420992">
      <w:bodyDiv w:val="1"/>
      <w:marLeft w:val="0"/>
      <w:marRight w:val="0"/>
      <w:marTop w:val="0"/>
      <w:marBottom w:val="0"/>
      <w:divBdr>
        <w:top w:val="none" w:sz="0" w:space="0" w:color="auto"/>
        <w:left w:val="none" w:sz="0" w:space="0" w:color="auto"/>
        <w:bottom w:val="none" w:sz="0" w:space="0" w:color="auto"/>
        <w:right w:val="none" w:sz="0" w:space="0" w:color="auto"/>
      </w:divBdr>
    </w:div>
    <w:div w:id="795754532">
      <w:bodyDiv w:val="1"/>
      <w:marLeft w:val="0"/>
      <w:marRight w:val="0"/>
      <w:marTop w:val="0"/>
      <w:marBottom w:val="0"/>
      <w:divBdr>
        <w:top w:val="none" w:sz="0" w:space="0" w:color="auto"/>
        <w:left w:val="none" w:sz="0" w:space="0" w:color="auto"/>
        <w:bottom w:val="none" w:sz="0" w:space="0" w:color="auto"/>
        <w:right w:val="none" w:sz="0" w:space="0" w:color="auto"/>
      </w:divBdr>
    </w:div>
    <w:div w:id="829294648">
      <w:bodyDiv w:val="1"/>
      <w:marLeft w:val="0"/>
      <w:marRight w:val="0"/>
      <w:marTop w:val="0"/>
      <w:marBottom w:val="0"/>
      <w:divBdr>
        <w:top w:val="none" w:sz="0" w:space="0" w:color="auto"/>
        <w:left w:val="none" w:sz="0" w:space="0" w:color="auto"/>
        <w:bottom w:val="none" w:sz="0" w:space="0" w:color="auto"/>
        <w:right w:val="none" w:sz="0" w:space="0" w:color="auto"/>
      </w:divBdr>
    </w:div>
    <w:div w:id="1157647011">
      <w:bodyDiv w:val="1"/>
      <w:marLeft w:val="0"/>
      <w:marRight w:val="0"/>
      <w:marTop w:val="0"/>
      <w:marBottom w:val="0"/>
      <w:divBdr>
        <w:top w:val="none" w:sz="0" w:space="0" w:color="auto"/>
        <w:left w:val="none" w:sz="0" w:space="0" w:color="auto"/>
        <w:bottom w:val="none" w:sz="0" w:space="0" w:color="auto"/>
        <w:right w:val="none" w:sz="0" w:space="0" w:color="auto"/>
      </w:divBdr>
    </w:div>
    <w:div w:id="1181359121">
      <w:bodyDiv w:val="1"/>
      <w:marLeft w:val="0"/>
      <w:marRight w:val="0"/>
      <w:marTop w:val="0"/>
      <w:marBottom w:val="0"/>
      <w:divBdr>
        <w:top w:val="none" w:sz="0" w:space="0" w:color="auto"/>
        <w:left w:val="none" w:sz="0" w:space="0" w:color="auto"/>
        <w:bottom w:val="none" w:sz="0" w:space="0" w:color="auto"/>
        <w:right w:val="none" w:sz="0" w:space="0" w:color="auto"/>
      </w:divBdr>
    </w:div>
    <w:div w:id="1303778552">
      <w:bodyDiv w:val="1"/>
      <w:marLeft w:val="0"/>
      <w:marRight w:val="0"/>
      <w:marTop w:val="0"/>
      <w:marBottom w:val="0"/>
      <w:divBdr>
        <w:top w:val="none" w:sz="0" w:space="0" w:color="auto"/>
        <w:left w:val="none" w:sz="0" w:space="0" w:color="auto"/>
        <w:bottom w:val="none" w:sz="0" w:space="0" w:color="auto"/>
        <w:right w:val="none" w:sz="0" w:space="0" w:color="auto"/>
      </w:divBdr>
    </w:div>
    <w:div w:id="1395741813">
      <w:bodyDiv w:val="1"/>
      <w:marLeft w:val="0"/>
      <w:marRight w:val="0"/>
      <w:marTop w:val="0"/>
      <w:marBottom w:val="0"/>
      <w:divBdr>
        <w:top w:val="none" w:sz="0" w:space="0" w:color="auto"/>
        <w:left w:val="none" w:sz="0" w:space="0" w:color="auto"/>
        <w:bottom w:val="none" w:sz="0" w:space="0" w:color="auto"/>
        <w:right w:val="none" w:sz="0" w:space="0" w:color="auto"/>
      </w:divBdr>
      <w:divsChild>
        <w:div w:id="736247878">
          <w:marLeft w:val="0"/>
          <w:marRight w:val="0"/>
          <w:marTop w:val="0"/>
          <w:marBottom w:val="0"/>
          <w:divBdr>
            <w:top w:val="single" w:sz="2" w:space="0" w:color="D9D9E3"/>
            <w:left w:val="single" w:sz="2" w:space="0" w:color="D9D9E3"/>
            <w:bottom w:val="single" w:sz="2" w:space="0" w:color="D9D9E3"/>
            <w:right w:val="single" w:sz="2" w:space="0" w:color="D9D9E3"/>
          </w:divBdr>
          <w:divsChild>
            <w:div w:id="1523519203">
              <w:marLeft w:val="0"/>
              <w:marRight w:val="0"/>
              <w:marTop w:val="0"/>
              <w:marBottom w:val="0"/>
              <w:divBdr>
                <w:top w:val="single" w:sz="2" w:space="0" w:color="D9D9E3"/>
                <w:left w:val="single" w:sz="2" w:space="0" w:color="D9D9E3"/>
                <w:bottom w:val="single" w:sz="2" w:space="0" w:color="D9D9E3"/>
                <w:right w:val="single" w:sz="2" w:space="0" w:color="D9D9E3"/>
              </w:divBdr>
              <w:divsChild>
                <w:div w:id="1935555861">
                  <w:marLeft w:val="0"/>
                  <w:marRight w:val="0"/>
                  <w:marTop w:val="0"/>
                  <w:marBottom w:val="0"/>
                  <w:divBdr>
                    <w:top w:val="single" w:sz="2" w:space="0" w:color="D9D9E3"/>
                    <w:left w:val="single" w:sz="2" w:space="0" w:color="D9D9E3"/>
                    <w:bottom w:val="single" w:sz="2" w:space="0" w:color="D9D9E3"/>
                    <w:right w:val="single" w:sz="2" w:space="0" w:color="D9D9E3"/>
                  </w:divBdr>
                  <w:divsChild>
                    <w:div w:id="1009524968">
                      <w:marLeft w:val="0"/>
                      <w:marRight w:val="0"/>
                      <w:marTop w:val="0"/>
                      <w:marBottom w:val="0"/>
                      <w:divBdr>
                        <w:top w:val="single" w:sz="2" w:space="0" w:color="D9D9E3"/>
                        <w:left w:val="single" w:sz="2" w:space="0" w:color="D9D9E3"/>
                        <w:bottom w:val="single" w:sz="2" w:space="0" w:color="D9D9E3"/>
                        <w:right w:val="single" w:sz="2" w:space="0" w:color="D9D9E3"/>
                      </w:divBdr>
                      <w:divsChild>
                        <w:div w:id="425925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5577443">
          <w:marLeft w:val="0"/>
          <w:marRight w:val="0"/>
          <w:marTop w:val="0"/>
          <w:marBottom w:val="0"/>
          <w:divBdr>
            <w:top w:val="single" w:sz="2" w:space="0" w:color="D9D9E3"/>
            <w:left w:val="single" w:sz="2" w:space="0" w:color="D9D9E3"/>
            <w:bottom w:val="single" w:sz="2" w:space="0" w:color="D9D9E3"/>
            <w:right w:val="single" w:sz="2" w:space="0" w:color="D9D9E3"/>
          </w:divBdr>
          <w:divsChild>
            <w:div w:id="222062504">
              <w:marLeft w:val="0"/>
              <w:marRight w:val="0"/>
              <w:marTop w:val="0"/>
              <w:marBottom w:val="0"/>
              <w:divBdr>
                <w:top w:val="single" w:sz="2" w:space="0" w:color="D9D9E3"/>
                <w:left w:val="single" w:sz="2" w:space="0" w:color="D9D9E3"/>
                <w:bottom w:val="single" w:sz="2" w:space="0" w:color="D9D9E3"/>
                <w:right w:val="single" w:sz="2" w:space="0" w:color="D9D9E3"/>
              </w:divBdr>
              <w:divsChild>
                <w:div w:id="1248684356">
                  <w:marLeft w:val="0"/>
                  <w:marRight w:val="0"/>
                  <w:marTop w:val="0"/>
                  <w:marBottom w:val="0"/>
                  <w:divBdr>
                    <w:top w:val="single" w:sz="2" w:space="0" w:color="D9D9E3"/>
                    <w:left w:val="single" w:sz="2" w:space="0" w:color="D9D9E3"/>
                    <w:bottom w:val="single" w:sz="2" w:space="0" w:color="D9D9E3"/>
                    <w:right w:val="single" w:sz="2" w:space="0" w:color="D9D9E3"/>
                  </w:divBdr>
                  <w:divsChild>
                    <w:div w:id="466825845">
                      <w:marLeft w:val="0"/>
                      <w:marRight w:val="0"/>
                      <w:marTop w:val="0"/>
                      <w:marBottom w:val="0"/>
                      <w:divBdr>
                        <w:top w:val="single" w:sz="2" w:space="0" w:color="D9D9E3"/>
                        <w:left w:val="single" w:sz="2" w:space="0" w:color="D9D9E3"/>
                        <w:bottom w:val="single" w:sz="2" w:space="0" w:color="D9D9E3"/>
                        <w:right w:val="single" w:sz="2" w:space="0" w:color="D9D9E3"/>
                      </w:divBdr>
                      <w:divsChild>
                        <w:div w:id="758478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9362548">
      <w:bodyDiv w:val="1"/>
      <w:marLeft w:val="0"/>
      <w:marRight w:val="0"/>
      <w:marTop w:val="0"/>
      <w:marBottom w:val="0"/>
      <w:divBdr>
        <w:top w:val="none" w:sz="0" w:space="0" w:color="auto"/>
        <w:left w:val="none" w:sz="0" w:space="0" w:color="auto"/>
        <w:bottom w:val="none" w:sz="0" w:space="0" w:color="auto"/>
        <w:right w:val="none" w:sz="0" w:space="0" w:color="auto"/>
      </w:divBdr>
    </w:div>
    <w:div w:id="1603950702">
      <w:bodyDiv w:val="1"/>
      <w:marLeft w:val="0"/>
      <w:marRight w:val="0"/>
      <w:marTop w:val="0"/>
      <w:marBottom w:val="0"/>
      <w:divBdr>
        <w:top w:val="none" w:sz="0" w:space="0" w:color="auto"/>
        <w:left w:val="none" w:sz="0" w:space="0" w:color="auto"/>
        <w:bottom w:val="none" w:sz="0" w:space="0" w:color="auto"/>
        <w:right w:val="none" w:sz="0" w:space="0" w:color="auto"/>
      </w:divBdr>
    </w:div>
    <w:div w:id="1697347787">
      <w:bodyDiv w:val="1"/>
      <w:marLeft w:val="0"/>
      <w:marRight w:val="0"/>
      <w:marTop w:val="0"/>
      <w:marBottom w:val="0"/>
      <w:divBdr>
        <w:top w:val="none" w:sz="0" w:space="0" w:color="auto"/>
        <w:left w:val="none" w:sz="0" w:space="0" w:color="auto"/>
        <w:bottom w:val="none" w:sz="0" w:space="0" w:color="auto"/>
        <w:right w:val="none" w:sz="0" w:space="0" w:color="auto"/>
      </w:divBdr>
    </w:div>
    <w:div w:id="1797214758">
      <w:bodyDiv w:val="1"/>
      <w:marLeft w:val="0"/>
      <w:marRight w:val="0"/>
      <w:marTop w:val="0"/>
      <w:marBottom w:val="0"/>
      <w:divBdr>
        <w:top w:val="none" w:sz="0" w:space="0" w:color="auto"/>
        <w:left w:val="none" w:sz="0" w:space="0" w:color="auto"/>
        <w:bottom w:val="none" w:sz="0" w:space="0" w:color="auto"/>
        <w:right w:val="none" w:sz="0" w:space="0" w:color="auto"/>
      </w:divBdr>
    </w:div>
    <w:div w:id="1907371162">
      <w:bodyDiv w:val="1"/>
      <w:marLeft w:val="0"/>
      <w:marRight w:val="0"/>
      <w:marTop w:val="0"/>
      <w:marBottom w:val="0"/>
      <w:divBdr>
        <w:top w:val="none" w:sz="0" w:space="0" w:color="auto"/>
        <w:left w:val="none" w:sz="0" w:space="0" w:color="auto"/>
        <w:bottom w:val="none" w:sz="0" w:space="0" w:color="auto"/>
        <w:right w:val="none" w:sz="0" w:space="0" w:color="auto"/>
      </w:divBdr>
    </w:div>
    <w:div w:id="1918248169">
      <w:bodyDiv w:val="1"/>
      <w:marLeft w:val="0"/>
      <w:marRight w:val="0"/>
      <w:marTop w:val="0"/>
      <w:marBottom w:val="0"/>
      <w:divBdr>
        <w:top w:val="none" w:sz="0" w:space="0" w:color="auto"/>
        <w:left w:val="none" w:sz="0" w:space="0" w:color="auto"/>
        <w:bottom w:val="none" w:sz="0" w:space="0" w:color="auto"/>
        <w:right w:val="none" w:sz="0" w:space="0" w:color="auto"/>
      </w:divBdr>
    </w:div>
    <w:div w:id="1944605649">
      <w:bodyDiv w:val="1"/>
      <w:marLeft w:val="0"/>
      <w:marRight w:val="0"/>
      <w:marTop w:val="0"/>
      <w:marBottom w:val="0"/>
      <w:divBdr>
        <w:top w:val="none" w:sz="0" w:space="0" w:color="auto"/>
        <w:left w:val="none" w:sz="0" w:space="0" w:color="auto"/>
        <w:bottom w:val="none" w:sz="0" w:space="0" w:color="auto"/>
        <w:right w:val="none" w:sz="0" w:space="0" w:color="auto"/>
      </w:divBdr>
    </w:div>
    <w:div w:id="20130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dff7bb8-6b74-481d-b81f-a8d829048b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D0D85613C12F3438CFB26557BB4FE5A" ma:contentTypeVersion="13" ma:contentTypeDescription="Crear nuevo documento." ma:contentTypeScope="" ma:versionID="d31b042a259629bc2389ad56a5e1c2cf">
  <xsd:schema xmlns:xsd="http://www.w3.org/2001/XMLSchema" xmlns:xs="http://www.w3.org/2001/XMLSchema" xmlns:p="http://schemas.microsoft.com/office/2006/metadata/properties" xmlns:ns3="edff7bb8-6b74-481d-b81f-a8d829048b0f" targetNamespace="http://schemas.microsoft.com/office/2006/metadata/properties" ma:root="true" ma:fieldsID="72e583a75a667121586afeede12d680e" ns3:_="">
    <xsd:import namespace="edff7bb8-6b74-481d-b81f-a8d829048b0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f7bb8-6b74-481d-b81f-a8d829048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C0F44-D3EB-4B76-8B2E-23E06AD807DD}">
  <ds:schemaRefs>
    <ds:schemaRef ds:uri="http://schemas.openxmlformats.org/officeDocument/2006/bibliography"/>
  </ds:schemaRefs>
</ds:datastoreItem>
</file>

<file path=customXml/itemProps2.xml><?xml version="1.0" encoding="utf-8"?>
<ds:datastoreItem xmlns:ds="http://schemas.openxmlformats.org/officeDocument/2006/customXml" ds:itemID="{050D7AAE-E3EE-405C-8D3E-B3543482DD1A}">
  <ds:schemaRefs>
    <ds:schemaRef ds:uri="http://schemas.microsoft.com/office/2006/metadata/properties"/>
    <ds:schemaRef ds:uri="http://schemas.microsoft.com/office/infopath/2007/PartnerControls"/>
    <ds:schemaRef ds:uri="edff7bb8-6b74-481d-b81f-a8d829048b0f"/>
  </ds:schemaRefs>
</ds:datastoreItem>
</file>

<file path=customXml/itemProps3.xml><?xml version="1.0" encoding="utf-8"?>
<ds:datastoreItem xmlns:ds="http://schemas.openxmlformats.org/officeDocument/2006/customXml" ds:itemID="{07DE3B85-610E-4F87-859F-5E9C50272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f7bb8-6b74-481d-b81f-a8d82904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79477-C9A1-4196-9F29-1D9314BB9F6A}">
  <ds:schemaRefs>
    <ds:schemaRef ds:uri="http://schemas.microsoft.com/sharepoint/v3/contenttype/forms"/>
  </ds:schemaRefs>
</ds:datastoreItem>
</file>

<file path=docMetadata/LabelInfo.xml><?xml version="1.0" encoding="utf-8"?>
<clbl:labelList xmlns:clbl="http://schemas.microsoft.com/office/2020/mipLabelMetadata">
  <clbl:label id="{dd5b6b16-8fa8-4a20-810b-006919993350}" enabled="0" method="" siteId="{dd5b6b16-8fa8-4a20-810b-006919993350}"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8</Pages>
  <Words>3532</Words>
  <Characters>20665</Characters>
  <Application>Microsoft Office Word</Application>
  <DocSecurity>0</DocSecurity>
  <Lines>765</Lines>
  <Paragraphs>504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Jamilah Silver</dc:creator>
  <cp:keywords/>
  <dc:description/>
  <cp:lastModifiedBy>Jamilah Silver</cp:lastModifiedBy>
  <cp:revision>32</cp:revision>
  <cp:lastPrinted>2025-08-20T10:46:00Z</cp:lastPrinted>
  <dcterms:created xsi:type="dcterms:W3CDTF">2026-03-08T17:49:00Z</dcterms:created>
  <dcterms:modified xsi:type="dcterms:W3CDTF">2026-03-08T19:35:00Z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0x0101003D0D85613C12F3438CFB26557BB4FE5A</vt:lpwstr>
  </property>
  <property fmtid="{D5CDD505-2E9C-101B-9397-08002B2CF9AE}" pid="3" name="GrammarlyDocumentId">
    <vt:lpwstr>31f0b646-1eaf-40dc-9b0a-c1ff2d1386ba</vt:lpwstr>
  </property>
</Properties>
</file>