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2ABA7">
      <w:pPr>
        <w:widowControl/>
        <w:jc w:val="center"/>
      </w:pP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bidi="ar"/>
        </w:rPr>
        <w:t>Supporting Information</w:t>
      </w:r>
    </w:p>
    <w:p w14:paraId="55F02ECF">
      <w:pPr>
        <w:widowControl/>
        <w:spacing w:line="480" w:lineRule="auto"/>
        <w:jc w:val="center"/>
        <w:rPr>
          <w:rFonts w:ascii="Times New Roman" w:hAnsi="Times New Roman" w:eastAsia="宋体" w:cs="Times New Roman"/>
          <w:b/>
          <w:bCs/>
          <w:kern w:val="0"/>
          <w:szCs w:val="21"/>
          <w:lang w:eastAsia="en-US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eastAsia="en-US"/>
        </w:rPr>
        <w:t xml:space="preserve">Quercetin attenuates oxidative 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</w:rPr>
        <w:t>stress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eastAsia="en-US"/>
        </w:rPr>
        <w:t xml:space="preserve"> and neuroinflammation in diabetic peripheral neuropathy through inhibition of the TXNIP/NLRP3 pathway</w:t>
      </w:r>
    </w:p>
    <w:p w14:paraId="46C68F4F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Zanpeng Chen</w:t>
      </w:r>
      <w:r>
        <w:rPr>
          <w:rFonts w:ascii="Times New Roman" w:hAnsi="Times New Roman" w:eastAsia="宋体" w:cs="Times New Roman"/>
          <w:kern w:val="0"/>
          <w:szCs w:val="21"/>
          <w:vertAlign w:val="superscript"/>
        </w:rPr>
        <w:t>1</w:t>
      </w:r>
      <w:r>
        <w:rPr>
          <w:rFonts w:hint="eastAsia" w:ascii="Times New Roman" w:hAnsi="Times New Roman" w:eastAsia="宋体" w:cs="Times New Roman"/>
          <w:kern w:val="0"/>
          <w:szCs w:val="21"/>
        </w:rPr>
        <w:t>*, Ziyu Li</w:t>
      </w:r>
      <w:r>
        <w:rPr>
          <w:rFonts w:ascii="Times New Roman" w:hAnsi="Times New Roman" w:eastAsia="宋体" w:cs="Times New Roman"/>
          <w:kern w:val="0"/>
          <w:szCs w:val="21"/>
          <w:vertAlign w:val="superscript"/>
        </w:rPr>
        <w:t>1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*,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Xiaowei Xue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>2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, </w:t>
      </w:r>
      <w:r>
        <w:rPr>
          <w:rFonts w:ascii="Times New Roman" w:hAnsi="Times New Roman" w:eastAsia="宋体"/>
          <w:sz w:val="21"/>
          <w:szCs w:val="21"/>
        </w:rPr>
        <w:t>Wei Song</w:t>
      </w:r>
      <w:r>
        <w:rPr>
          <w:rFonts w:hint="eastAsia" w:ascii="Times New Roman" w:hAnsi="Times New Roman" w:eastAsia="宋体"/>
          <w:sz w:val="21"/>
          <w:szCs w:val="21"/>
          <w:vertAlign w:val="superscript"/>
          <w:lang w:eastAsia="zh-CN"/>
        </w:rPr>
        <w:t>3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,</w:t>
      </w:r>
      <w:r>
        <w:rPr>
          <w:rFonts w:hint="default" w:ascii="Times New Roman" w:hAnsi="Times New Roman" w:eastAsia="宋体" w:cs="Times New Roman"/>
          <w:kern w:val="0"/>
          <w:szCs w:val="21"/>
          <w:lang w:val="en-US" w:eastAsia="en-US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Rui Zhang</w:t>
      </w:r>
      <w:r>
        <w:rPr>
          <w:rFonts w:hint="default" w:ascii="Times New Roman" w:hAnsi="Times New Roman" w:eastAsia="宋体" w:cs="Times New Roman"/>
          <w:kern w:val="0"/>
          <w:szCs w:val="21"/>
          <w:vertAlign w:val="superscript"/>
          <w:lang w:val="en-US"/>
        </w:rPr>
        <w:t>4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, </w:t>
      </w:r>
      <w:r>
        <w:rPr>
          <w:rFonts w:ascii="Times New Roman" w:hAnsi="Times New Roman" w:eastAsia="宋体" w:cs="Times New Roman"/>
          <w:kern w:val="0"/>
          <w:szCs w:val="21"/>
        </w:rPr>
        <w:t>Chao Wang</w:t>
      </w:r>
      <w:r>
        <w:rPr>
          <w:rFonts w:hint="default" w:ascii="Times New Roman" w:hAnsi="Times New Roman" w:eastAsia="宋体" w:cs="Times New Roman"/>
          <w:kern w:val="0"/>
          <w:szCs w:val="21"/>
          <w:vertAlign w:val="superscript"/>
          <w:lang w:val="en-US"/>
        </w:rPr>
        <w:t>5</w:t>
      </w:r>
      <w:r>
        <w:rPr>
          <w:rFonts w:hint="eastAsia" w:ascii="Times New Roman" w:hAnsi="Times New Roman" w:eastAsia="宋体" w:cs="Times New Roman"/>
          <w:kern w:val="0"/>
          <w:szCs w:val="21"/>
        </w:rPr>
        <w:t>, Bin Yan</w:t>
      </w:r>
      <w:r>
        <w:rPr>
          <w:rFonts w:ascii="Times New Roman" w:hAnsi="Times New Roman" w:eastAsia="宋体" w:cs="Times New Roman"/>
          <w:kern w:val="0"/>
          <w:szCs w:val="21"/>
          <w:vertAlign w:val="superscript"/>
        </w:rPr>
        <w:t>1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,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Qing Sun</w:t>
      </w:r>
      <w:r>
        <w:rPr>
          <w:rFonts w:ascii="Times New Roman" w:hAnsi="Times New Roman" w:eastAsia="宋体" w:cs="Times New Roman"/>
          <w:kern w:val="0"/>
          <w:szCs w:val="21"/>
          <w:vertAlign w:val="superscript"/>
          <w:lang w:eastAsia="en-US"/>
        </w:rPr>
        <w:t>1*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  <w:lang w:eastAsia="en-US"/>
        </w:rPr>
        <w:t>*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, </w:t>
      </w:r>
      <w:r>
        <w:rPr>
          <w:rFonts w:hint="eastAsia" w:ascii="Times New Roman" w:hAnsi="Times New Roman" w:eastAsia="宋体" w:cs="Times New Roman"/>
          <w:kern w:val="0"/>
          <w:szCs w:val="21"/>
        </w:rPr>
        <w:t>Qunli Wu</w:t>
      </w:r>
      <w:r>
        <w:rPr>
          <w:rFonts w:ascii="Times New Roman" w:hAnsi="Times New Roman" w:eastAsia="宋体" w:cs="Times New Roman"/>
          <w:kern w:val="0"/>
          <w:szCs w:val="21"/>
          <w:vertAlign w:val="superscript"/>
        </w:rPr>
        <w:t>1</w:t>
      </w:r>
      <w:r>
        <w:rPr>
          <w:rFonts w:ascii="Times New Roman" w:hAnsi="Times New Roman" w:eastAsia="宋体" w:cs="Times New Roman"/>
          <w:kern w:val="0"/>
          <w:szCs w:val="21"/>
          <w:vertAlign w:val="superscript"/>
          <w:lang w:eastAsia="zh-CN"/>
        </w:rPr>
        <w:t>*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  <w:lang w:eastAsia="zh-CN"/>
        </w:rPr>
        <w:t>*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 xml:space="preserve">  </w:t>
      </w:r>
    </w:p>
    <w:p w14:paraId="09D01D93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vertAlign w:val="superscript"/>
          <w:lang w:eastAsia="en-US"/>
        </w:rPr>
        <w:t>1</w:t>
      </w:r>
      <w:r>
        <w:rPr>
          <w:rFonts w:hint="default" w:ascii="Times New Roman" w:hAnsi="Times New Roman" w:eastAsia="宋体" w:cs="Times New Roman"/>
          <w:kern w:val="0"/>
          <w:szCs w:val="21"/>
          <w:vertAlign w:val="superscript"/>
          <w:lang w:val="en-US" w:eastAsia="en-US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Department of Traditional Chinese Medicine, Peking Union Medical College Hospital, Peking Union Medical College, Chinese Academy of Medical Science</w:t>
      </w:r>
      <w:r>
        <w:rPr>
          <w:rFonts w:ascii="Times New Roman" w:hAnsi="Times New Roman" w:eastAsia="宋体" w:cs="Times New Roman"/>
          <w:kern w:val="0"/>
          <w:szCs w:val="21"/>
        </w:rPr>
        <w:t>s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, Beijing 100730, China</w:t>
      </w:r>
    </w:p>
    <w:p w14:paraId="68A5167F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vertAlign w:val="superscript"/>
          <w:lang w:eastAsia="en-US"/>
        </w:rPr>
        <w:t>2</w:t>
      </w:r>
      <w:bookmarkStart w:id="0" w:name="OLE_LINK280"/>
      <w:r>
        <w:rPr>
          <w:rFonts w:hint="default" w:ascii="Times New Roman" w:hAnsi="Times New Roman" w:eastAsia="宋体" w:cs="Times New Roman"/>
          <w:kern w:val="0"/>
          <w:szCs w:val="21"/>
          <w:vertAlign w:val="superscript"/>
          <w:lang w:val="en-US" w:eastAsia="en-US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Department of Pathology, Peking Union Medical College Hospital, Peking Union Medical College, Chinese Academy of Medical Sciences, Beijing 100730, China </w:t>
      </w:r>
      <w:bookmarkEnd w:id="0"/>
    </w:p>
    <w:p w14:paraId="144566D9">
      <w:pPr>
        <w:widowControl/>
        <w:spacing w:line="480" w:lineRule="auto"/>
        <w:jc w:val="both"/>
        <w:rPr>
          <w:rFonts w:ascii="Times New Roman" w:hAnsi="Times New Roman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:vertAlign w:val="superscript"/>
          <w:lang w:eastAsia="zh-CN"/>
        </w:rPr>
        <w:t xml:space="preserve">3 </w:t>
      </w:r>
      <w:r>
        <w:rPr>
          <w:rFonts w:ascii="Times New Roman" w:hAnsi="Times New Roman" w:eastAsia="宋体" w:cs="Times New Roman"/>
          <w:kern w:val="0"/>
          <w:sz w:val="21"/>
          <w:szCs w:val="21"/>
          <w:lang w:eastAsia="en-US"/>
        </w:rPr>
        <w:t>Institute of Clinical Medicine, National Infrastructures for Translational Medicine, Peking Union Medical College Hospital, Chinese Academy of Medical Sciences, Beijing, 100730, People's Republic of China</w:t>
      </w:r>
    </w:p>
    <w:p w14:paraId="5F643D22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  <w:lang w:eastAsia="en-US"/>
        </w:rPr>
      </w:pPr>
      <w:r>
        <w:rPr>
          <w:rFonts w:hint="default" w:ascii="Times New Roman" w:hAnsi="Times New Roman" w:eastAsia="宋体" w:cs="Times New Roman"/>
          <w:kern w:val="0"/>
          <w:szCs w:val="21"/>
          <w:vertAlign w:val="superscript"/>
          <w:lang w:val="en-US" w:eastAsia="en-US"/>
        </w:rPr>
        <w:t xml:space="preserve">4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Department of Laboratory Medicine, Peking Union Medical College Hospital, Peking Union Medical College, Chinese Academy of Medical Science</w:t>
      </w:r>
      <w:r>
        <w:rPr>
          <w:rFonts w:ascii="Times New Roman" w:hAnsi="Times New Roman" w:eastAsia="宋体" w:cs="Times New Roman"/>
          <w:kern w:val="0"/>
          <w:szCs w:val="21"/>
        </w:rPr>
        <w:t>s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, Beijing 100730, China </w:t>
      </w:r>
    </w:p>
    <w:p w14:paraId="12FCA84A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default" w:ascii="Times New Roman" w:hAnsi="Times New Roman" w:eastAsia="宋体" w:cs="Times New Roman"/>
          <w:kern w:val="0"/>
          <w:szCs w:val="21"/>
          <w:vertAlign w:val="superscript"/>
          <w:lang w:val="en-US" w:eastAsia="en-US"/>
        </w:rPr>
        <w:t>5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Department of Integrative Oncology, China-Japan Friendship Hospital, Beijing 100029, China</w:t>
      </w:r>
    </w:p>
    <w:p w14:paraId="5546F99F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  <w:lang w:eastAsia="en-US"/>
        </w:rPr>
      </w:pPr>
      <w:r>
        <w:rPr>
          <w:rFonts w:ascii="Times New Roman" w:hAnsi="Times New Roman" w:eastAsia="宋体" w:cs="Times New Roman"/>
          <w:kern w:val="0"/>
          <w:szCs w:val="21"/>
          <w:lang w:eastAsia="en-US"/>
        </w:rPr>
        <w:t>*</w:t>
      </w:r>
      <w:r>
        <w:rPr>
          <w:rFonts w:hint="eastAsia" w:ascii="Times New Roman" w:hAnsi="Times New Roman" w:eastAsia="宋体" w:cs="Times New Roman"/>
          <w:kern w:val="0"/>
          <w:szCs w:val="21"/>
          <w:lang w:eastAsia="en-US"/>
        </w:rPr>
        <w:t>*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Correspondence: </w:t>
      </w:r>
    </w:p>
    <w:p w14:paraId="02B8999A">
      <w:pPr>
        <w:widowControl/>
        <w:spacing w:line="480" w:lineRule="auto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Qing Sun, sunqing80@pumch.cn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Qunli Wu, </w:t>
      </w:r>
      <w:r>
        <w:rPr>
          <w:rFonts w:ascii="Times New Roman" w:hAnsi="Times New Roman" w:eastAsia="宋体" w:cs="Times New Roman"/>
          <w:kern w:val="0"/>
          <w:szCs w:val="21"/>
          <w:lang w:eastAsia="en-US"/>
        </w:rPr>
        <w:t>chinlie@163.com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</w:p>
    <w:p w14:paraId="7D0DB1D6"/>
    <w:p w14:paraId="24635D9C"/>
    <w:p w14:paraId="1AC4AF88"/>
    <w:p w14:paraId="7F781450"/>
    <w:p w14:paraId="36C0E1FA"/>
    <w:p w14:paraId="5817F8BC"/>
    <w:p w14:paraId="796AB167"/>
    <w:p w14:paraId="76B9FC5A"/>
    <w:p w14:paraId="4341CDEF"/>
    <w:p w14:paraId="08A17C21">
      <w:pPr>
        <w:widowControl/>
        <w:spacing w:line="360" w:lineRule="auto"/>
        <w:rPr>
          <w:rFonts w:ascii="Times New Roman" w:hAnsi="Times New Roman" w:eastAsia="等线" w:cs="Times New Roman"/>
          <w:b/>
          <w:bCs/>
          <w:szCs w:val="21"/>
          <w:lang w:bidi="ar"/>
        </w:rPr>
      </w:pPr>
    </w:p>
    <w:p w14:paraId="3849DD93">
      <w:pPr>
        <w:widowControl/>
        <w:spacing w:line="360" w:lineRule="auto"/>
        <w:rPr>
          <w:rFonts w:ascii="Times New Roman" w:hAnsi="Times New Roman" w:eastAsia="宋体" w:cs="Times New Roman"/>
          <w:b/>
          <w:kern w:val="0"/>
          <w:szCs w:val="21"/>
          <w:lang w:eastAsia="en-US"/>
        </w:rPr>
      </w:pPr>
      <w:r>
        <w:rPr>
          <w:rFonts w:ascii="Times New Roman" w:hAnsi="Times New Roman" w:eastAsia="等线" w:cs="Times New Roman"/>
          <w:b/>
          <w:bCs/>
          <w:szCs w:val="21"/>
          <w:lang w:bidi="ar"/>
        </w:rPr>
        <w:t>Table S</w:t>
      </w:r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 w:bidi="ar"/>
        </w:rPr>
        <w:t>1</w:t>
      </w:r>
      <w:r>
        <w:rPr>
          <w:rFonts w:ascii="Times New Roman" w:hAnsi="Times New Roman" w:eastAsia="等线" w:cs="Times New Roman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Cs w:val="21"/>
          <w:lang w:eastAsia="en-US"/>
        </w:rPr>
        <w:t>Primer sequences for RT-qPCR.</w:t>
      </w:r>
    </w:p>
    <w:tbl>
      <w:tblPr>
        <w:tblStyle w:val="7"/>
        <w:tblW w:w="500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218"/>
        <w:gridCol w:w="4606"/>
      </w:tblGrid>
      <w:tr w14:paraId="394B00B0">
        <w:trPr>
          <w:trHeight w:val="90" w:hRule="atLeast"/>
        </w:trPr>
        <w:tc>
          <w:tcPr>
            <w:tcW w:w="997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6C261CC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  <w:lang w:eastAsia="en-US"/>
              </w:rPr>
              <w:t>Gene</w:t>
            </w:r>
          </w:p>
        </w:tc>
        <w:tc>
          <w:tcPr>
            <w:tcW w:w="1301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3285A9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Cs w:val="21"/>
                <w:lang w:eastAsia="en-US"/>
              </w:rPr>
            </w:pPr>
          </w:p>
        </w:tc>
        <w:tc>
          <w:tcPr>
            <w:tcW w:w="2702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1D2566E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  <w:lang w:eastAsia="en-US"/>
              </w:rPr>
              <w:t xml:space="preserve">Primer sequence </w:t>
            </w:r>
          </w:p>
        </w:tc>
      </w:tr>
      <w:tr w14:paraId="46648909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040CF3C9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M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pz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1BEF3A5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424640A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TA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CCCCAGCTATGGCTCCTG-3′</w:t>
            </w:r>
          </w:p>
        </w:tc>
      </w:tr>
      <w:tr w14:paraId="597B2204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0B5C72D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17D500A0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179CCDB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5′-CTTCCCTGTCCGTGTAAACCA-3′</w:t>
            </w:r>
          </w:p>
        </w:tc>
      </w:tr>
      <w:tr w14:paraId="17741062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15ECCCB9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M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bp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11F8DE0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61932177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5′-GCATGTCCCTGTGTCTGAGAT-3′</w:t>
            </w:r>
          </w:p>
        </w:tc>
      </w:tr>
      <w:tr w14:paraId="789AE15C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221FA96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1B882B1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12570C5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5′-CAATCGCAGTCCCTTGTGAG-3′</w:t>
            </w:r>
          </w:p>
        </w:tc>
      </w:tr>
      <w:tr w14:paraId="6A5748EF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42FFDE9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M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ag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2354B582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60F365C1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5′-AGCCAGACCATCCAACCTTC-3′</w:t>
            </w:r>
          </w:p>
        </w:tc>
      </w:tr>
      <w:tr w14:paraId="784FA2AA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25F5776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453024C4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70F7BE69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5′-TCAGTCTCCCTGAGTTGGGA-3′</w:t>
            </w:r>
          </w:p>
        </w:tc>
      </w:tr>
      <w:tr w14:paraId="3A522C1F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0193332E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xnip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670641B4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1A59DCDE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5′-ATCATGGCGTGGCAAGAGTC -3′</w:t>
            </w:r>
          </w:p>
        </w:tc>
      </w:tr>
      <w:tr w14:paraId="41AA87CD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6ACC9DE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33E17D2C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7F45AF1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5′-TTTCTTGGAGCCAGGGACAC-3′</w:t>
            </w:r>
          </w:p>
        </w:tc>
      </w:tr>
      <w:tr w14:paraId="2F809808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65FCE953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  <w:t>N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lrp3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43F4726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7F318F1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5′-CCAGAGCCTCACTGAACTGG-3′</w:t>
            </w:r>
          </w:p>
        </w:tc>
      </w:tr>
      <w:tr w14:paraId="54F07E77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51F2D27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68C9FBD0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51B7825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5′-AGCATTGATGGGTCAGTCCG-3′</w:t>
            </w:r>
          </w:p>
        </w:tc>
      </w:tr>
      <w:tr w14:paraId="3F20F6FC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13F2BA19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A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sc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508CB11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bottom"/>
          </w:tcPr>
          <w:p w14:paraId="07FB37D9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5′-GGACAGTACCAGGCAGTTCG-3′</w:t>
            </w:r>
          </w:p>
        </w:tc>
      </w:tr>
      <w:tr w14:paraId="00B90FC9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1A10E293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014B3230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66EF3741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5′-GTCACCAAGTAGGGCTGTGT-3′</w:t>
            </w:r>
          </w:p>
        </w:tc>
      </w:tr>
      <w:tr w14:paraId="5B608DB3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6506972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asp1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0707B780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439FEE7C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5′-CTGGACTGCGGTATTGAGAC-3′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ab/>
            </w:r>
          </w:p>
        </w:tc>
      </w:tr>
      <w:tr w14:paraId="1373823B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6ECFAB08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0AF441DC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51EA638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5′-CCGGGTGCGGTAGAGTAAGC-3′</w:t>
            </w:r>
          </w:p>
        </w:tc>
      </w:tr>
      <w:tr w14:paraId="32358616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21CD60A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Il1b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584F9B2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2439DFB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5′-CGTGCGTGACATTAAAGAG-3′</w:t>
            </w:r>
          </w:p>
        </w:tc>
      </w:tr>
      <w:tr w14:paraId="373C057E">
        <w:trPr>
          <w:trHeight w:val="310" w:hRule="atLeast"/>
        </w:trPr>
        <w:tc>
          <w:tcPr>
            <w:tcW w:w="997" w:type="pct"/>
            <w:shd w:val="clear" w:color="auto" w:fill="auto"/>
            <w:noWrap/>
            <w:vAlign w:val="bottom"/>
          </w:tcPr>
          <w:p w14:paraId="33A9929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67D6996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shd w:val="clear" w:color="auto" w:fill="auto"/>
            <w:noWrap/>
            <w:vAlign w:val="center"/>
          </w:tcPr>
          <w:p w14:paraId="114C110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5′-TTGCCGATAGTGATGACC-3′</w:t>
            </w:r>
          </w:p>
        </w:tc>
      </w:tr>
      <w:tr w14:paraId="0BF2BA50">
        <w:trPr>
          <w:trHeight w:val="90" w:hRule="atLeast"/>
        </w:trPr>
        <w:tc>
          <w:tcPr>
            <w:tcW w:w="997" w:type="pct"/>
            <w:shd w:val="clear" w:color="auto" w:fill="auto"/>
            <w:noWrap/>
            <w:vAlign w:val="center"/>
          </w:tcPr>
          <w:p w14:paraId="05D6857C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Cs w:val="21"/>
              </w:rPr>
              <w:t>Actb</w:t>
            </w:r>
          </w:p>
        </w:tc>
        <w:tc>
          <w:tcPr>
            <w:tcW w:w="1301" w:type="pct"/>
            <w:shd w:val="clear" w:color="auto" w:fill="auto"/>
            <w:noWrap/>
            <w:vAlign w:val="bottom"/>
          </w:tcPr>
          <w:p w14:paraId="7FBA2DA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Forward</w:t>
            </w:r>
          </w:p>
        </w:tc>
        <w:tc>
          <w:tcPr>
            <w:tcW w:w="2702" w:type="pct"/>
            <w:shd w:val="clear" w:color="auto" w:fill="auto"/>
            <w:noWrap/>
            <w:vAlign w:val="bottom"/>
          </w:tcPr>
          <w:p w14:paraId="2227BF76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5′-CCCATCTATGAGGGTTACGC-3′</w:t>
            </w:r>
          </w:p>
        </w:tc>
      </w:tr>
      <w:tr w14:paraId="1C68A56F">
        <w:trPr>
          <w:trHeight w:val="310" w:hRule="atLeast"/>
        </w:trPr>
        <w:tc>
          <w:tcPr>
            <w:tcW w:w="997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77B479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01" w:type="pct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 w14:paraId="6EFE51C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Reverse</w:t>
            </w:r>
          </w:p>
        </w:tc>
        <w:tc>
          <w:tcPr>
            <w:tcW w:w="270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D3BBA8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eastAsia="en-US"/>
              </w:rPr>
              <w:t>5′-TTTAATGTCACGCACGATTTC-3′</w:t>
            </w:r>
          </w:p>
        </w:tc>
      </w:tr>
    </w:tbl>
    <w:p w14:paraId="6C6CAF22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6FBEFD9E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35349655">
      <w:pPr>
        <w:spacing w:line="480" w:lineRule="auto"/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Table S</w:t>
      </w:r>
      <w:r>
        <w:rPr>
          <w:rFonts w:hint="eastAsia" w:ascii="Times New Roman Bold" w:hAnsi="Times New Roman Bold" w:cs="Times New Roman Bold"/>
          <w:b/>
          <w:bCs/>
          <w:lang w:val="en-US" w:eastAsia="zh-CN"/>
        </w:rPr>
        <w:t>2</w:t>
      </w:r>
      <w:r>
        <w:rPr>
          <w:rFonts w:ascii="Times New Roman Bold" w:hAnsi="Times New Roman Bold" w:cs="Times New Roman Bold"/>
          <w:b/>
          <w:bCs/>
        </w:rPr>
        <w:t xml:space="preserve">  Quercetin and </w:t>
      </w:r>
      <w:r>
        <w:rPr>
          <w:rFonts w:hint="eastAsia" w:ascii="Times New Roman Bold" w:hAnsi="Times New Roman Bold" w:cs="Times New Roman Bold"/>
          <w:b/>
          <w:bCs/>
          <w:lang w:val="en-US" w:eastAsia="zh-CN"/>
        </w:rPr>
        <w:t>DPN</w:t>
      </w:r>
      <w:r>
        <w:rPr>
          <w:rFonts w:ascii="Times New Roman Bold" w:hAnsi="Times New Roman Bold" w:cs="Times New Roman Bold"/>
          <w:b/>
          <w:bCs/>
        </w:rPr>
        <w:t>-related targets</w:t>
      </w:r>
    </w:p>
    <w:tbl>
      <w:tblPr>
        <w:tblStyle w:val="7"/>
        <w:tblW w:w="7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94"/>
        <w:gridCol w:w="976"/>
        <w:gridCol w:w="976"/>
        <w:gridCol w:w="897"/>
        <w:gridCol w:w="1021"/>
        <w:gridCol w:w="942"/>
        <w:gridCol w:w="1010"/>
        <w:gridCol w:w="1010"/>
      </w:tblGrid>
      <w:tr w14:paraId="53CBEBFE">
        <w:trPr>
          <w:trHeight w:val="579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2FEEF10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PTGS2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79881E5A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RELA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5E3640B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TP53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7B2F26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CYP1B1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108934BE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CHEK2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4F929D11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MCL1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F2E073F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APOE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40A2BE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MECP2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B338E4D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BRCA1</w:t>
            </w:r>
          </w:p>
        </w:tc>
      </w:tr>
      <w:tr w14:paraId="55232DAE">
        <w:trPr>
          <w:trHeight w:val="579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3F4FB8C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PRSS1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259DD1D6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BCL2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61D965C3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NFKBIA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C909415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COL1A1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6D8BB5F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SPP1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08800E30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NDUFV2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A7871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CAT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05060D0C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PTEN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0A5B5D9E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PRKAA2</w:t>
            </w:r>
          </w:p>
        </w:tc>
      </w:tr>
      <w:tr w14:paraId="7F8E6851">
        <w:trPr>
          <w:trHeight w:val="579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17EC962E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KCNH2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11DD03A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FOS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0DAF74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STAT1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105C43E7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IFNG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2334355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IGFBP3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22A70CC1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EGR1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6B853C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XDH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2525EE88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NGF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25E02C38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MLXIPL</w:t>
            </w:r>
          </w:p>
        </w:tc>
      </w:tr>
      <w:tr w14:paraId="12CFE21A">
        <w:trPr>
          <w:trHeight w:val="579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626C69A8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ADRB2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76D0F5B8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MMP9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1A99DC0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ICAM1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A6494B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ALOX5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798D6063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RASA1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6511462E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PRKAA1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CBDC13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SLC2A4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E620BE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CD86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E68671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ADIPOQ</w:t>
            </w:r>
          </w:p>
        </w:tc>
      </w:tr>
      <w:tr w14:paraId="07B5479C">
        <w:trPr>
          <w:trHeight w:val="579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6F22C728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MMP3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62C08C31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RB1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344EDB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IL1B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1F7F8EE6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MPO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6779515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TXN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56A0722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THBS1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B76A4C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TXNIP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8C2F3C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MAPK14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BDECEC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NOS3</w:t>
            </w:r>
          </w:p>
        </w:tc>
      </w:tr>
      <w:tr w14:paraId="280E42FE">
        <w:trPr>
          <w:trHeight w:val="579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5019648A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MAOB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2C78D56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TNF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230ADAC6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CCL2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1A0A1EB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NFE2L2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325E77B4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LDLR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0F8A64AF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JUN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8D353B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GK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5C1FAD6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NFKB1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7EDA91A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NLRP3</w:t>
            </w:r>
          </w:p>
        </w:tc>
      </w:tr>
      <w:tr w14:paraId="51B9821C">
        <w:trPr>
          <w:trHeight w:val="606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1F089AAF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PRKCD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14:paraId="438D8179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JAK2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4A02A4CF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CSF2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4DE77B9F">
            <w:pPr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PIK3CB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6750E446">
            <w:pPr>
              <w:jc w:val="center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865" w:type="dxa"/>
            <w:shd w:val="clear" w:color="auto" w:fill="auto"/>
            <w:noWrap/>
            <w:vAlign w:val="center"/>
          </w:tcPr>
          <w:p w14:paraId="00102926">
            <w:pPr>
              <w:jc w:val="center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8A88B85">
            <w:pPr>
              <w:jc w:val="center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6153111">
            <w:pPr>
              <w:jc w:val="center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A4548FF">
            <w:pPr>
              <w:jc w:val="center"/>
              <w:rPr>
                <w:rFonts w:ascii="Times New Roman Regular" w:hAnsi="Times New Roman Regular" w:cs="Times New Roman Regular"/>
              </w:rPr>
            </w:pPr>
          </w:p>
        </w:tc>
      </w:tr>
    </w:tbl>
    <w:p w14:paraId="50626C52">
      <w:pPr>
        <w:spacing w:line="480" w:lineRule="auto"/>
        <w:jc w:val="center"/>
        <w:rPr>
          <w:rFonts w:ascii="Times New Roman Bold" w:hAnsi="Times New Roman Bold" w:cs="Times New Roman Bold"/>
          <w:b/>
          <w:bCs/>
        </w:rPr>
      </w:pPr>
    </w:p>
    <w:p w14:paraId="484245B8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51C7D579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409D012A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4026082B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72C37EEF">
      <w:pPr>
        <w:spacing w:line="480" w:lineRule="auto"/>
        <w:rPr>
          <w:rFonts w:ascii="Times New Roman Bold" w:hAnsi="Times New Roman Bold" w:cs="Times New Roman Bold"/>
          <w:b/>
          <w:bCs/>
        </w:rPr>
      </w:pPr>
    </w:p>
    <w:p w14:paraId="6A545B3C">
      <w:pPr>
        <w:tabs>
          <w:tab w:val="left" w:pos="2491"/>
        </w:tabs>
        <w:jc w:val="lef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F8BB750">
      <w:pPr>
        <w:widowControl/>
        <w:spacing w:after="156" w:afterLines="50" w:line="360" w:lineRule="auto"/>
        <w:rPr>
          <w:rFonts w:ascii="Times New Roman Bold" w:hAnsi="Times New Roman Bold" w:eastAsia="等线" w:cs="Times New Roman Bold"/>
          <w:b/>
          <w:bCs/>
          <w:szCs w:val="21"/>
          <w14:ligatures w14:val="standardContextual"/>
        </w:rPr>
      </w:pPr>
      <w:r>
        <w:rPr>
          <w:rFonts w:ascii="Times New Roman Bold" w:hAnsi="Times New Roman Bold" w:eastAsia="等线" w:cs="Times New Roman Bold"/>
          <w:b/>
          <w:bCs/>
          <w:szCs w:val="21"/>
          <w14:ligatures w14:val="standardContextual"/>
        </w:rPr>
        <w:t>Table S</w:t>
      </w:r>
      <w:r>
        <w:rPr>
          <w:rFonts w:hint="eastAsia" w:ascii="Times New Roman Bold" w:hAnsi="Times New Roman Bold" w:eastAsia="等线" w:cs="Times New Roman Bold"/>
          <w:b/>
          <w:bCs/>
          <w:szCs w:val="21"/>
          <w:lang w:val="en-US" w:eastAsia="zh-CN"/>
          <w14:ligatures w14:val="standardContextual"/>
        </w:rPr>
        <w:t>3</w:t>
      </w:r>
      <w:r>
        <w:rPr>
          <w:rFonts w:ascii="Times New Roman Bold" w:hAnsi="Times New Roman Bold" w:eastAsia="等线" w:cs="Times New Roman Bold"/>
          <w:b/>
          <w:bCs/>
          <w:szCs w:val="21"/>
          <w14:ligatures w14:val="standardContextual"/>
        </w:rPr>
        <w:t xml:space="preserve"> Molecular docking results of quercetin with target proteins</w:t>
      </w:r>
    </w:p>
    <w:tbl>
      <w:tblPr>
        <w:tblStyle w:val="7"/>
        <w:tblW w:w="12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744"/>
        <w:gridCol w:w="5140"/>
        <w:gridCol w:w="1029"/>
        <w:gridCol w:w="1286"/>
        <w:gridCol w:w="1087"/>
        <w:gridCol w:w="1868"/>
      </w:tblGrid>
      <w:tr w14:paraId="1D2C82F4">
        <w:trPr>
          <w:trHeight w:val="559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0DFFAC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NO.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389E54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Gene Symbol</w:t>
            </w:r>
          </w:p>
        </w:tc>
        <w:tc>
          <w:tcPr>
            <w:tcW w:w="5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226C5A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Protein Name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C7A7FE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Species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A46C1F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UniProtID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B55502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PDB-id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B13E08">
            <w:pPr>
              <w:widowControl/>
              <w:spacing w:line="360" w:lineRule="auto"/>
              <w:jc w:val="both"/>
              <w:rPr>
                <w:rFonts w:hint="default" w:ascii="Times New Roman Regular" w:hAnsi="Times New Roman Regular" w:eastAsia="等线" w:cs="Times New Roman Regular"/>
                <w:szCs w:val="21"/>
                <w:lang w:val="en-US"/>
                <w14:ligatures w14:val="standardContextual"/>
              </w:rPr>
            </w:pPr>
            <w:r>
              <w:rPr>
                <w:rFonts w:hint="default" w:ascii="Times New Roman Regular" w:hAnsi="Times New Roman Regular" w:eastAsia="等线" w:cs="Times New Roman Regular"/>
                <w:szCs w:val="21"/>
                <w:lang w:val="en-US"/>
                <w14:ligatures w14:val="standardContextual"/>
              </w:rPr>
              <w:t>Affinity (kcal/mol)</w:t>
            </w:r>
          </w:p>
        </w:tc>
      </w:tr>
      <w:tr w14:paraId="3E28C73D">
        <w:trPr>
          <w:trHeight w:val="559" w:hRule="atLeast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CBA8C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651D9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TXNIP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6D0F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Thioredoxin-interacting protein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51032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human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CBC4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Q9H3M7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C5E0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4gei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14EE2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-7.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7</w:t>
            </w:r>
          </w:p>
        </w:tc>
      </w:tr>
      <w:tr w14:paraId="3D85E98A">
        <w:trPr>
          <w:trHeight w:val="547" w:hRule="atLeast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C47E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E1F8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TRX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467B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Thioredoxin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30C0D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human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BF743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P10599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E0DC1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1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trs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1A939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-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6.1</w:t>
            </w:r>
          </w:p>
        </w:tc>
      </w:tr>
      <w:tr w14:paraId="18A66B90">
        <w:trPr>
          <w:trHeight w:val="547" w:hRule="atLeast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3995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3E884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ASC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3966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 xml:space="preserve">Apoptosis-associated speck-like protein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52E8F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human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2A8A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Q9ULZ3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541B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3j63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B2DBC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-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5.8</w:t>
            </w:r>
          </w:p>
        </w:tc>
      </w:tr>
      <w:tr w14:paraId="6586E8D3">
        <w:trPr>
          <w:trHeight w:val="547" w:hRule="atLeast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1648D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4210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IL-1B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9605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Interleukin-1 beta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033FE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human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011A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P01584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D7D9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1hib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49786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-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7.3</w:t>
            </w:r>
          </w:p>
        </w:tc>
      </w:tr>
      <w:tr w14:paraId="6B2AD530">
        <w:trPr>
          <w:trHeight w:val="547" w:hRule="atLeast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78FF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5CFD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CASP1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088B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Caspase-1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5969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human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4E62C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P29466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E0FE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1rwv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2ADF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-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8.4</w:t>
            </w:r>
          </w:p>
        </w:tc>
      </w:tr>
      <w:tr w14:paraId="29E52882">
        <w:trPr>
          <w:trHeight w:val="547" w:hRule="atLeast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27AB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1E47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NLRP3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336C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NACHT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,</w:t>
            </w: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 xml:space="preserve"> LRR and PYD domains-containing protein 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946D0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human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611D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Q96P20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A2790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7alv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055F">
            <w:pPr>
              <w:widowControl/>
              <w:spacing w:line="360" w:lineRule="auto"/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</w:pPr>
            <w:r>
              <w:rPr>
                <w:rFonts w:ascii="Times New Roman Regular" w:hAnsi="Times New Roman Regular" w:eastAsia="等线" w:cs="Times New Roman Regular"/>
                <w:szCs w:val="21"/>
                <w14:ligatures w14:val="standardContextual"/>
              </w:rPr>
              <w:t>-</w:t>
            </w:r>
            <w:r>
              <w:rPr>
                <w:rFonts w:ascii="Times New Roman Regular" w:hAnsi="Times New Roman Regular" w:eastAsia="等线" w:cs="Times New Roman Regular"/>
                <w:szCs w:val="21"/>
                <w:lang w:val="en-GB"/>
                <w14:ligatures w14:val="standardContextual"/>
              </w:rPr>
              <w:t>9.1</w:t>
            </w:r>
          </w:p>
        </w:tc>
      </w:tr>
    </w:tbl>
    <w:p w14:paraId="54BCD5B3">
      <w:pPr>
        <w:spacing w:line="480" w:lineRule="auto"/>
        <w:rPr>
          <w:rFonts w:ascii="Times New Roman Bold" w:hAnsi="Times New Roman Bold" w:cs="Times New Roman Bold"/>
          <w:b/>
          <w:bCs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p w14:paraId="5EC1196E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NewRomanPS-Bold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FF8A5"/>
    <w:rsid w:val="001302C3"/>
    <w:rsid w:val="00170612"/>
    <w:rsid w:val="00CC3BDE"/>
    <w:rsid w:val="00DE128B"/>
    <w:rsid w:val="6BDF2DC7"/>
    <w:rsid w:val="73BE6DA4"/>
    <w:rsid w:val="743D7A87"/>
    <w:rsid w:val="7BDBA4E7"/>
    <w:rsid w:val="7FDF8FCE"/>
    <w:rsid w:val="7FEFF8A5"/>
    <w:rsid w:val="9EFDE311"/>
    <w:rsid w:val="AD6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qFormat/>
    <w:uiPriority w:val="0"/>
    <w:rPr>
      <w:szCs w:val="20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5"/>
    <w:uiPriority w:val="0"/>
    <w:pPr>
      <w:jc w:val="left"/>
    </w:pPr>
    <w:rPr>
      <w:b/>
      <w:bCs/>
      <w:szCs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">
    <w:name w:val="Light Shading"/>
    <w:basedOn w:val="7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styleId="11">
    <w:name w:val="annotation reference"/>
    <w:semiHidden/>
    <w:qFormat/>
    <w:uiPriority w:val="0"/>
    <w:rPr>
      <w:sz w:val="16"/>
      <w:szCs w:val="16"/>
    </w:rPr>
  </w:style>
  <w:style w:type="character" w:customStyle="1" w:styleId="12">
    <w:name w:val="页眉 字符"/>
    <w:basedOn w:val="10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10"/>
    <w:link w:val="2"/>
    <w:semiHidden/>
    <w:uiPriority w:val="0"/>
    <w:rPr>
      <w:rFonts w:asciiTheme="minorHAnsi" w:hAnsiTheme="minorHAnsi" w:eastAsiaTheme="minorEastAsia" w:cstheme="minorBidi"/>
      <w:kern w:val="2"/>
      <w:sz w:val="21"/>
    </w:rPr>
  </w:style>
  <w:style w:type="character" w:customStyle="1" w:styleId="15">
    <w:name w:val="批注主题 字符"/>
    <w:basedOn w:val="14"/>
    <w:link w:val="6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370</Words>
  <Characters>2590</Characters>
  <Lines>287</Lines>
  <Paragraphs>227</Paragraphs>
  <TotalTime>0</TotalTime>
  <ScaleCrop>false</ScaleCrop>
  <LinksUpToDate>false</LinksUpToDate>
  <CharactersWithSpaces>2733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2025-08-02T20:36:00Z</dcterms:created>
  <dc:creator>Chrischen</dc:creator>
  <cp:lastModifiedBy>Chrischen</cp:lastModifiedBy>
  <dcterms:modified xsi:type="dcterms:W3CDTF">2026-03-07T22:44:17Z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DD79EC2DF67434A94C638B68952C6653_41</vt:lpwstr>
  </property>
</Properties>
</file>