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33CF" w14:textId="3B47D0DE" w:rsidR="00F7659D" w:rsidRPr="00BE7C45" w:rsidRDefault="00F7659D" w:rsidP="00BE7C45">
      <w:pPr>
        <w:spacing w:line="480" w:lineRule="auto"/>
        <w:ind w:firstLineChars="100" w:firstLine="240"/>
        <w:jc w:val="center"/>
        <w:rPr>
          <w:rFonts w:ascii="Times New Roman" w:hAnsi="Times New Roman"/>
          <w:sz w:val="24"/>
          <w:szCs w:val="24"/>
          <w:lang w:eastAsia="zh-CN"/>
        </w:rPr>
      </w:pPr>
      <w:r w:rsidRPr="00BE7C45">
        <w:rPr>
          <w:rFonts w:ascii="Times New Roman" w:hAnsi="Times New Roman"/>
          <w:b/>
          <w:sz w:val="24"/>
          <w:szCs w:val="24"/>
        </w:rPr>
        <w:t>Additional file 1. Supplementary information</w:t>
      </w:r>
    </w:p>
    <w:p w14:paraId="4EAD6104" w14:textId="77777777" w:rsidR="00F7659D" w:rsidRPr="00BE7C45" w:rsidRDefault="00F7659D" w:rsidP="00BE7C45">
      <w:pPr>
        <w:spacing w:line="480" w:lineRule="auto"/>
        <w:rPr>
          <w:rFonts w:ascii="Times New Roman" w:hAnsi="Times New Roman"/>
          <w:sz w:val="24"/>
          <w:szCs w:val="24"/>
        </w:rPr>
      </w:pPr>
      <w:r w:rsidRPr="00BE7C45">
        <w:rPr>
          <w:rFonts w:ascii="Times New Roman" w:hAnsi="Times New Roman"/>
          <w:b/>
          <w:sz w:val="24"/>
          <w:szCs w:val="24"/>
        </w:rPr>
        <w:t xml:space="preserve">Supplementary Methods: Rationale for </w:t>
      </w:r>
      <w:r w:rsidRPr="00BE7C45">
        <w:rPr>
          <w:rFonts w:ascii="Times New Roman" w:eastAsia="宋体" w:hAnsi="Times New Roman" w:hint="eastAsia"/>
          <w:b/>
          <w:sz w:val="24"/>
          <w:szCs w:val="24"/>
          <w:lang w:eastAsia="zh-CN"/>
        </w:rPr>
        <w:t>sample</w:t>
      </w:r>
      <w:r w:rsidRPr="00BE7C45">
        <w:rPr>
          <w:rFonts w:ascii="Times New Roman" w:hAnsi="Times New Roman"/>
          <w:b/>
          <w:sz w:val="24"/>
          <w:szCs w:val="24"/>
        </w:rPr>
        <w:t xml:space="preserve"> size</w:t>
      </w:r>
    </w:p>
    <w:p w14:paraId="610FA5C5" w14:textId="41ACFDC3" w:rsidR="008A791A" w:rsidRPr="00F51712" w:rsidRDefault="00F7659D" w:rsidP="00F51712">
      <w:pPr>
        <w:spacing w:line="480" w:lineRule="auto"/>
        <w:ind w:firstLineChars="100" w:firstLine="240"/>
        <w:rPr>
          <w:rFonts w:ascii="Times New Roman" w:eastAsia="宋体" w:hAnsi="Times New Roman"/>
          <w:sz w:val="24"/>
          <w:szCs w:val="24"/>
          <w:lang w:eastAsia="zh-CN"/>
        </w:rPr>
      </w:pPr>
      <w:r w:rsidRPr="00BE7C45">
        <w:rPr>
          <w:rFonts w:ascii="Times New Roman" w:eastAsia="宋体" w:hAnsi="Times New Roman" w:hint="eastAsia"/>
          <w:sz w:val="24"/>
          <w:szCs w:val="24"/>
          <w:lang w:eastAsia="zh-CN"/>
        </w:rPr>
        <w:t>W</w:t>
      </w:r>
      <w:r w:rsidRPr="00BE7C45">
        <w:rPr>
          <w:rFonts w:ascii="Times New Roman" w:hAnsi="Times New Roman"/>
          <w:sz w:val="24"/>
          <w:szCs w:val="24"/>
        </w:rPr>
        <w:t>e summarized sample sizes from prior head‑down tilt (HDT) and head‑down tilt bed rest (HDTBR) studies that assessed venous hemodynamics using MRI or ultrasound (</w:t>
      </w:r>
      <w:r w:rsidR="00005F6E">
        <w:rPr>
          <w:rFonts w:ascii="Times New Roman" w:hAnsi="Times New Roman"/>
          <w:sz w:val="24"/>
          <w:szCs w:val="24"/>
        </w:rPr>
        <w:fldChar w:fldCharType="begin"/>
      </w:r>
      <w:r w:rsidR="00005F6E">
        <w:rPr>
          <w:rFonts w:ascii="Times New Roman" w:hAnsi="Times New Roman"/>
          <w:sz w:val="24"/>
          <w:szCs w:val="24"/>
        </w:rPr>
        <w:instrText xml:space="preserve"> REF _Ref223084091 \h </w:instrText>
      </w:r>
      <w:r w:rsidR="00005F6E">
        <w:rPr>
          <w:rFonts w:ascii="Times New Roman" w:hAnsi="Times New Roman"/>
          <w:sz w:val="24"/>
          <w:szCs w:val="24"/>
        </w:rPr>
      </w:r>
      <w:r w:rsidR="00005F6E">
        <w:rPr>
          <w:rFonts w:ascii="Times New Roman" w:hAnsi="Times New Roman"/>
          <w:sz w:val="24"/>
          <w:szCs w:val="24"/>
        </w:rPr>
        <w:fldChar w:fldCharType="separate"/>
      </w:r>
      <w:r w:rsidR="00005F6E" w:rsidRPr="00F51712">
        <w:rPr>
          <w:rFonts w:ascii="Times New Roman" w:hAnsi="Times New Roman" w:hint="eastAsia"/>
          <w:sz w:val="24"/>
          <w:szCs w:val="24"/>
        </w:rPr>
        <w:t>Table S1</w:t>
      </w:r>
      <w:r w:rsidR="00005F6E">
        <w:rPr>
          <w:rFonts w:ascii="Times New Roman" w:hAnsi="Times New Roman"/>
          <w:sz w:val="24"/>
          <w:szCs w:val="24"/>
        </w:rPr>
        <w:fldChar w:fldCharType="end"/>
      </w:r>
      <w:r w:rsidRPr="00BE7C45">
        <w:rPr>
          <w:rFonts w:ascii="Times New Roman" w:hAnsi="Times New Roman"/>
          <w:sz w:val="24"/>
          <w:szCs w:val="24"/>
        </w:rPr>
        <w:t>). Many venous‑focused HDT</w:t>
      </w:r>
      <w:r w:rsidRPr="00BE7C45">
        <w:rPr>
          <w:rFonts w:ascii="Times New Roman" w:eastAsia="宋体" w:hAnsi="Times New Roman" w:hint="eastAsia"/>
          <w:sz w:val="24"/>
          <w:szCs w:val="24"/>
          <w:lang w:eastAsia="zh-CN"/>
        </w:rPr>
        <w:t xml:space="preserve"> or </w:t>
      </w:r>
      <w:r w:rsidRPr="00BE7C45">
        <w:rPr>
          <w:rFonts w:ascii="Times New Roman" w:hAnsi="Times New Roman"/>
          <w:sz w:val="24"/>
          <w:szCs w:val="24"/>
        </w:rPr>
        <w:t>HDTBR studies enrolled relatively small cohorts because of logistical constraints, limited scanner availability, and the burden of repeated physiological and imaging measurements. Our protocol included eight repeated MRI sessions per participant spanning baseline, HDT exposure, and recovery. To contextualize the study size for this high‑cost, intensive imaging protocol,</w:t>
      </w:r>
      <w:r w:rsidRPr="00BE7C45">
        <w:rPr>
          <w:rFonts w:ascii="Times New Roman" w:eastAsia="宋体" w:hAnsi="Times New Roman" w:hint="eastAsia"/>
          <w:sz w:val="24"/>
          <w:szCs w:val="24"/>
          <w:lang w:eastAsia="zh-CN"/>
        </w:rPr>
        <w:t xml:space="preserve"> w</w:t>
      </w:r>
      <w:r w:rsidRPr="00BE7C45">
        <w:rPr>
          <w:rFonts w:ascii="Times New Roman" w:hAnsi="Times New Roman"/>
          <w:sz w:val="24"/>
          <w:szCs w:val="24"/>
        </w:rPr>
        <w:t>e recruited 40 healthy adult males and analyzed 38 participants after excluding two datasets for insufficient image quality</w:t>
      </w:r>
      <w:r w:rsidRPr="00BE7C45">
        <w:rPr>
          <w:rFonts w:ascii="Times New Roman" w:eastAsia="宋体" w:hAnsi="Times New Roman" w:hint="eastAsia"/>
          <w:sz w:val="24"/>
          <w:szCs w:val="24"/>
          <w:lang w:eastAsia="zh-CN"/>
        </w:rPr>
        <w:t>. T</w:t>
      </w:r>
      <w:r w:rsidRPr="00BE7C45">
        <w:rPr>
          <w:rFonts w:ascii="Times New Roman" w:hAnsi="Times New Roman"/>
          <w:sz w:val="24"/>
          <w:szCs w:val="24"/>
        </w:rPr>
        <w:t>his study size is comparatively large for an imaging‑based venous HDT</w:t>
      </w:r>
      <w:r w:rsidRPr="00BE7C45">
        <w:rPr>
          <w:rFonts w:ascii="Times New Roman" w:eastAsia="宋体" w:hAnsi="Times New Roman" w:hint="eastAsia"/>
          <w:sz w:val="24"/>
          <w:szCs w:val="24"/>
          <w:lang w:eastAsia="zh-CN"/>
        </w:rPr>
        <w:t xml:space="preserve"> or </w:t>
      </w:r>
      <w:r w:rsidRPr="00BE7C45">
        <w:rPr>
          <w:rFonts w:ascii="Times New Roman" w:hAnsi="Times New Roman"/>
          <w:sz w:val="24"/>
          <w:szCs w:val="24"/>
        </w:rPr>
        <w:t>HDTBR experiment with dense longitudinal sampling.</w:t>
      </w:r>
    </w:p>
    <w:p w14:paraId="6B9F9F22" w14:textId="0B59A96C" w:rsidR="00F51712" w:rsidRDefault="00F51712" w:rsidP="00F51712">
      <w:pPr>
        <w:pStyle w:val="af2"/>
        <w:keepNext/>
        <w:rPr>
          <w:rFonts w:hint="eastAsia"/>
        </w:rPr>
      </w:pPr>
      <w:bookmarkStart w:id="0" w:name="_Ref223084091"/>
      <w:r w:rsidRPr="00F51712">
        <w:rPr>
          <w:rFonts w:ascii="Times New Roman" w:hAnsi="Times New Roman" w:hint="eastAsia"/>
          <w:color w:val="auto"/>
          <w:sz w:val="24"/>
          <w:szCs w:val="24"/>
        </w:rPr>
        <w:t>Table S</w:t>
      </w:r>
      <w:r w:rsidRPr="00F51712">
        <w:rPr>
          <w:rFonts w:ascii="Times New Roman" w:hAnsi="Times New Roman" w:hint="eastAsia"/>
          <w:color w:val="auto"/>
          <w:sz w:val="24"/>
          <w:szCs w:val="24"/>
        </w:rPr>
        <w:fldChar w:fldCharType="begin"/>
      </w:r>
      <w:r w:rsidRPr="00F51712">
        <w:rPr>
          <w:rFonts w:ascii="Times New Roman" w:hAnsi="Times New Roman" w:hint="eastAsia"/>
          <w:color w:val="auto"/>
          <w:sz w:val="24"/>
          <w:szCs w:val="24"/>
        </w:rPr>
        <w:instrText xml:space="preserve"> SEQ Table_S \* ARABIC </w:instrText>
      </w:r>
      <w:r w:rsidRPr="00F51712">
        <w:rPr>
          <w:rFonts w:ascii="Times New Roman" w:hAnsi="Times New Roman" w:hint="eastAsia"/>
          <w:color w:val="auto"/>
          <w:sz w:val="24"/>
          <w:szCs w:val="24"/>
        </w:rPr>
        <w:fldChar w:fldCharType="separate"/>
      </w:r>
      <w:r w:rsidRPr="00F51712">
        <w:rPr>
          <w:rFonts w:ascii="Times New Roman" w:hAnsi="Times New Roman" w:hint="eastAsia"/>
          <w:color w:val="auto"/>
          <w:sz w:val="24"/>
          <w:szCs w:val="24"/>
        </w:rPr>
        <w:t>1</w:t>
      </w:r>
      <w:r w:rsidRPr="00F51712">
        <w:rPr>
          <w:rFonts w:ascii="Times New Roman" w:hAnsi="Times New Roman" w:hint="eastAsia"/>
          <w:color w:val="auto"/>
          <w:sz w:val="24"/>
          <w:szCs w:val="24"/>
        </w:rPr>
        <w:fldChar w:fldCharType="end"/>
      </w:r>
      <w:bookmarkEnd w:id="0"/>
      <w:r w:rsidRPr="00F51712">
        <w:rPr>
          <w:rFonts w:ascii="Times New Roman" w:hAnsi="Times New Roman" w:hint="eastAsia"/>
          <w:color w:val="auto"/>
          <w:sz w:val="24"/>
          <w:szCs w:val="24"/>
        </w:rPr>
        <w:t>.</w:t>
      </w:r>
      <w:r w:rsidRPr="00F51712">
        <w:rPr>
          <w:rFonts w:ascii="Times New Roman" w:hAnsi="Times New Roman"/>
          <w:color w:val="auto"/>
          <w:sz w:val="24"/>
          <w:szCs w:val="24"/>
        </w:rPr>
        <w:t xml:space="preserve"> </w:t>
      </w:r>
      <w:r w:rsidRPr="00BE7C45">
        <w:rPr>
          <w:rFonts w:ascii="Times New Roman" w:hAnsi="Times New Roman"/>
          <w:color w:val="auto"/>
          <w:sz w:val="24"/>
          <w:szCs w:val="24"/>
        </w:rPr>
        <w:t>Sample sizes of p</w:t>
      </w:r>
      <w:r w:rsidRPr="00BE7C45">
        <w:rPr>
          <w:rFonts w:ascii="Times New Roman" w:eastAsia="宋体" w:hAnsi="Times New Roman" w:cs="Times New Roman"/>
          <w:color w:val="auto"/>
          <w:sz w:val="24"/>
          <w:szCs w:val="24"/>
          <w:lang w:eastAsia="zh-CN"/>
        </w:rPr>
        <w:t>rior HDT</w:t>
      </w:r>
      <w:r w:rsidRPr="00BE7C45">
        <w:rPr>
          <w:rFonts w:ascii="Times New Roman" w:eastAsia="宋体" w:hAnsi="Times New Roman" w:cs="Times New Roman" w:hint="eastAsia"/>
          <w:color w:val="auto"/>
          <w:sz w:val="24"/>
          <w:szCs w:val="24"/>
          <w:lang w:eastAsia="zh-CN"/>
        </w:rPr>
        <w:t xml:space="preserve"> or </w:t>
      </w:r>
      <w:r w:rsidRPr="00BE7C45">
        <w:rPr>
          <w:rFonts w:ascii="Times New Roman" w:eastAsia="宋体" w:hAnsi="Times New Roman" w:cs="Times New Roman"/>
          <w:color w:val="auto"/>
          <w:sz w:val="24"/>
          <w:szCs w:val="24"/>
          <w:lang w:eastAsia="zh-CN"/>
        </w:rPr>
        <w:t>HDTBR studies assessing venous hemodynamics</w:t>
      </w:r>
    </w:p>
    <w:tbl>
      <w:tblPr>
        <w:tblStyle w:val="af3"/>
        <w:tblW w:w="0" w:type="auto"/>
        <w:tblLook w:val="04A0" w:firstRow="1" w:lastRow="0" w:firstColumn="1" w:lastColumn="0" w:noHBand="0" w:noVBand="1"/>
      </w:tblPr>
      <w:tblGrid>
        <w:gridCol w:w="2592"/>
        <w:gridCol w:w="2515"/>
        <w:gridCol w:w="2174"/>
        <w:gridCol w:w="1714"/>
        <w:gridCol w:w="1795"/>
      </w:tblGrid>
      <w:tr w:rsidR="00F7659D" w:rsidRPr="00475FBD" w14:paraId="1726C213" w14:textId="77777777" w:rsidTr="00502795">
        <w:tc>
          <w:tcPr>
            <w:tcW w:w="0" w:type="auto"/>
          </w:tcPr>
          <w:p w14:paraId="0C8D0C5D"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b/>
                <w:sz w:val="24"/>
                <w:szCs w:val="24"/>
              </w:rPr>
              <w:t>Study</w:t>
            </w:r>
          </w:p>
        </w:tc>
        <w:tc>
          <w:tcPr>
            <w:tcW w:w="0" w:type="auto"/>
          </w:tcPr>
          <w:p w14:paraId="1A2004E2" w14:textId="71CC4B61"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b/>
                <w:sz w:val="24"/>
                <w:szCs w:val="24"/>
              </w:rPr>
              <w:t>Protocol</w:t>
            </w:r>
          </w:p>
        </w:tc>
        <w:tc>
          <w:tcPr>
            <w:tcW w:w="0" w:type="auto"/>
          </w:tcPr>
          <w:p w14:paraId="59681550"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b/>
                <w:sz w:val="24"/>
                <w:szCs w:val="24"/>
              </w:rPr>
              <w:t>Venous outcomes (examples)</w:t>
            </w:r>
          </w:p>
        </w:tc>
        <w:tc>
          <w:tcPr>
            <w:tcW w:w="0" w:type="auto"/>
          </w:tcPr>
          <w:p w14:paraId="09067548"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b/>
                <w:sz w:val="24"/>
                <w:szCs w:val="24"/>
              </w:rPr>
              <w:t>Modality</w:t>
            </w:r>
          </w:p>
        </w:tc>
        <w:tc>
          <w:tcPr>
            <w:tcW w:w="0" w:type="auto"/>
          </w:tcPr>
          <w:p w14:paraId="57CE0F1D"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b/>
                <w:sz w:val="24"/>
                <w:szCs w:val="24"/>
              </w:rPr>
              <w:t>Sample size (analyzed)</w:t>
            </w:r>
          </w:p>
        </w:tc>
      </w:tr>
      <w:tr w:rsidR="00F7659D" w:rsidRPr="00475FBD" w14:paraId="63E2A9C7" w14:textId="77777777" w:rsidTr="00502795">
        <w:tc>
          <w:tcPr>
            <w:tcW w:w="0" w:type="auto"/>
          </w:tcPr>
          <w:p w14:paraId="44F01404"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Marshall‑Goebel et al., 2016 (J Appl Physiol)</w:t>
            </w:r>
          </w:p>
        </w:tc>
        <w:tc>
          <w:tcPr>
            <w:tcW w:w="0" w:type="auto"/>
          </w:tcPr>
          <w:p w14:paraId="493CB15F"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Acute HDT (−6°, −12°, −18°), 4.5 h; baseline supine 0°</w:t>
            </w:r>
          </w:p>
        </w:tc>
        <w:tc>
          <w:tcPr>
            <w:tcW w:w="0" w:type="auto"/>
          </w:tcPr>
          <w:p w14:paraId="386D7423"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IJV flow and CSA (plus arteries)</w:t>
            </w:r>
          </w:p>
        </w:tc>
        <w:tc>
          <w:tcPr>
            <w:tcW w:w="0" w:type="auto"/>
          </w:tcPr>
          <w:p w14:paraId="5A0D2866"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Phase‑contrast MRI</w:t>
            </w:r>
          </w:p>
        </w:tc>
        <w:tc>
          <w:tcPr>
            <w:tcW w:w="0" w:type="auto"/>
          </w:tcPr>
          <w:p w14:paraId="45D3A80C"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n=9</w:t>
            </w:r>
          </w:p>
        </w:tc>
      </w:tr>
      <w:tr w:rsidR="00F7659D" w:rsidRPr="00475FBD" w14:paraId="6136321D" w14:textId="77777777" w:rsidTr="00502795">
        <w:tc>
          <w:tcPr>
            <w:tcW w:w="0" w:type="auto"/>
          </w:tcPr>
          <w:p w14:paraId="099813D5"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Marshall‑Goebel et al., 2018 (Aerosp Med Hum Perform)</w:t>
            </w:r>
          </w:p>
        </w:tc>
        <w:tc>
          <w:tcPr>
            <w:tcW w:w="0" w:type="auto"/>
          </w:tcPr>
          <w:p w14:paraId="2A3D925F"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Tilt‑table 0–30°; then ~26 h of 12° HDTBR ± 0.5% CO₂</w:t>
            </w:r>
          </w:p>
        </w:tc>
        <w:tc>
          <w:tcPr>
            <w:tcW w:w="0" w:type="auto"/>
          </w:tcPr>
          <w:p w14:paraId="1724FEA3"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Right IJV CSA</w:t>
            </w:r>
            <w:r w:rsidRPr="00475FBD">
              <w:rPr>
                <w:rFonts w:ascii="Times New Roman" w:eastAsia="宋体" w:hAnsi="Times New Roman" w:cs="Times New Roman"/>
                <w:sz w:val="24"/>
                <w:szCs w:val="24"/>
                <w:lang w:eastAsia="zh-CN"/>
              </w:rPr>
              <w:t xml:space="preserve"> and </w:t>
            </w:r>
            <w:r w:rsidRPr="00475FBD">
              <w:rPr>
                <w:rFonts w:ascii="Times New Roman" w:hAnsi="Times New Roman" w:cs="Times New Roman"/>
                <w:sz w:val="24"/>
                <w:szCs w:val="24"/>
              </w:rPr>
              <w:t xml:space="preserve">volume </w:t>
            </w:r>
          </w:p>
        </w:tc>
        <w:tc>
          <w:tcPr>
            <w:tcW w:w="0" w:type="auto"/>
          </w:tcPr>
          <w:p w14:paraId="01496891"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Ultrasound</w:t>
            </w:r>
          </w:p>
        </w:tc>
        <w:tc>
          <w:tcPr>
            <w:tcW w:w="0" w:type="auto"/>
          </w:tcPr>
          <w:p w14:paraId="783D42BD"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n=6</w:t>
            </w:r>
          </w:p>
        </w:tc>
      </w:tr>
      <w:tr w:rsidR="00F7659D" w:rsidRPr="00475FBD" w14:paraId="439202AF" w14:textId="77777777" w:rsidTr="00502795">
        <w:tc>
          <w:tcPr>
            <w:tcW w:w="0" w:type="auto"/>
          </w:tcPr>
          <w:p w14:paraId="772D65AA"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Zahid et al., 2021 (Fluids Barriers CNS)</w:t>
            </w:r>
          </w:p>
        </w:tc>
        <w:tc>
          <w:tcPr>
            <w:tcW w:w="0" w:type="auto"/>
          </w:tcPr>
          <w:p w14:paraId="23A21083"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Acute 15° HDT; pre vs during HDT</w:t>
            </w:r>
          </w:p>
        </w:tc>
        <w:tc>
          <w:tcPr>
            <w:tcW w:w="0" w:type="auto"/>
          </w:tcPr>
          <w:p w14:paraId="1B603ED8"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 xml:space="preserve">Major cerebral veins (with arterial </w:t>
            </w:r>
            <w:r w:rsidRPr="00475FBD">
              <w:rPr>
                <w:rFonts w:ascii="Times New Roman" w:eastAsia="宋体" w:hAnsi="Times New Roman" w:cs="Times New Roman"/>
                <w:sz w:val="24"/>
                <w:szCs w:val="24"/>
                <w:lang w:eastAsia="zh-CN"/>
              </w:rPr>
              <w:t xml:space="preserve">and </w:t>
            </w:r>
            <w:r w:rsidRPr="00475FBD">
              <w:rPr>
                <w:rFonts w:ascii="Times New Roman" w:hAnsi="Times New Roman" w:cs="Times New Roman"/>
                <w:sz w:val="24"/>
                <w:szCs w:val="24"/>
              </w:rPr>
              <w:t>CSF flow)</w:t>
            </w:r>
          </w:p>
        </w:tc>
        <w:tc>
          <w:tcPr>
            <w:tcW w:w="0" w:type="auto"/>
          </w:tcPr>
          <w:p w14:paraId="5657A25C"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 xml:space="preserve">PC‑MRI </w:t>
            </w:r>
          </w:p>
        </w:tc>
        <w:tc>
          <w:tcPr>
            <w:tcW w:w="0" w:type="auto"/>
          </w:tcPr>
          <w:p w14:paraId="7AFC7E9B"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n=15</w:t>
            </w:r>
          </w:p>
        </w:tc>
      </w:tr>
      <w:tr w:rsidR="00F7659D" w:rsidRPr="00475FBD" w14:paraId="7EE84984" w14:textId="77777777" w:rsidTr="00502795">
        <w:tc>
          <w:tcPr>
            <w:tcW w:w="0" w:type="auto"/>
          </w:tcPr>
          <w:p w14:paraId="537DCF83"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Boschert et al., 2023 (npj Microgravity)</w:t>
            </w:r>
          </w:p>
        </w:tc>
        <w:tc>
          <w:tcPr>
            <w:tcW w:w="0" w:type="auto"/>
          </w:tcPr>
          <w:p w14:paraId="1C8EA990"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21 h bed rest, −12° HDT vs 0° supine; baseline, 1 h, 21 h</w:t>
            </w:r>
          </w:p>
        </w:tc>
        <w:tc>
          <w:tcPr>
            <w:tcW w:w="0" w:type="auto"/>
          </w:tcPr>
          <w:p w14:paraId="280BAC0A"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Jugular venous flow (internal system) and related flows</w:t>
            </w:r>
          </w:p>
        </w:tc>
        <w:tc>
          <w:tcPr>
            <w:tcW w:w="0" w:type="auto"/>
          </w:tcPr>
          <w:p w14:paraId="62D3D459"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Cine PC‑MRI</w:t>
            </w:r>
          </w:p>
        </w:tc>
        <w:tc>
          <w:tcPr>
            <w:tcW w:w="0" w:type="auto"/>
          </w:tcPr>
          <w:p w14:paraId="73863691"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n=11</w:t>
            </w:r>
          </w:p>
        </w:tc>
      </w:tr>
      <w:tr w:rsidR="00F7659D" w:rsidRPr="00475FBD" w14:paraId="596F03BD" w14:textId="77777777" w:rsidTr="00502795">
        <w:tc>
          <w:tcPr>
            <w:tcW w:w="0" w:type="auto"/>
          </w:tcPr>
          <w:p w14:paraId="30593C13"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Ogoh et al., 2020 (Exp Physiol)</w:t>
            </w:r>
          </w:p>
        </w:tc>
        <w:tc>
          <w:tcPr>
            <w:tcW w:w="0" w:type="auto"/>
          </w:tcPr>
          <w:p w14:paraId="6A6266C3"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 xml:space="preserve">Long‑term −6° HDTBR, 60 days; </w:t>
            </w:r>
            <w:r w:rsidRPr="00475FBD">
              <w:rPr>
                <w:rFonts w:ascii="Times New Roman" w:hAnsi="Times New Roman" w:cs="Times New Roman"/>
                <w:sz w:val="24"/>
                <w:szCs w:val="24"/>
              </w:rPr>
              <w:lastRenderedPageBreak/>
              <w:t>baseline, day 30, day 57</w:t>
            </w:r>
          </w:p>
        </w:tc>
        <w:tc>
          <w:tcPr>
            <w:tcW w:w="0" w:type="auto"/>
          </w:tcPr>
          <w:p w14:paraId="5C0D3A14"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lastRenderedPageBreak/>
              <w:t>IJV and vertebral vein flow</w:t>
            </w:r>
          </w:p>
        </w:tc>
        <w:tc>
          <w:tcPr>
            <w:tcW w:w="0" w:type="auto"/>
          </w:tcPr>
          <w:p w14:paraId="0279F90C"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Ultrasound</w:t>
            </w:r>
          </w:p>
        </w:tc>
        <w:tc>
          <w:tcPr>
            <w:tcW w:w="0" w:type="auto"/>
          </w:tcPr>
          <w:p w14:paraId="1C53E46E"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n=10</w:t>
            </w:r>
          </w:p>
        </w:tc>
      </w:tr>
      <w:tr w:rsidR="00F7659D" w:rsidRPr="00475FBD" w14:paraId="6453D73A" w14:textId="77777777" w:rsidTr="00502795">
        <w:tc>
          <w:tcPr>
            <w:tcW w:w="0" w:type="auto"/>
          </w:tcPr>
          <w:p w14:paraId="12EF47D9"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Whittle &amp; Diaz</w:t>
            </w:r>
            <w:r w:rsidRPr="00475FBD">
              <w:rPr>
                <w:rFonts w:ascii="Times New Roman" w:hAnsi="Times New Roman" w:cs="Times New Roman"/>
                <w:sz w:val="24"/>
                <w:szCs w:val="24"/>
              </w:rPr>
              <w:noBreakHyphen/>
              <w:t>Artiles, 2023 (J Appl Physiol)</w:t>
            </w:r>
          </w:p>
        </w:tc>
        <w:tc>
          <w:tcPr>
            <w:tcW w:w="0" w:type="auto"/>
          </w:tcPr>
          <w:p w14:paraId="00A40FAD"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Graded head‑up to head‑down tilt in 15° steps</w:t>
            </w:r>
          </w:p>
        </w:tc>
        <w:tc>
          <w:tcPr>
            <w:tcW w:w="0" w:type="auto"/>
          </w:tcPr>
          <w:p w14:paraId="30FA0A09"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IJV area and venous pressure</w:t>
            </w:r>
          </w:p>
        </w:tc>
        <w:tc>
          <w:tcPr>
            <w:tcW w:w="0" w:type="auto"/>
          </w:tcPr>
          <w:p w14:paraId="035FB8DE"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Ultrasound</w:t>
            </w:r>
          </w:p>
        </w:tc>
        <w:tc>
          <w:tcPr>
            <w:tcW w:w="0" w:type="auto"/>
          </w:tcPr>
          <w:p w14:paraId="0A43C11B"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n=12</w:t>
            </w:r>
          </w:p>
        </w:tc>
      </w:tr>
      <w:tr w:rsidR="00F7659D" w:rsidRPr="00475FBD" w14:paraId="4EDC3D0A" w14:textId="77777777" w:rsidTr="00502795">
        <w:tc>
          <w:tcPr>
            <w:tcW w:w="0" w:type="auto"/>
          </w:tcPr>
          <w:p w14:paraId="7F74A6EB"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Watkins et al., 2017 (J Appl Physiol)</w:t>
            </w:r>
          </w:p>
        </w:tc>
        <w:tc>
          <w:tcPr>
            <w:tcW w:w="0" w:type="auto"/>
          </w:tcPr>
          <w:p w14:paraId="39347B9C"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15° HDT with</w:t>
            </w:r>
            <w:r w:rsidRPr="00475FBD">
              <w:rPr>
                <w:rFonts w:ascii="Times New Roman" w:eastAsia="宋体" w:hAnsi="Times New Roman" w:cs="Times New Roman"/>
                <w:sz w:val="24"/>
                <w:szCs w:val="24"/>
                <w:lang w:eastAsia="zh-CN"/>
              </w:rPr>
              <w:t xml:space="preserve"> or </w:t>
            </w:r>
            <w:r w:rsidRPr="00475FBD">
              <w:rPr>
                <w:rFonts w:ascii="Times New Roman" w:hAnsi="Times New Roman" w:cs="Times New Roman"/>
                <w:sz w:val="24"/>
                <w:szCs w:val="24"/>
              </w:rPr>
              <w:t xml:space="preserve">without </w:t>
            </w:r>
            <w:r w:rsidRPr="00475FBD">
              <w:rPr>
                <w:rFonts w:ascii="Times New Roman" w:hAnsi="Times New Roman" w:cs="Times New Roman"/>
                <w:i/>
                <w:sz w:val="24"/>
                <w:szCs w:val="24"/>
              </w:rPr>
              <w:t>LBNP</w:t>
            </w:r>
            <w:r w:rsidRPr="00475FBD">
              <w:rPr>
                <w:rFonts w:ascii="Times New Roman" w:hAnsi="Times New Roman" w:cs="Times New Roman"/>
                <w:sz w:val="24"/>
                <w:szCs w:val="24"/>
              </w:rPr>
              <w:t>;</w:t>
            </w:r>
            <w:r w:rsidRPr="00475FBD">
              <w:rPr>
                <w:rFonts w:ascii="Times New Roman" w:eastAsia="宋体" w:hAnsi="Times New Roman" w:cs="Times New Roman"/>
                <w:sz w:val="24"/>
                <w:szCs w:val="24"/>
                <w:lang w:eastAsia="zh-CN"/>
              </w:rPr>
              <w:t xml:space="preserve"> </w:t>
            </w:r>
            <w:r w:rsidRPr="00475FBD">
              <w:rPr>
                <w:rFonts w:ascii="Times New Roman" w:hAnsi="Times New Roman" w:cs="Times New Roman"/>
                <w:sz w:val="24"/>
                <w:szCs w:val="24"/>
              </w:rPr>
              <w:t>short‑duration postures</w:t>
            </w:r>
          </w:p>
        </w:tc>
        <w:tc>
          <w:tcPr>
            <w:tcW w:w="0" w:type="auto"/>
          </w:tcPr>
          <w:p w14:paraId="2D76DB6D"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IJV CSA (and noninvasive ICP surrogate)</w:t>
            </w:r>
          </w:p>
        </w:tc>
        <w:tc>
          <w:tcPr>
            <w:tcW w:w="0" w:type="auto"/>
          </w:tcPr>
          <w:p w14:paraId="43CCB093"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Ultrasound</w:t>
            </w:r>
          </w:p>
        </w:tc>
        <w:tc>
          <w:tcPr>
            <w:tcW w:w="0" w:type="auto"/>
          </w:tcPr>
          <w:p w14:paraId="1E9ED849"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n=15</w:t>
            </w:r>
          </w:p>
        </w:tc>
      </w:tr>
      <w:tr w:rsidR="00F7659D" w:rsidRPr="00475FBD" w14:paraId="02E398AC" w14:textId="77777777" w:rsidTr="00502795">
        <w:tc>
          <w:tcPr>
            <w:tcW w:w="0" w:type="auto"/>
          </w:tcPr>
          <w:p w14:paraId="721E7E46"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Patterson et al., 2022 (Physiol Rep)</w:t>
            </w:r>
          </w:p>
        </w:tc>
        <w:tc>
          <w:tcPr>
            <w:tcW w:w="0" w:type="auto"/>
          </w:tcPr>
          <w:p w14:paraId="16DF34E0"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Three HDT levels; four LBNP levels</w:t>
            </w:r>
          </w:p>
        </w:tc>
        <w:tc>
          <w:tcPr>
            <w:tcW w:w="0" w:type="auto"/>
          </w:tcPr>
          <w:p w14:paraId="0BFC2927"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Jugular venous CSA and optical attenuation</w:t>
            </w:r>
          </w:p>
        </w:tc>
        <w:tc>
          <w:tcPr>
            <w:tcW w:w="0" w:type="auto"/>
          </w:tcPr>
          <w:p w14:paraId="63C38459"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CHI + ultrasound</w:t>
            </w:r>
          </w:p>
        </w:tc>
        <w:tc>
          <w:tcPr>
            <w:tcW w:w="0" w:type="auto"/>
          </w:tcPr>
          <w:p w14:paraId="5EB93999"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n=20 (10 men, 10 women)</w:t>
            </w:r>
          </w:p>
        </w:tc>
      </w:tr>
      <w:tr w:rsidR="00F7659D" w:rsidRPr="00475FBD" w14:paraId="369D677A" w14:textId="77777777" w:rsidTr="00502795">
        <w:tc>
          <w:tcPr>
            <w:tcW w:w="0" w:type="auto"/>
          </w:tcPr>
          <w:p w14:paraId="7064BC26"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Laurie et al., 2025 (J Appl Physiol)</w:t>
            </w:r>
          </w:p>
        </w:tc>
        <w:tc>
          <w:tcPr>
            <w:tcW w:w="0" w:type="auto"/>
          </w:tcPr>
          <w:p w14:paraId="6392EA74"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Strict −6° HDTBR, 30 days; repeated assessments (days 3/17/30)</w:t>
            </w:r>
          </w:p>
        </w:tc>
        <w:tc>
          <w:tcPr>
            <w:tcW w:w="0" w:type="auto"/>
          </w:tcPr>
          <w:p w14:paraId="16393D3C"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IJV CSA as a marker of headward fluid shift</w:t>
            </w:r>
          </w:p>
        </w:tc>
        <w:tc>
          <w:tcPr>
            <w:tcW w:w="0" w:type="auto"/>
          </w:tcPr>
          <w:p w14:paraId="2CEED926"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Ultrasound</w:t>
            </w:r>
          </w:p>
        </w:tc>
        <w:tc>
          <w:tcPr>
            <w:tcW w:w="0" w:type="auto"/>
          </w:tcPr>
          <w:p w14:paraId="620D630A"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Total n=47 (group sizes 12, 12, 11, 12)</w:t>
            </w:r>
          </w:p>
        </w:tc>
      </w:tr>
      <w:tr w:rsidR="00F7659D" w:rsidRPr="00475FBD" w14:paraId="29096FB2" w14:textId="77777777" w:rsidTr="00502795">
        <w:tc>
          <w:tcPr>
            <w:tcW w:w="0" w:type="auto"/>
          </w:tcPr>
          <w:p w14:paraId="4F977BED"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Nimpal et al., 2025 (J Cereb Blood Flow Metab)</w:t>
            </w:r>
          </w:p>
        </w:tc>
        <w:tc>
          <w:tcPr>
            <w:tcW w:w="0" w:type="auto"/>
          </w:tcPr>
          <w:p w14:paraId="017A0D51"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 xml:space="preserve">~2 h −10° HDT; four MRI sessions </w:t>
            </w:r>
          </w:p>
        </w:tc>
        <w:tc>
          <w:tcPr>
            <w:tcW w:w="0" w:type="auto"/>
          </w:tcPr>
          <w:p w14:paraId="425D8437"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 xml:space="preserve">Cranial venous outflow </w:t>
            </w:r>
          </w:p>
        </w:tc>
        <w:tc>
          <w:tcPr>
            <w:tcW w:w="0" w:type="auto"/>
          </w:tcPr>
          <w:p w14:paraId="18A5F6C5"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 xml:space="preserve">Multimodal MRI </w:t>
            </w:r>
          </w:p>
        </w:tc>
        <w:tc>
          <w:tcPr>
            <w:tcW w:w="0" w:type="auto"/>
          </w:tcPr>
          <w:p w14:paraId="31F898C4"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n=21</w:t>
            </w:r>
          </w:p>
        </w:tc>
      </w:tr>
      <w:tr w:rsidR="00F7659D" w:rsidRPr="00475FBD" w14:paraId="30DC5F69" w14:textId="77777777" w:rsidTr="00502795">
        <w:tc>
          <w:tcPr>
            <w:tcW w:w="0" w:type="auto"/>
          </w:tcPr>
          <w:p w14:paraId="6A0EC6FE"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Current study</w:t>
            </w:r>
          </w:p>
        </w:tc>
        <w:tc>
          <w:tcPr>
            <w:tcW w:w="0" w:type="auto"/>
          </w:tcPr>
          <w:p w14:paraId="53F4FB7A"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−6° HDT, 7</w:t>
            </w:r>
            <w:r w:rsidRPr="00475FBD">
              <w:rPr>
                <w:rFonts w:ascii="Times New Roman" w:eastAsia="宋体" w:hAnsi="Times New Roman" w:cs="Times New Roman"/>
                <w:sz w:val="24"/>
                <w:szCs w:val="24"/>
                <w:lang w:eastAsia="zh-CN"/>
              </w:rPr>
              <w:t>-</w:t>
            </w:r>
            <w:r w:rsidRPr="00475FBD">
              <w:rPr>
                <w:rFonts w:ascii="Times New Roman" w:hAnsi="Times New Roman" w:cs="Times New Roman"/>
                <w:sz w:val="24"/>
                <w:szCs w:val="24"/>
              </w:rPr>
              <w:t>days + 5‑day recovery; 8 MRI time points</w:t>
            </w:r>
          </w:p>
        </w:tc>
        <w:tc>
          <w:tcPr>
            <w:tcW w:w="0" w:type="auto"/>
          </w:tcPr>
          <w:p w14:paraId="78606529" w14:textId="77777777" w:rsidR="00F7659D" w:rsidRPr="00475FBD" w:rsidRDefault="00F7659D" w:rsidP="00502795">
            <w:pPr>
              <w:rPr>
                <w:rFonts w:ascii="Times New Roman" w:eastAsia="宋体" w:hAnsi="Times New Roman" w:cs="Times New Roman"/>
                <w:sz w:val="24"/>
                <w:szCs w:val="24"/>
                <w:lang w:eastAsia="zh-CN"/>
              </w:rPr>
            </w:pPr>
            <w:r w:rsidRPr="00475FBD">
              <w:rPr>
                <w:rFonts w:ascii="Times New Roman" w:hAnsi="Times New Roman" w:cs="Times New Roman"/>
                <w:sz w:val="24"/>
                <w:szCs w:val="24"/>
              </w:rPr>
              <w:t>Intracranial dural venous sinus</w:t>
            </w:r>
          </w:p>
        </w:tc>
        <w:tc>
          <w:tcPr>
            <w:tcW w:w="0" w:type="auto"/>
          </w:tcPr>
          <w:p w14:paraId="2515E10A" w14:textId="77777777" w:rsidR="00F7659D" w:rsidRPr="00475FBD" w:rsidRDefault="00F7659D" w:rsidP="00502795">
            <w:pPr>
              <w:rPr>
                <w:rFonts w:ascii="Times New Roman" w:hAnsi="Times New Roman" w:cs="Times New Roman"/>
                <w:sz w:val="24"/>
                <w:szCs w:val="24"/>
              </w:rPr>
            </w:pPr>
            <w:r w:rsidRPr="00475FBD">
              <w:rPr>
                <w:rFonts w:ascii="Times New Roman" w:hAnsi="Times New Roman" w:cs="Times New Roman"/>
                <w:sz w:val="24"/>
                <w:szCs w:val="24"/>
              </w:rPr>
              <w:t>4D flow MRI</w:t>
            </w:r>
          </w:p>
        </w:tc>
        <w:tc>
          <w:tcPr>
            <w:tcW w:w="0" w:type="auto"/>
          </w:tcPr>
          <w:p w14:paraId="5366FBF2" w14:textId="77777777" w:rsidR="00F7659D" w:rsidRPr="00475FBD" w:rsidRDefault="00F7659D" w:rsidP="008A791A">
            <w:pPr>
              <w:keepNext/>
              <w:rPr>
                <w:rFonts w:ascii="Times New Roman" w:hAnsi="Times New Roman" w:cs="Times New Roman"/>
                <w:sz w:val="24"/>
                <w:szCs w:val="24"/>
              </w:rPr>
            </w:pPr>
            <w:r w:rsidRPr="00475FBD">
              <w:rPr>
                <w:rFonts w:ascii="Times New Roman" w:hAnsi="Times New Roman" w:cs="Times New Roman"/>
                <w:sz w:val="24"/>
                <w:szCs w:val="24"/>
              </w:rPr>
              <w:t>n=38 (40 recruited)</w:t>
            </w:r>
          </w:p>
        </w:tc>
      </w:tr>
    </w:tbl>
    <w:p w14:paraId="494DB460" w14:textId="450DACED" w:rsidR="00BE7C45" w:rsidRDefault="00F7659D" w:rsidP="00BE7C45">
      <w:pPr>
        <w:spacing w:line="480" w:lineRule="auto"/>
        <w:rPr>
          <w:rFonts w:ascii="Times New Roman" w:hAnsi="Times New Roman" w:cs="Times New Roman"/>
          <w:iCs/>
          <w:sz w:val="24"/>
          <w:szCs w:val="24"/>
        </w:rPr>
      </w:pPr>
      <w:r w:rsidRPr="00BE7C45">
        <w:rPr>
          <w:rFonts w:ascii="Times New Roman" w:hAnsi="Times New Roman" w:cs="Times New Roman"/>
          <w:iCs/>
          <w:sz w:val="24"/>
          <w:szCs w:val="24"/>
        </w:rPr>
        <w:t>Note: HDT = head‑down tilt; HDTBR = head‑down tilt bed rest; IJV = internal jugular vein; CSA = cross‑sectional area; PC‑MRI = phase‑contrast MRI; LBNP = lower‑body negative pressure</w:t>
      </w:r>
      <w:r w:rsidRPr="00BE7C45">
        <w:rPr>
          <w:rFonts w:ascii="Times New Roman" w:eastAsia="宋体" w:hAnsi="Times New Roman" w:cs="Times New Roman"/>
          <w:iCs/>
          <w:sz w:val="24"/>
          <w:szCs w:val="24"/>
          <w:lang w:eastAsia="zh-CN"/>
        </w:rPr>
        <w:t>; CHI</w:t>
      </w:r>
      <w:r w:rsidRPr="00BE7C45">
        <w:rPr>
          <w:rFonts w:ascii="Times New Roman" w:hAnsi="Times New Roman" w:cs="Times New Roman"/>
          <w:iCs/>
          <w:sz w:val="24"/>
          <w:szCs w:val="24"/>
        </w:rPr>
        <w:t xml:space="preserve"> =</w:t>
      </w:r>
      <w:r w:rsidRPr="00BE7C45">
        <w:rPr>
          <w:rFonts w:ascii="Times New Roman" w:eastAsia="宋体" w:hAnsi="Times New Roman" w:cs="Times New Roman"/>
          <w:iCs/>
          <w:sz w:val="24"/>
          <w:szCs w:val="24"/>
          <w:lang w:eastAsia="zh-CN"/>
        </w:rPr>
        <w:t xml:space="preserve"> n</w:t>
      </w:r>
      <w:r w:rsidRPr="00BE7C45">
        <w:rPr>
          <w:rFonts w:ascii="Times New Roman" w:hAnsi="Times New Roman" w:cs="Times New Roman"/>
          <w:iCs/>
          <w:sz w:val="24"/>
          <w:szCs w:val="24"/>
        </w:rPr>
        <w:t>on-contact coded hemodynamic imaging.</w:t>
      </w:r>
    </w:p>
    <w:p w14:paraId="31B4C266" w14:textId="77777777" w:rsidR="00F51712" w:rsidRDefault="00F51712" w:rsidP="00BE7C45">
      <w:pPr>
        <w:spacing w:line="480" w:lineRule="auto"/>
        <w:rPr>
          <w:rFonts w:ascii="Times New Roman" w:hAnsi="Times New Roman" w:cs="Times New Roman"/>
          <w:iCs/>
          <w:sz w:val="24"/>
          <w:szCs w:val="24"/>
        </w:rPr>
      </w:pPr>
    </w:p>
    <w:p w14:paraId="33E5CF69" w14:textId="77777777" w:rsidR="00BE7C45" w:rsidRPr="00BE7C45" w:rsidRDefault="00BE7C45" w:rsidP="00BE7C45">
      <w:pPr>
        <w:spacing w:line="480" w:lineRule="auto"/>
        <w:rPr>
          <w:rFonts w:ascii="Times New Roman" w:hAnsi="Times New Roman" w:cs="Times New Roman"/>
          <w:b/>
          <w:bCs/>
          <w:iCs/>
          <w:sz w:val="24"/>
          <w:szCs w:val="24"/>
          <w:lang w:eastAsia="zh-CN"/>
        </w:rPr>
      </w:pPr>
      <w:r w:rsidRPr="00BE7C45">
        <w:rPr>
          <w:rFonts w:ascii="Times New Roman" w:hAnsi="Times New Roman" w:cs="Times New Roman" w:hint="eastAsia"/>
          <w:b/>
          <w:bCs/>
          <w:iCs/>
          <w:sz w:val="24"/>
          <w:szCs w:val="24"/>
          <w:lang w:eastAsia="zh-CN"/>
        </w:rPr>
        <w:t>Supplementary Analysis: Intraclass correlation coefficient (ICC)</w:t>
      </w:r>
    </w:p>
    <w:p w14:paraId="4C8C437A" w14:textId="0EE6722F" w:rsidR="00BE7C45" w:rsidRDefault="00BE7C45" w:rsidP="00BE7C45">
      <w:pPr>
        <w:spacing w:line="480" w:lineRule="auto"/>
        <w:ind w:firstLineChars="100" w:firstLine="240"/>
        <w:rPr>
          <w:rFonts w:ascii="Times New Roman" w:hAnsi="Times New Roman" w:cs="Times New Roman"/>
          <w:iCs/>
          <w:sz w:val="24"/>
          <w:szCs w:val="24"/>
          <w:lang w:eastAsia="zh-CN"/>
        </w:rPr>
      </w:pPr>
      <w:r w:rsidRPr="00BE7C45">
        <w:rPr>
          <w:rFonts w:ascii="Times New Roman" w:hAnsi="Times New Roman" w:cs="Times New Roman" w:hint="eastAsia"/>
          <w:iCs/>
          <w:sz w:val="24"/>
          <w:szCs w:val="24"/>
          <w:lang w:eastAsia="zh-CN"/>
        </w:rPr>
        <w:t>Inter-observer reliability was assessed using the intraclass correlation coefficient (ICC). Specifically, we applied</w:t>
      </w:r>
      <w:r>
        <w:rPr>
          <w:rFonts w:ascii="Times New Roman" w:hAnsi="Times New Roman" w:cs="Times New Roman" w:hint="eastAsia"/>
          <w:iCs/>
          <w:sz w:val="24"/>
          <w:szCs w:val="24"/>
          <w:lang w:eastAsia="zh-CN"/>
        </w:rPr>
        <w:t xml:space="preserve"> </w:t>
      </w:r>
      <w:r w:rsidRPr="00BE7C45">
        <w:rPr>
          <w:rFonts w:ascii="Times New Roman" w:hAnsi="Times New Roman" w:cs="Times New Roman" w:hint="eastAsia"/>
          <w:iCs/>
          <w:sz w:val="24"/>
          <w:szCs w:val="24"/>
          <w:lang w:eastAsia="zh-CN"/>
        </w:rPr>
        <w:t xml:space="preserve">a two-way random-effects model with absolute agreement to estimate single-measure reliability </w:t>
      </w:r>
      <w:r>
        <w:rPr>
          <w:rFonts w:ascii="Times New Roman" w:hAnsi="Times New Roman" w:cs="Times New Roman" w:hint="eastAsia"/>
          <w:iCs/>
          <w:sz w:val="24"/>
          <w:szCs w:val="24"/>
          <w:lang w:eastAsia="zh-CN"/>
        </w:rPr>
        <w:t>(</w:t>
      </w:r>
      <w:r w:rsidRPr="00BE7C45">
        <w:rPr>
          <w:rFonts w:ascii="Times New Roman" w:hAnsi="Times New Roman" w:cs="Times New Roman" w:hint="eastAsia"/>
          <w:iCs/>
          <w:sz w:val="24"/>
          <w:szCs w:val="24"/>
          <w:lang w:eastAsia="zh-CN"/>
        </w:rPr>
        <w:t>(ICC (2,1)</w:t>
      </w:r>
      <w:r>
        <w:rPr>
          <w:rFonts w:ascii="Times New Roman" w:hAnsi="Times New Roman" w:cs="Times New Roman" w:hint="eastAsia"/>
          <w:iCs/>
          <w:sz w:val="24"/>
          <w:szCs w:val="24"/>
          <w:lang w:eastAsia="zh-CN"/>
        </w:rPr>
        <w:t xml:space="preserve">), </w:t>
      </w:r>
      <w:r w:rsidRPr="00BE7C45">
        <w:rPr>
          <w:rFonts w:ascii="Times New Roman" w:hAnsi="Times New Roman" w:cs="Times New Roman" w:hint="eastAsia"/>
          <w:iCs/>
          <w:sz w:val="24"/>
          <w:szCs w:val="24"/>
          <w:lang w:eastAsia="zh-CN"/>
        </w:rPr>
        <w:t xml:space="preserve">reflecting the consistency between two independent observers when a single observer's measurement </w:t>
      </w:r>
      <w:r w:rsidRPr="00BE7C45">
        <w:rPr>
          <w:rFonts w:ascii="Times New Roman" w:hAnsi="Times New Roman" w:cs="Times New Roman" w:hint="eastAsia"/>
          <w:iCs/>
          <w:sz w:val="24"/>
          <w:szCs w:val="24"/>
          <w:lang w:eastAsia="zh-CN"/>
        </w:rPr>
        <w:lastRenderedPageBreak/>
        <w:t>(Observer1) was used for subsequent analyses. ICC</w:t>
      </w:r>
      <w:r>
        <w:rPr>
          <w:rFonts w:ascii="Times New Roman" w:hAnsi="Times New Roman" w:cs="Times New Roman" w:hint="eastAsia"/>
          <w:iCs/>
          <w:sz w:val="24"/>
          <w:szCs w:val="24"/>
          <w:lang w:eastAsia="zh-CN"/>
        </w:rPr>
        <w:t xml:space="preserve"> </w:t>
      </w:r>
      <w:r w:rsidRPr="00BE7C45">
        <w:rPr>
          <w:rFonts w:ascii="Times New Roman" w:hAnsi="Times New Roman" w:cs="Times New Roman" w:hint="eastAsia"/>
          <w:iCs/>
          <w:sz w:val="24"/>
          <w:szCs w:val="24"/>
          <w:lang w:eastAsia="zh-CN"/>
        </w:rPr>
        <w:t>values are reported with</w:t>
      </w:r>
      <w:r>
        <w:rPr>
          <w:rFonts w:ascii="Times New Roman" w:hAnsi="Times New Roman" w:cs="Times New Roman" w:hint="eastAsia"/>
          <w:iCs/>
          <w:sz w:val="24"/>
          <w:szCs w:val="24"/>
          <w:lang w:eastAsia="zh-CN"/>
        </w:rPr>
        <w:t xml:space="preserve"> </w:t>
      </w:r>
      <w:r w:rsidRPr="00BE7C45">
        <w:rPr>
          <w:rFonts w:ascii="Times New Roman" w:hAnsi="Times New Roman" w:cs="Times New Roman" w:hint="eastAsia"/>
          <w:iCs/>
          <w:sz w:val="24"/>
          <w:szCs w:val="24"/>
          <w:lang w:eastAsia="zh-CN"/>
        </w:rPr>
        <w:t>95% confidence intervals derived from an F-distribution approach</w:t>
      </w:r>
      <w:r w:rsidR="00005F6E">
        <w:rPr>
          <w:rFonts w:ascii="Times New Roman" w:hAnsi="Times New Roman" w:cs="Times New Roman" w:hint="eastAsia"/>
          <w:iCs/>
          <w:sz w:val="24"/>
          <w:szCs w:val="24"/>
          <w:lang w:eastAsia="zh-CN"/>
        </w:rPr>
        <w:t xml:space="preserve"> (</w:t>
      </w:r>
      <w:r w:rsidR="00005F6E">
        <w:rPr>
          <w:rFonts w:ascii="Times New Roman" w:hAnsi="Times New Roman" w:cs="Times New Roman"/>
          <w:iCs/>
          <w:sz w:val="24"/>
          <w:szCs w:val="24"/>
          <w:lang w:eastAsia="zh-CN"/>
        </w:rPr>
        <w:fldChar w:fldCharType="begin"/>
      </w:r>
      <w:r w:rsidR="00005F6E">
        <w:rPr>
          <w:rFonts w:ascii="Times New Roman" w:hAnsi="Times New Roman" w:cs="Times New Roman"/>
          <w:iCs/>
          <w:sz w:val="24"/>
          <w:szCs w:val="24"/>
          <w:lang w:eastAsia="zh-CN"/>
        </w:rPr>
        <w:instrText xml:space="preserve"> </w:instrText>
      </w:r>
      <w:r w:rsidR="00005F6E">
        <w:rPr>
          <w:rFonts w:ascii="Times New Roman" w:hAnsi="Times New Roman" w:cs="Times New Roman" w:hint="eastAsia"/>
          <w:iCs/>
          <w:sz w:val="24"/>
          <w:szCs w:val="24"/>
          <w:lang w:eastAsia="zh-CN"/>
        </w:rPr>
        <w:instrText>REF _Ref223084045 \h</w:instrText>
      </w:r>
      <w:r w:rsidR="00005F6E">
        <w:rPr>
          <w:rFonts w:ascii="Times New Roman" w:hAnsi="Times New Roman" w:cs="Times New Roman"/>
          <w:iCs/>
          <w:sz w:val="24"/>
          <w:szCs w:val="24"/>
          <w:lang w:eastAsia="zh-CN"/>
        </w:rPr>
        <w:instrText xml:space="preserve"> </w:instrText>
      </w:r>
      <w:r w:rsidR="00005F6E">
        <w:rPr>
          <w:rFonts w:ascii="Times New Roman" w:hAnsi="Times New Roman" w:cs="Times New Roman"/>
          <w:iCs/>
          <w:sz w:val="24"/>
          <w:szCs w:val="24"/>
          <w:lang w:eastAsia="zh-CN"/>
        </w:rPr>
      </w:r>
      <w:r w:rsidR="00005F6E">
        <w:rPr>
          <w:rFonts w:ascii="Times New Roman" w:hAnsi="Times New Roman" w:cs="Times New Roman"/>
          <w:iCs/>
          <w:sz w:val="24"/>
          <w:szCs w:val="24"/>
          <w:lang w:eastAsia="zh-CN"/>
        </w:rPr>
        <w:fldChar w:fldCharType="separate"/>
      </w:r>
      <w:r w:rsidR="00005F6E" w:rsidRPr="00F51712">
        <w:rPr>
          <w:rFonts w:ascii="Times New Roman" w:hAnsi="Times New Roman" w:hint="eastAsia"/>
          <w:sz w:val="24"/>
          <w:szCs w:val="24"/>
        </w:rPr>
        <w:t>Table S2</w:t>
      </w:r>
      <w:r w:rsidR="00005F6E">
        <w:rPr>
          <w:rFonts w:ascii="Times New Roman" w:hAnsi="Times New Roman" w:cs="Times New Roman"/>
          <w:iCs/>
          <w:sz w:val="24"/>
          <w:szCs w:val="24"/>
          <w:lang w:eastAsia="zh-CN"/>
        </w:rPr>
        <w:fldChar w:fldCharType="end"/>
      </w:r>
      <w:r w:rsidR="00005F6E">
        <w:rPr>
          <w:rFonts w:ascii="Times New Roman" w:hAnsi="Times New Roman" w:cs="Times New Roman" w:hint="eastAsia"/>
          <w:iCs/>
          <w:sz w:val="24"/>
          <w:szCs w:val="24"/>
          <w:lang w:eastAsia="zh-CN"/>
        </w:rPr>
        <w:t>)</w:t>
      </w:r>
      <w:r w:rsidRPr="00BE7C45">
        <w:rPr>
          <w:rFonts w:ascii="Times New Roman" w:hAnsi="Times New Roman" w:cs="Times New Roman" w:hint="eastAsia"/>
          <w:iCs/>
          <w:sz w:val="24"/>
          <w:szCs w:val="24"/>
          <w:lang w:eastAsia="zh-CN"/>
        </w:rPr>
        <w:t>.</w:t>
      </w:r>
    </w:p>
    <w:p w14:paraId="0D340A11" w14:textId="2985B5BE" w:rsidR="00BE7C45" w:rsidRDefault="00BE7C45" w:rsidP="00BE7C45">
      <w:pPr>
        <w:spacing w:line="480" w:lineRule="auto"/>
        <w:rPr>
          <w:rFonts w:ascii="Times New Roman" w:hAnsi="Times New Roman" w:cs="Times New Roman"/>
          <w:iCs/>
          <w:sz w:val="24"/>
          <w:szCs w:val="24"/>
          <w:lang w:eastAsia="zh-CN"/>
        </w:rPr>
      </w:pPr>
    </w:p>
    <w:p w14:paraId="439670A2" w14:textId="0E9262A2" w:rsidR="00F51712" w:rsidRPr="00F51712" w:rsidRDefault="00F51712" w:rsidP="00005F6E">
      <w:pPr>
        <w:pStyle w:val="af2"/>
        <w:keepNext/>
        <w:rPr>
          <w:rFonts w:ascii="Times New Roman" w:hAnsi="Times New Roman"/>
          <w:color w:val="auto"/>
          <w:sz w:val="24"/>
          <w:szCs w:val="24"/>
        </w:rPr>
      </w:pPr>
      <w:bookmarkStart w:id="1" w:name="_Ref223084045"/>
      <w:r w:rsidRPr="00F51712">
        <w:rPr>
          <w:rFonts w:ascii="Times New Roman" w:hAnsi="Times New Roman" w:hint="eastAsia"/>
          <w:color w:val="auto"/>
          <w:sz w:val="24"/>
          <w:szCs w:val="24"/>
        </w:rPr>
        <w:t>Table S</w:t>
      </w:r>
      <w:r w:rsidRPr="00F51712">
        <w:rPr>
          <w:rFonts w:ascii="Times New Roman" w:hAnsi="Times New Roman" w:hint="eastAsia"/>
          <w:color w:val="auto"/>
          <w:sz w:val="24"/>
          <w:szCs w:val="24"/>
        </w:rPr>
        <w:fldChar w:fldCharType="begin"/>
      </w:r>
      <w:r w:rsidRPr="00F51712">
        <w:rPr>
          <w:rFonts w:ascii="Times New Roman" w:hAnsi="Times New Roman" w:hint="eastAsia"/>
          <w:color w:val="auto"/>
          <w:sz w:val="24"/>
          <w:szCs w:val="24"/>
        </w:rPr>
        <w:instrText xml:space="preserve"> SEQ Table_S \* ARABIC </w:instrText>
      </w:r>
      <w:r w:rsidRPr="00F51712">
        <w:rPr>
          <w:rFonts w:ascii="Times New Roman" w:hAnsi="Times New Roman" w:hint="eastAsia"/>
          <w:color w:val="auto"/>
          <w:sz w:val="24"/>
          <w:szCs w:val="24"/>
        </w:rPr>
        <w:fldChar w:fldCharType="separate"/>
      </w:r>
      <w:r w:rsidRPr="00F51712">
        <w:rPr>
          <w:rFonts w:ascii="Times New Roman" w:hAnsi="Times New Roman" w:hint="eastAsia"/>
          <w:color w:val="auto"/>
          <w:sz w:val="24"/>
          <w:szCs w:val="24"/>
        </w:rPr>
        <w:t>2</w:t>
      </w:r>
      <w:r w:rsidRPr="00F51712">
        <w:rPr>
          <w:rFonts w:ascii="Times New Roman" w:hAnsi="Times New Roman" w:hint="eastAsia"/>
          <w:color w:val="auto"/>
          <w:sz w:val="24"/>
          <w:szCs w:val="24"/>
        </w:rPr>
        <w:fldChar w:fldCharType="end"/>
      </w:r>
      <w:bookmarkEnd w:id="1"/>
      <w:r w:rsidRPr="00F51712">
        <w:rPr>
          <w:rFonts w:ascii="Times New Roman" w:hAnsi="Times New Roman" w:hint="eastAsia"/>
          <w:color w:val="auto"/>
          <w:sz w:val="24"/>
          <w:szCs w:val="24"/>
        </w:rPr>
        <w:t>. Inter-observer reliability for superior sagittal sinus (SSS) measurements (n</w:t>
      </w:r>
      <w:r w:rsidR="00005F6E">
        <w:rPr>
          <w:rFonts w:ascii="Times New Roman" w:hAnsi="Times New Roman" w:hint="eastAsia"/>
          <w:color w:val="auto"/>
          <w:sz w:val="24"/>
          <w:szCs w:val="24"/>
          <w:lang w:eastAsia="zh-CN"/>
        </w:rPr>
        <w:t>=</w:t>
      </w:r>
      <w:r w:rsidRPr="00F51712">
        <w:rPr>
          <w:rFonts w:ascii="Times New Roman" w:hAnsi="Times New Roman" w:hint="eastAsia"/>
          <w:color w:val="auto"/>
          <w:sz w:val="24"/>
          <w:szCs w:val="24"/>
        </w:rPr>
        <w:t>30)</w:t>
      </w:r>
    </w:p>
    <w:tbl>
      <w:tblPr>
        <w:tblStyle w:val="af3"/>
        <w:tblW w:w="5000" w:type="pct"/>
        <w:tblLook w:val="04A0" w:firstRow="1" w:lastRow="0" w:firstColumn="1" w:lastColumn="0" w:noHBand="0" w:noVBand="1"/>
      </w:tblPr>
      <w:tblGrid>
        <w:gridCol w:w="2892"/>
        <w:gridCol w:w="2089"/>
        <w:gridCol w:w="2799"/>
        <w:gridCol w:w="3010"/>
      </w:tblGrid>
      <w:tr w:rsidR="00F51712" w:rsidRPr="00475FBD" w14:paraId="4A9C0AD8" w14:textId="77777777" w:rsidTr="00F51712">
        <w:tc>
          <w:tcPr>
            <w:tcW w:w="1340" w:type="pct"/>
          </w:tcPr>
          <w:p w14:paraId="687D3D39" w14:textId="67661805" w:rsidR="00F51712" w:rsidRPr="00475FBD" w:rsidRDefault="00F51712" w:rsidP="00CC327B">
            <w:pPr>
              <w:rPr>
                <w:rFonts w:ascii="Times New Roman" w:hAnsi="Times New Roman" w:cs="Times New Roman"/>
                <w:sz w:val="24"/>
                <w:szCs w:val="24"/>
              </w:rPr>
            </w:pPr>
            <w:r w:rsidRPr="00F51712">
              <w:rPr>
                <w:rFonts w:ascii="Times New Roman" w:hAnsi="Times New Roman" w:cs="Times New Roman" w:hint="eastAsia"/>
                <w:b/>
                <w:sz w:val="24"/>
                <w:szCs w:val="24"/>
              </w:rPr>
              <w:t>Measurement</w:t>
            </w:r>
          </w:p>
        </w:tc>
        <w:tc>
          <w:tcPr>
            <w:tcW w:w="968" w:type="pct"/>
          </w:tcPr>
          <w:p w14:paraId="27A2A9F2" w14:textId="05F67176" w:rsidR="00F51712" w:rsidRPr="00475FBD" w:rsidRDefault="00F51712" w:rsidP="00CC327B">
            <w:pPr>
              <w:rPr>
                <w:rFonts w:ascii="Times New Roman" w:hAnsi="Times New Roman" w:cs="Times New Roman"/>
                <w:sz w:val="24"/>
                <w:szCs w:val="24"/>
              </w:rPr>
            </w:pPr>
            <w:r w:rsidRPr="00F51712">
              <w:rPr>
                <w:rFonts w:ascii="Times New Roman" w:hAnsi="Times New Roman" w:cs="Times New Roman" w:hint="eastAsia"/>
                <w:b/>
                <w:sz w:val="24"/>
                <w:szCs w:val="24"/>
              </w:rPr>
              <w:t>ICC</w:t>
            </w:r>
            <w:r>
              <w:rPr>
                <w:rFonts w:ascii="Times New Roman" w:hAnsi="Times New Roman" w:cs="Times New Roman" w:hint="eastAsia"/>
                <w:b/>
                <w:sz w:val="24"/>
                <w:szCs w:val="24"/>
                <w:lang w:eastAsia="zh-CN"/>
              </w:rPr>
              <w:t xml:space="preserve"> </w:t>
            </w:r>
            <w:r w:rsidRPr="00F51712">
              <w:rPr>
                <w:rFonts w:ascii="Times New Roman" w:hAnsi="Times New Roman" w:cs="Times New Roman" w:hint="eastAsia"/>
                <w:b/>
                <w:sz w:val="24"/>
                <w:szCs w:val="24"/>
              </w:rPr>
              <w:t>(2,1)</w:t>
            </w:r>
          </w:p>
        </w:tc>
        <w:tc>
          <w:tcPr>
            <w:tcW w:w="1297" w:type="pct"/>
          </w:tcPr>
          <w:p w14:paraId="265E7485" w14:textId="1A8A3C13" w:rsidR="00F51712" w:rsidRPr="00475FBD" w:rsidRDefault="00F51712" w:rsidP="00CC327B">
            <w:pPr>
              <w:rPr>
                <w:rFonts w:ascii="Times New Roman" w:hAnsi="Times New Roman" w:cs="Times New Roman"/>
                <w:sz w:val="24"/>
                <w:szCs w:val="24"/>
              </w:rPr>
            </w:pPr>
            <w:r w:rsidRPr="00F51712">
              <w:rPr>
                <w:rFonts w:ascii="Times New Roman" w:hAnsi="Times New Roman" w:cs="Times New Roman" w:hint="eastAsia"/>
                <w:b/>
                <w:sz w:val="24"/>
                <w:szCs w:val="24"/>
              </w:rPr>
              <w:t>95%</w:t>
            </w:r>
            <w:r>
              <w:rPr>
                <w:rFonts w:ascii="Times New Roman" w:hAnsi="Times New Roman" w:cs="Times New Roman" w:hint="eastAsia"/>
                <w:b/>
                <w:sz w:val="24"/>
                <w:szCs w:val="24"/>
                <w:lang w:eastAsia="zh-CN"/>
              </w:rPr>
              <w:t xml:space="preserve"> </w:t>
            </w:r>
            <w:r w:rsidRPr="00F51712">
              <w:rPr>
                <w:rFonts w:ascii="Times New Roman" w:hAnsi="Times New Roman" w:cs="Times New Roman" w:hint="eastAsia"/>
                <w:b/>
                <w:sz w:val="24"/>
                <w:szCs w:val="24"/>
              </w:rPr>
              <w:t>CI</w:t>
            </w:r>
          </w:p>
        </w:tc>
        <w:tc>
          <w:tcPr>
            <w:tcW w:w="1395" w:type="pct"/>
          </w:tcPr>
          <w:p w14:paraId="10A8D05C" w14:textId="67350745" w:rsidR="00F51712" w:rsidRPr="00475FBD" w:rsidRDefault="00F51712" w:rsidP="00CC327B">
            <w:pPr>
              <w:rPr>
                <w:rFonts w:ascii="Times New Roman" w:hAnsi="Times New Roman" w:cs="Times New Roman"/>
                <w:sz w:val="24"/>
                <w:szCs w:val="24"/>
              </w:rPr>
            </w:pPr>
            <w:r w:rsidRPr="00F51712">
              <w:rPr>
                <w:rFonts w:ascii="Times New Roman" w:hAnsi="Times New Roman" w:cs="Times New Roman" w:hint="eastAsia"/>
                <w:b/>
                <w:sz w:val="24"/>
                <w:szCs w:val="24"/>
              </w:rPr>
              <w:t>F</w:t>
            </w:r>
            <w:r>
              <w:rPr>
                <w:rFonts w:ascii="Times New Roman" w:hAnsi="Times New Roman" w:cs="Times New Roman" w:hint="eastAsia"/>
                <w:b/>
                <w:sz w:val="24"/>
                <w:szCs w:val="24"/>
                <w:lang w:eastAsia="zh-CN"/>
              </w:rPr>
              <w:t xml:space="preserve"> </w:t>
            </w:r>
            <w:r w:rsidRPr="00F51712">
              <w:rPr>
                <w:rFonts w:ascii="Times New Roman" w:hAnsi="Times New Roman" w:cs="Times New Roman" w:hint="eastAsia"/>
                <w:b/>
                <w:sz w:val="24"/>
                <w:szCs w:val="24"/>
              </w:rPr>
              <w:t>(dfl,</w:t>
            </w:r>
            <w:r>
              <w:rPr>
                <w:rFonts w:ascii="Times New Roman" w:hAnsi="Times New Roman" w:cs="Times New Roman" w:hint="eastAsia"/>
                <w:b/>
                <w:sz w:val="24"/>
                <w:szCs w:val="24"/>
                <w:lang w:eastAsia="zh-CN"/>
              </w:rPr>
              <w:t xml:space="preserve"> </w:t>
            </w:r>
            <w:r w:rsidRPr="00F51712">
              <w:rPr>
                <w:rFonts w:ascii="Times New Roman" w:hAnsi="Times New Roman" w:cs="Times New Roman" w:hint="eastAsia"/>
                <w:b/>
                <w:sz w:val="24"/>
                <w:szCs w:val="24"/>
              </w:rPr>
              <w:t>df2)</w:t>
            </w:r>
          </w:p>
        </w:tc>
      </w:tr>
      <w:tr w:rsidR="00F51712" w:rsidRPr="00475FBD" w14:paraId="01166C7B" w14:textId="77777777" w:rsidTr="00F51712">
        <w:tc>
          <w:tcPr>
            <w:tcW w:w="1340" w:type="pct"/>
          </w:tcPr>
          <w:p w14:paraId="5F58DD27" w14:textId="1092624E" w:rsidR="00F51712" w:rsidRPr="00475FBD" w:rsidRDefault="00F51712" w:rsidP="00CC327B">
            <w:pPr>
              <w:rPr>
                <w:rFonts w:ascii="Times New Roman" w:hAnsi="Times New Roman" w:cs="Times New Roman"/>
                <w:sz w:val="24"/>
                <w:szCs w:val="24"/>
              </w:rPr>
            </w:pPr>
            <w:r w:rsidRPr="00F51712">
              <w:rPr>
                <w:rFonts w:ascii="Times New Roman" w:hAnsi="Times New Roman" w:cs="Times New Roman" w:hint="eastAsia"/>
                <w:sz w:val="24"/>
                <w:szCs w:val="24"/>
              </w:rPr>
              <w:t>SSS</w:t>
            </w:r>
            <w:r>
              <w:rPr>
                <w:rFonts w:ascii="Times New Roman" w:hAnsi="Times New Roman" w:cs="Times New Roman" w:hint="eastAsia"/>
                <w:sz w:val="24"/>
                <w:szCs w:val="24"/>
                <w:lang w:eastAsia="zh-CN"/>
              </w:rPr>
              <w:t xml:space="preserve"> </w:t>
            </w:r>
            <w:r w:rsidRPr="00F51712">
              <w:rPr>
                <w:rFonts w:ascii="Times New Roman" w:hAnsi="Times New Roman" w:cs="Times New Roman" w:hint="eastAsia"/>
                <w:sz w:val="24"/>
                <w:szCs w:val="24"/>
              </w:rPr>
              <w:t>CSA</w:t>
            </w:r>
            <w:r w:rsidRPr="00F51712">
              <w:rPr>
                <w:rFonts w:ascii="Times New Roman" w:hAnsi="Times New Roman" w:cs="Times New Roman" w:hint="eastAsia"/>
                <w:sz w:val="24"/>
                <w:szCs w:val="24"/>
                <w:vertAlign w:val="subscript"/>
              </w:rPr>
              <w:t>mean</w:t>
            </w:r>
          </w:p>
        </w:tc>
        <w:tc>
          <w:tcPr>
            <w:tcW w:w="968" w:type="pct"/>
          </w:tcPr>
          <w:p w14:paraId="6F291574" w14:textId="40054BA4" w:rsidR="00F51712" w:rsidRPr="00475FBD" w:rsidRDefault="00F51712" w:rsidP="00CC327B">
            <w:pPr>
              <w:rPr>
                <w:rFonts w:ascii="Times New Roman" w:hAnsi="Times New Roman" w:cs="Times New Roman"/>
                <w:sz w:val="24"/>
                <w:szCs w:val="24"/>
                <w:lang w:eastAsia="zh-CN"/>
              </w:rPr>
            </w:pPr>
            <w:r>
              <w:rPr>
                <w:rFonts w:ascii="Times New Roman" w:hAnsi="Times New Roman" w:cs="Times New Roman" w:hint="eastAsia"/>
                <w:sz w:val="24"/>
                <w:szCs w:val="24"/>
                <w:lang w:eastAsia="zh-CN"/>
              </w:rPr>
              <w:t>0.90</w:t>
            </w:r>
            <w:r w:rsidR="008E65B2">
              <w:rPr>
                <w:rFonts w:ascii="Times New Roman" w:hAnsi="Times New Roman" w:cs="Times New Roman" w:hint="eastAsia"/>
                <w:sz w:val="24"/>
                <w:szCs w:val="24"/>
                <w:lang w:eastAsia="zh-CN"/>
              </w:rPr>
              <w:t>8</w:t>
            </w:r>
          </w:p>
        </w:tc>
        <w:tc>
          <w:tcPr>
            <w:tcW w:w="1297" w:type="pct"/>
          </w:tcPr>
          <w:p w14:paraId="1628FFC0" w14:textId="4569BC1A" w:rsidR="00F51712" w:rsidRPr="00475FBD" w:rsidRDefault="00F51712" w:rsidP="00CC327B">
            <w:pPr>
              <w:rPr>
                <w:rFonts w:ascii="Times New Roman" w:hAnsi="Times New Roman" w:cs="Times New Roman"/>
                <w:sz w:val="24"/>
                <w:szCs w:val="24"/>
              </w:rPr>
            </w:pPr>
            <w:r w:rsidRPr="00F51712">
              <w:rPr>
                <w:rFonts w:ascii="Times New Roman" w:hAnsi="Times New Roman" w:cs="Times New Roman"/>
                <w:sz w:val="24"/>
                <w:szCs w:val="24"/>
              </w:rPr>
              <w:t>(0.</w:t>
            </w:r>
            <w:r w:rsidR="008E65B2">
              <w:rPr>
                <w:rFonts w:ascii="Times New Roman" w:hAnsi="Times New Roman" w:cs="Times New Roman" w:hint="eastAsia"/>
                <w:sz w:val="24"/>
                <w:szCs w:val="24"/>
                <w:lang w:eastAsia="zh-CN"/>
              </w:rPr>
              <w:t>819</w:t>
            </w:r>
            <w:r w:rsidRPr="00F51712">
              <w:rPr>
                <w:rFonts w:ascii="Times New Roman" w:hAnsi="Times New Roman" w:cs="Times New Roman"/>
                <w:sz w:val="24"/>
                <w:szCs w:val="24"/>
              </w:rPr>
              <w:t>, 0.9</w:t>
            </w:r>
            <w:r w:rsidR="008E65B2">
              <w:rPr>
                <w:rFonts w:ascii="Times New Roman" w:hAnsi="Times New Roman" w:cs="Times New Roman" w:hint="eastAsia"/>
                <w:sz w:val="24"/>
                <w:szCs w:val="24"/>
                <w:lang w:eastAsia="zh-CN"/>
              </w:rPr>
              <w:t>55</w:t>
            </w:r>
            <w:r w:rsidRPr="00F51712">
              <w:rPr>
                <w:rFonts w:ascii="Times New Roman" w:hAnsi="Times New Roman" w:cs="Times New Roman"/>
                <w:sz w:val="24"/>
                <w:szCs w:val="24"/>
              </w:rPr>
              <w:t>)</w:t>
            </w:r>
          </w:p>
        </w:tc>
        <w:tc>
          <w:tcPr>
            <w:tcW w:w="1395" w:type="pct"/>
          </w:tcPr>
          <w:p w14:paraId="3DE81EEC" w14:textId="67E6A8C6" w:rsidR="00F51712" w:rsidRPr="00475FBD" w:rsidRDefault="00F51712" w:rsidP="00CC327B">
            <w:pPr>
              <w:rPr>
                <w:rFonts w:ascii="Times New Roman" w:hAnsi="Times New Roman" w:cs="Times New Roman"/>
                <w:sz w:val="24"/>
                <w:szCs w:val="24"/>
              </w:rPr>
            </w:pPr>
            <w:r w:rsidRPr="00F51712">
              <w:rPr>
                <w:rFonts w:ascii="Times New Roman" w:hAnsi="Times New Roman" w:cs="Times New Roman"/>
                <w:sz w:val="24"/>
                <w:szCs w:val="24"/>
              </w:rPr>
              <w:t>2</w:t>
            </w:r>
            <w:r w:rsidR="008E65B2">
              <w:rPr>
                <w:rFonts w:ascii="Times New Roman" w:hAnsi="Times New Roman" w:cs="Times New Roman" w:hint="eastAsia"/>
                <w:sz w:val="24"/>
                <w:szCs w:val="24"/>
                <w:lang w:eastAsia="zh-CN"/>
              </w:rPr>
              <w:t>9</w:t>
            </w:r>
            <w:r w:rsidRPr="00F51712">
              <w:rPr>
                <w:rFonts w:ascii="Times New Roman" w:hAnsi="Times New Roman" w:cs="Times New Roman"/>
                <w:sz w:val="24"/>
                <w:szCs w:val="24"/>
              </w:rPr>
              <w:t>.</w:t>
            </w:r>
            <w:r w:rsidR="008E65B2">
              <w:rPr>
                <w:rFonts w:ascii="Times New Roman" w:hAnsi="Times New Roman" w:cs="Times New Roman" w:hint="eastAsia"/>
                <w:sz w:val="24"/>
                <w:szCs w:val="24"/>
                <w:lang w:eastAsia="zh-CN"/>
              </w:rPr>
              <w:t>488</w:t>
            </w:r>
            <w:r>
              <w:rPr>
                <w:rFonts w:ascii="Times New Roman" w:hAnsi="Times New Roman" w:cs="Times New Roman" w:hint="eastAsia"/>
                <w:sz w:val="24"/>
                <w:szCs w:val="24"/>
                <w:lang w:eastAsia="zh-CN"/>
              </w:rPr>
              <w:t xml:space="preserve"> </w:t>
            </w:r>
            <w:r w:rsidRPr="00F51712">
              <w:rPr>
                <w:rFonts w:ascii="Times New Roman" w:hAnsi="Times New Roman" w:cs="Times New Roman"/>
                <w:sz w:val="24"/>
                <w:szCs w:val="24"/>
              </w:rPr>
              <w:t>(29,</w:t>
            </w:r>
            <w:r>
              <w:rPr>
                <w:rFonts w:ascii="Times New Roman" w:hAnsi="Times New Roman" w:cs="Times New Roman" w:hint="eastAsia"/>
                <w:sz w:val="24"/>
                <w:szCs w:val="24"/>
                <w:lang w:eastAsia="zh-CN"/>
              </w:rPr>
              <w:t xml:space="preserve"> </w:t>
            </w:r>
            <w:r w:rsidRPr="00F51712">
              <w:rPr>
                <w:rFonts w:ascii="Times New Roman" w:hAnsi="Times New Roman" w:cs="Times New Roman"/>
                <w:sz w:val="24"/>
                <w:szCs w:val="24"/>
              </w:rPr>
              <w:t>29)</w:t>
            </w:r>
          </w:p>
        </w:tc>
      </w:tr>
      <w:tr w:rsidR="00F51712" w:rsidRPr="00475FBD" w14:paraId="70ABB4A5" w14:textId="77777777" w:rsidTr="00F51712">
        <w:tc>
          <w:tcPr>
            <w:tcW w:w="1340" w:type="pct"/>
          </w:tcPr>
          <w:p w14:paraId="544C6008" w14:textId="15519FD6" w:rsidR="00F51712" w:rsidRPr="00475FBD" w:rsidRDefault="00F51712" w:rsidP="00CC327B">
            <w:pPr>
              <w:rPr>
                <w:rFonts w:ascii="Times New Roman" w:hAnsi="Times New Roman" w:cs="Times New Roman"/>
                <w:sz w:val="24"/>
                <w:szCs w:val="24"/>
              </w:rPr>
            </w:pPr>
            <w:r w:rsidRPr="00F51712">
              <w:rPr>
                <w:rFonts w:ascii="Times New Roman" w:hAnsi="Times New Roman" w:cs="Times New Roman" w:hint="eastAsia"/>
                <w:sz w:val="24"/>
                <w:szCs w:val="24"/>
              </w:rPr>
              <w:t>SSS</w:t>
            </w:r>
            <w:r>
              <w:rPr>
                <w:rFonts w:ascii="Times New Roman" w:hAnsi="Times New Roman" w:cs="Times New Roman" w:hint="eastAsia"/>
                <w:sz w:val="24"/>
                <w:szCs w:val="24"/>
                <w:lang w:eastAsia="zh-CN"/>
              </w:rPr>
              <w:t xml:space="preserve"> </w:t>
            </w:r>
            <w:r w:rsidRPr="00F51712">
              <w:rPr>
                <w:rFonts w:ascii="Times New Roman" w:hAnsi="Times New Roman" w:cs="Times New Roman" w:hint="eastAsia"/>
                <w:sz w:val="24"/>
                <w:szCs w:val="24"/>
              </w:rPr>
              <w:t>Q</w:t>
            </w:r>
            <w:r w:rsidRPr="00F51712">
              <w:rPr>
                <w:rFonts w:ascii="Times New Roman" w:hAnsi="Times New Roman" w:cs="Times New Roman" w:hint="eastAsia"/>
                <w:sz w:val="24"/>
                <w:szCs w:val="24"/>
                <w:vertAlign w:val="subscript"/>
              </w:rPr>
              <w:t>mean</w:t>
            </w:r>
          </w:p>
        </w:tc>
        <w:tc>
          <w:tcPr>
            <w:tcW w:w="968" w:type="pct"/>
          </w:tcPr>
          <w:p w14:paraId="110CF956" w14:textId="23CF3587" w:rsidR="00F51712" w:rsidRPr="00475FBD" w:rsidRDefault="00F51712" w:rsidP="00CC327B">
            <w:pPr>
              <w:rPr>
                <w:rFonts w:ascii="Times New Roman" w:hAnsi="Times New Roman" w:cs="Times New Roman"/>
                <w:sz w:val="24"/>
                <w:szCs w:val="24"/>
              </w:rPr>
            </w:pPr>
            <w:r w:rsidRPr="00F51712">
              <w:rPr>
                <w:rFonts w:ascii="Times New Roman" w:hAnsi="Times New Roman" w:cs="Times New Roman" w:hint="eastAsia"/>
                <w:sz w:val="24"/>
                <w:szCs w:val="24"/>
              </w:rPr>
              <w:t>0.929</w:t>
            </w:r>
          </w:p>
        </w:tc>
        <w:tc>
          <w:tcPr>
            <w:tcW w:w="1297" w:type="pct"/>
          </w:tcPr>
          <w:p w14:paraId="39C622CC" w14:textId="5A5C44F0" w:rsidR="00F51712" w:rsidRPr="00475FBD" w:rsidRDefault="00F51712" w:rsidP="00CC327B">
            <w:pPr>
              <w:rPr>
                <w:rFonts w:ascii="Times New Roman" w:hAnsi="Times New Roman" w:cs="Times New Roman"/>
                <w:sz w:val="24"/>
                <w:szCs w:val="24"/>
              </w:rPr>
            </w:pPr>
            <w:r w:rsidRPr="00F51712">
              <w:rPr>
                <w:rFonts w:ascii="Times New Roman" w:hAnsi="Times New Roman" w:cs="Times New Roman" w:hint="eastAsia"/>
                <w:sz w:val="24"/>
                <w:szCs w:val="24"/>
              </w:rPr>
              <w:t>(0.856,</w:t>
            </w:r>
            <w:r>
              <w:rPr>
                <w:rFonts w:ascii="Times New Roman" w:hAnsi="Times New Roman" w:cs="Times New Roman" w:hint="eastAsia"/>
                <w:sz w:val="24"/>
                <w:szCs w:val="24"/>
                <w:lang w:eastAsia="zh-CN"/>
              </w:rPr>
              <w:t xml:space="preserve"> </w:t>
            </w:r>
            <w:r w:rsidRPr="00F51712">
              <w:rPr>
                <w:rFonts w:ascii="Times New Roman" w:hAnsi="Times New Roman" w:cs="Times New Roman" w:hint="eastAsia"/>
                <w:sz w:val="24"/>
                <w:szCs w:val="24"/>
              </w:rPr>
              <w:t>0.965)</w:t>
            </w:r>
          </w:p>
        </w:tc>
        <w:tc>
          <w:tcPr>
            <w:tcW w:w="1395" w:type="pct"/>
          </w:tcPr>
          <w:p w14:paraId="0131BBB0" w14:textId="4B102DD1" w:rsidR="00F51712" w:rsidRPr="00475FBD" w:rsidRDefault="00F51712" w:rsidP="00CC327B">
            <w:pPr>
              <w:rPr>
                <w:rFonts w:ascii="Times New Roman" w:hAnsi="Times New Roman" w:cs="Times New Roman"/>
                <w:sz w:val="24"/>
                <w:szCs w:val="24"/>
              </w:rPr>
            </w:pPr>
            <w:r w:rsidRPr="00F51712">
              <w:rPr>
                <w:rFonts w:ascii="Times New Roman" w:hAnsi="Times New Roman" w:cs="Times New Roman" w:hint="eastAsia"/>
                <w:sz w:val="24"/>
                <w:szCs w:val="24"/>
              </w:rPr>
              <w:t>30.327</w:t>
            </w:r>
            <w:r>
              <w:rPr>
                <w:rFonts w:ascii="Times New Roman" w:hAnsi="Times New Roman" w:cs="Times New Roman" w:hint="eastAsia"/>
                <w:sz w:val="24"/>
                <w:szCs w:val="24"/>
                <w:lang w:eastAsia="zh-CN"/>
              </w:rPr>
              <w:t xml:space="preserve"> </w:t>
            </w:r>
            <w:r w:rsidRPr="00F51712">
              <w:rPr>
                <w:rFonts w:ascii="Times New Roman" w:hAnsi="Times New Roman" w:cs="Times New Roman" w:hint="eastAsia"/>
                <w:sz w:val="24"/>
                <w:szCs w:val="24"/>
              </w:rPr>
              <w:t>(29,</w:t>
            </w:r>
            <w:r>
              <w:rPr>
                <w:rFonts w:ascii="Times New Roman" w:hAnsi="Times New Roman" w:cs="Times New Roman" w:hint="eastAsia"/>
                <w:sz w:val="24"/>
                <w:szCs w:val="24"/>
                <w:lang w:eastAsia="zh-CN"/>
              </w:rPr>
              <w:t xml:space="preserve"> </w:t>
            </w:r>
            <w:r w:rsidRPr="00F51712">
              <w:rPr>
                <w:rFonts w:ascii="Times New Roman" w:hAnsi="Times New Roman" w:cs="Times New Roman" w:hint="eastAsia"/>
                <w:sz w:val="24"/>
                <w:szCs w:val="24"/>
              </w:rPr>
              <w:t>29)</w:t>
            </w:r>
          </w:p>
        </w:tc>
      </w:tr>
    </w:tbl>
    <w:p w14:paraId="28349173" w14:textId="01B4A926" w:rsidR="00BE7C45" w:rsidRPr="00BE7C45" w:rsidRDefault="00BE7C45" w:rsidP="00F51712">
      <w:pPr>
        <w:spacing w:line="480" w:lineRule="auto"/>
        <w:rPr>
          <w:rFonts w:ascii="Times New Roman" w:hAnsi="Times New Roman" w:cs="Times New Roman"/>
          <w:iCs/>
          <w:sz w:val="24"/>
          <w:szCs w:val="24"/>
          <w:lang w:eastAsia="zh-CN"/>
        </w:rPr>
      </w:pPr>
      <w:r w:rsidRPr="00BE7C45">
        <w:rPr>
          <w:rFonts w:ascii="Times New Roman" w:hAnsi="Times New Roman" w:cs="Times New Roman" w:hint="eastAsia"/>
          <w:iCs/>
          <w:sz w:val="24"/>
          <w:szCs w:val="24"/>
          <w:lang w:eastAsia="zh-CN"/>
        </w:rPr>
        <w:t>Note: SSS = superior sagittal sinus; ICC = intraclass correlation coefficient; CSA</w:t>
      </w:r>
      <w:r w:rsidRPr="00005F6E">
        <w:rPr>
          <w:rFonts w:ascii="Times New Roman" w:hAnsi="Times New Roman" w:cs="Times New Roman" w:hint="eastAsia"/>
          <w:iCs/>
          <w:sz w:val="24"/>
          <w:szCs w:val="24"/>
          <w:vertAlign w:val="subscript"/>
          <w:lang w:eastAsia="zh-CN"/>
        </w:rPr>
        <w:t>mean</w:t>
      </w:r>
      <w:r w:rsidRPr="00BE7C45">
        <w:rPr>
          <w:rFonts w:ascii="Times New Roman" w:hAnsi="Times New Roman" w:cs="Times New Roman"/>
          <w:iCs/>
          <w:sz w:val="24"/>
          <w:szCs w:val="24"/>
          <w:lang w:eastAsia="zh-CN"/>
        </w:rPr>
        <w:t xml:space="preserve"> =</w:t>
      </w:r>
      <w:r w:rsidRPr="00BE7C45">
        <w:rPr>
          <w:rFonts w:ascii="Times New Roman" w:hAnsi="Times New Roman" w:cs="Times New Roman" w:hint="eastAsia"/>
          <w:iCs/>
          <w:sz w:val="24"/>
          <w:szCs w:val="24"/>
          <w:lang w:eastAsia="zh-CN"/>
        </w:rPr>
        <w:t xml:space="preserve"> mean cross-sectional area;</w:t>
      </w:r>
      <w:r w:rsidR="00005F6E">
        <w:rPr>
          <w:rFonts w:ascii="Times New Roman" w:hAnsi="Times New Roman" w:cs="Times New Roman" w:hint="eastAsia"/>
          <w:iCs/>
          <w:sz w:val="24"/>
          <w:szCs w:val="24"/>
          <w:lang w:eastAsia="zh-CN"/>
        </w:rPr>
        <w:t xml:space="preserve"> </w:t>
      </w:r>
      <w:r w:rsidRPr="00BE7C45">
        <w:rPr>
          <w:rFonts w:ascii="Times New Roman" w:hAnsi="Times New Roman" w:cs="Times New Roman" w:hint="eastAsia"/>
          <w:iCs/>
          <w:sz w:val="24"/>
          <w:szCs w:val="24"/>
          <w:lang w:eastAsia="zh-CN"/>
        </w:rPr>
        <w:t>Q</w:t>
      </w:r>
      <w:r w:rsidRPr="00005F6E">
        <w:rPr>
          <w:rFonts w:ascii="Times New Roman" w:hAnsi="Times New Roman" w:cs="Times New Roman" w:hint="eastAsia"/>
          <w:iCs/>
          <w:sz w:val="24"/>
          <w:szCs w:val="24"/>
          <w:vertAlign w:val="subscript"/>
          <w:lang w:eastAsia="zh-CN"/>
        </w:rPr>
        <w:t>mean</w:t>
      </w:r>
      <w:r w:rsidRPr="00BE7C45">
        <w:rPr>
          <w:rFonts w:ascii="Times New Roman" w:hAnsi="Times New Roman" w:cs="Times New Roman"/>
          <w:iCs/>
          <w:sz w:val="24"/>
          <w:szCs w:val="24"/>
          <w:lang w:eastAsia="zh-CN"/>
        </w:rPr>
        <w:t xml:space="preserve"> = </w:t>
      </w:r>
      <w:r w:rsidRPr="00BE7C45">
        <w:rPr>
          <w:rFonts w:ascii="Times New Roman" w:hAnsi="Times New Roman" w:cs="Times New Roman" w:hint="eastAsia"/>
          <w:iCs/>
          <w:sz w:val="24"/>
          <w:szCs w:val="24"/>
          <w:lang w:eastAsia="zh-CN"/>
        </w:rPr>
        <w:t>mean blood flow rate. F statistics with n</w:t>
      </w:r>
      <w:r>
        <w:rPr>
          <w:rFonts w:ascii="Times New Roman" w:hAnsi="Times New Roman" w:cs="Times New Roman" w:hint="eastAsia"/>
          <w:iCs/>
          <w:sz w:val="24"/>
          <w:szCs w:val="24"/>
          <w:lang w:eastAsia="zh-CN"/>
        </w:rPr>
        <w:t>u</w:t>
      </w:r>
      <w:r w:rsidRPr="00BE7C45">
        <w:rPr>
          <w:rFonts w:ascii="Times New Roman" w:hAnsi="Times New Roman" w:cs="Times New Roman" w:hint="eastAsia"/>
          <w:iCs/>
          <w:sz w:val="24"/>
          <w:szCs w:val="24"/>
          <w:lang w:eastAsia="zh-CN"/>
        </w:rPr>
        <w:t>merator and denominator degrees of freedom are provided for</w:t>
      </w:r>
      <w:r w:rsidR="00F51712">
        <w:rPr>
          <w:rFonts w:ascii="Times New Roman" w:hAnsi="Times New Roman" w:cs="Times New Roman" w:hint="eastAsia"/>
          <w:iCs/>
          <w:sz w:val="24"/>
          <w:szCs w:val="24"/>
          <w:lang w:eastAsia="zh-CN"/>
        </w:rPr>
        <w:t xml:space="preserve"> </w:t>
      </w:r>
      <w:r w:rsidRPr="00BE7C45">
        <w:rPr>
          <w:rFonts w:ascii="Times New Roman" w:hAnsi="Times New Roman" w:cs="Times New Roman" w:hint="eastAsia"/>
          <w:iCs/>
          <w:sz w:val="24"/>
          <w:szCs w:val="24"/>
          <w:lang w:eastAsia="zh-CN"/>
        </w:rPr>
        <w:t>the</w:t>
      </w:r>
      <w:r w:rsidR="00F51712">
        <w:rPr>
          <w:rFonts w:ascii="Times New Roman" w:hAnsi="Times New Roman" w:cs="Times New Roman" w:hint="eastAsia"/>
          <w:iCs/>
          <w:sz w:val="24"/>
          <w:szCs w:val="24"/>
          <w:lang w:eastAsia="zh-CN"/>
        </w:rPr>
        <w:t xml:space="preserve"> </w:t>
      </w:r>
      <w:r w:rsidRPr="00BE7C45">
        <w:rPr>
          <w:rFonts w:ascii="Times New Roman" w:hAnsi="Times New Roman" w:cs="Times New Roman" w:hint="eastAsia"/>
          <w:iCs/>
          <w:sz w:val="24"/>
          <w:szCs w:val="24"/>
          <w:lang w:eastAsia="zh-CN"/>
        </w:rPr>
        <w:t>ICC</w:t>
      </w:r>
      <w:r w:rsidR="00F51712">
        <w:rPr>
          <w:rFonts w:ascii="Times New Roman" w:hAnsi="Times New Roman" w:cs="Times New Roman" w:hint="eastAsia"/>
          <w:iCs/>
          <w:sz w:val="24"/>
          <w:szCs w:val="24"/>
          <w:lang w:eastAsia="zh-CN"/>
        </w:rPr>
        <w:t xml:space="preserve"> </w:t>
      </w:r>
      <w:r w:rsidRPr="00BE7C45">
        <w:rPr>
          <w:rFonts w:ascii="Times New Roman" w:hAnsi="Times New Roman" w:cs="Times New Roman" w:hint="eastAsia"/>
          <w:iCs/>
          <w:sz w:val="24"/>
          <w:szCs w:val="24"/>
          <w:lang w:eastAsia="zh-CN"/>
        </w:rPr>
        <w:t>estimates.</w:t>
      </w:r>
    </w:p>
    <w:sectPr w:rsidR="00BE7C45" w:rsidRPr="00BE7C45" w:rsidSect="001142E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44524" w14:textId="77777777" w:rsidR="00400A2B" w:rsidRDefault="00400A2B" w:rsidP="00F7659D">
      <w:pPr>
        <w:spacing w:after="0" w:line="240" w:lineRule="auto"/>
        <w:rPr>
          <w:rFonts w:hint="eastAsia"/>
        </w:rPr>
      </w:pPr>
      <w:r>
        <w:separator/>
      </w:r>
    </w:p>
  </w:endnote>
  <w:endnote w:type="continuationSeparator" w:id="0">
    <w:p w14:paraId="76029182" w14:textId="77777777" w:rsidR="00400A2B" w:rsidRDefault="00400A2B" w:rsidP="00F7659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C904" w14:textId="77777777" w:rsidR="001142E3" w:rsidRDefault="001142E3">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388102"/>
      <w:docPartObj>
        <w:docPartGallery w:val="Page Numbers (Bottom of Page)"/>
        <w:docPartUnique/>
      </w:docPartObj>
    </w:sdtPr>
    <w:sdtContent>
      <w:p w14:paraId="50C517E6" w14:textId="0AFB4DBE" w:rsidR="001142E3" w:rsidRDefault="001142E3">
        <w:pPr>
          <w:pStyle w:val="af0"/>
          <w:jc w:val="right"/>
          <w:rPr>
            <w:rFonts w:hint="eastAsia"/>
          </w:rPr>
        </w:pPr>
        <w:r>
          <w:fldChar w:fldCharType="begin"/>
        </w:r>
        <w:r>
          <w:instrText>PAGE   \* MERGEFORMAT</w:instrText>
        </w:r>
        <w:r>
          <w:fldChar w:fldCharType="separate"/>
        </w:r>
        <w:r>
          <w:rPr>
            <w:lang w:val="zh-CN" w:eastAsia="zh-CN"/>
          </w:rPr>
          <w:t>2</w:t>
        </w:r>
        <w:r>
          <w:fldChar w:fldCharType="end"/>
        </w:r>
      </w:p>
    </w:sdtContent>
  </w:sdt>
  <w:p w14:paraId="0E7AF9CE" w14:textId="77777777" w:rsidR="001142E3" w:rsidRDefault="001142E3">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3E1A" w14:textId="77777777" w:rsidR="001142E3" w:rsidRDefault="001142E3">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48C24" w14:textId="77777777" w:rsidR="00400A2B" w:rsidRDefault="00400A2B" w:rsidP="00F7659D">
      <w:pPr>
        <w:spacing w:after="0" w:line="240" w:lineRule="auto"/>
        <w:rPr>
          <w:rFonts w:hint="eastAsia"/>
        </w:rPr>
      </w:pPr>
      <w:r>
        <w:separator/>
      </w:r>
    </w:p>
  </w:footnote>
  <w:footnote w:type="continuationSeparator" w:id="0">
    <w:p w14:paraId="0C9DB410" w14:textId="77777777" w:rsidR="00400A2B" w:rsidRDefault="00400A2B" w:rsidP="00F7659D">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4987" w14:textId="77777777" w:rsidR="001142E3" w:rsidRDefault="001142E3">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08B7" w14:textId="77777777" w:rsidR="001142E3" w:rsidRDefault="001142E3">
    <w:pPr>
      <w:pStyle w:val="a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6F76" w14:textId="77777777" w:rsidR="001142E3" w:rsidRDefault="001142E3">
    <w:pPr>
      <w:pStyle w:val="a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94C6E"/>
    <w:multiLevelType w:val="hybridMultilevel"/>
    <w:tmpl w:val="9C6424D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70995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1B"/>
    <w:rsid w:val="00005F6E"/>
    <w:rsid w:val="00062EF8"/>
    <w:rsid w:val="001142E3"/>
    <w:rsid w:val="0019196B"/>
    <w:rsid w:val="001A3E1B"/>
    <w:rsid w:val="001D3320"/>
    <w:rsid w:val="002702A4"/>
    <w:rsid w:val="002F035E"/>
    <w:rsid w:val="00400A2B"/>
    <w:rsid w:val="004407C0"/>
    <w:rsid w:val="00446B77"/>
    <w:rsid w:val="004510E1"/>
    <w:rsid w:val="004B3013"/>
    <w:rsid w:val="004B6088"/>
    <w:rsid w:val="007C78FD"/>
    <w:rsid w:val="007E041B"/>
    <w:rsid w:val="008021F1"/>
    <w:rsid w:val="008A791A"/>
    <w:rsid w:val="008E65B2"/>
    <w:rsid w:val="00974EED"/>
    <w:rsid w:val="009922F1"/>
    <w:rsid w:val="009932B8"/>
    <w:rsid w:val="00995BFB"/>
    <w:rsid w:val="009D6813"/>
    <w:rsid w:val="009E0064"/>
    <w:rsid w:val="00AE045D"/>
    <w:rsid w:val="00B13349"/>
    <w:rsid w:val="00BE7C45"/>
    <w:rsid w:val="00D2311B"/>
    <w:rsid w:val="00EB326E"/>
    <w:rsid w:val="00EB4545"/>
    <w:rsid w:val="00F007CD"/>
    <w:rsid w:val="00F51712"/>
    <w:rsid w:val="00F61697"/>
    <w:rsid w:val="00F7659D"/>
    <w:rsid w:val="00FD2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84142"/>
  <w15:chartTrackingRefBased/>
  <w15:docId w15:val="{39B04AC7-CF97-4564-B581-B860BCF4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12"/>
    <w:pPr>
      <w:spacing w:after="200" w:line="276" w:lineRule="auto"/>
    </w:pPr>
    <w:rPr>
      <w:kern w:val="0"/>
      <w:sz w:val="22"/>
      <w:lang w:eastAsia="en-US"/>
    </w:rPr>
  </w:style>
  <w:style w:type="paragraph" w:styleId="1">
    <w:name w:val="heading 1"/>
    <w:basedOn w:val="a"/>
    <w:next w:val="a"/>
    <w:link w:val="10"/>
    <w:uiPriority w:val="9"/>
    <w:qFormat/>
    <w:rsid w:val="007E041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E041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E041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E041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E041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E041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E041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041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E041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041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E041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E041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E041B"/>
    <w:rPr>
      <w:rFonts w:cstheme="majorBidi"/>
      <w:color w:val="0F4761" w:themeColor="accent1" w:themeShade="BF"/>
      <w:sz w:val="28"/>
      <w:szCs w:val="28"/>
    </w:rPr>
  </w:style>
  <w:style w:type="character" w:customStyle="1" w:styleId="50">
    <w:name w:val="标题 5 字符"/>
    <w:basedOn w:val="a0"/>
    <w:link w:val="5"/>
    <w:uiPriority w:val="9"/>
    <w:semiHidden/>
    <w:rsid w:val="007E041B"/>
    <w:rPr>
      <w:rFonts w:cstheme="majorBidi"/>
      <w:color w:val="0F4761" w:themeColor="accent1" w:themeShade="BF"/>
      <w:sz w:val="24"/>
      <w:szCs w:val="24"/>
    </w:rPr>
  </w:style>
  <w:style w:type="character" w:customStyle="1" w:styleId="60">
    <w:name w:val="标题 6 字符"/>
    <w:basedOn w:val="a0"/>
    <w:link w:val="6"/>
    <w:uiPriority w:val="9"/>
    <w:semiHidden/>
    <w:rsid w:val="007E041B"/>
    <w:rPr>
      <w:rFonts w:cstheme="majorBidi"/>
      <w:b/>
      <w:bCs/>
      <w:color w:val="0F4761" w:themeColor="accent1" w:themeShade="BF"/>
    </w:rPr>
  </w:style>
  <w:style w:type="character" w:customStyle="1" w:styleId="70">
    <w:name w:val="标题 7 字符"/>
    <w:basedOn w:val="a0"/>
    <w:link w:val="7"/>
    <w:uiPriority w:val="9"/>
    <w:semiHidden/>
    <w:rsid w:val="007E041B"/>
    <w:rPr>
      <w:rFonts w:cstheme="majorBidi"/>
      <w:b/>
      <w:bCs/>
      <w:color w:val="595959" w:themeColor="text1" w:themeTint="A6"/>
    </w:rPr>
  </w:style>
  <w:style w:type="character" w:customStyle="1" w:styleId="80">
    <w:name w:val="标题 8 字符"/>
    <w:basedOn w:val="a0"/>
    <w:link w:val="8"/>
    <w:uiPriority w:val="9"/>
    <w:semiHidden/>
    <w:rsid w:val="007E041B"/>
    <w:rPr>
      <w:rFonts w:cstheme="majorBidi"/>
      <w:color w:val="595959" w:themeColor="text1" w:themeTint="A6"/>
    </w:rPr>
  </w:style>
  <w:style w:type="character" w:customStyle="1" w:styleId="90">
    <w:name w:val="标题 9 字符"/>
    <w:basedOn w:val="a0"/>
    <w:link w:val="9"/>
    <w:uiPriority w:val="9"/>
    <w:semiHidden/>
    <w:rsid w:val="007E041B"/>
    <w:rPr>
      <w:rFonts w:eastAsiaTheme="majorEastAsia" w:cstheme="majorBidi"/>
      <w:color w:val="595959" w:themeColor="text1" w:themeTint="A6"/>
    </w:rPr>
  </w:style>
  <w:style w:type="paragraph" w:styleId="a3">
    <w:name w:val="Title"/>
    <w:basedOn w:val="a"/>
    <w:next w:val="a"/>
    <w:link w:val="a4"/>
    <w:uiPriority w:val="10"/>
    <w:qFormat/>
    <w:rsid w:val="007E04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04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04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04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041B"/>
    <w:pPr>
      <w:spacing w:before="160" w:after="160"/>
      <w:jc w:val="center"/>
    </w:pPr>
    <w:rPr>
      <w:i/>
      <w:iCs/>
      <w:color w:val="404040" w:themeColor="text1" w:themeTint="BF"/>
    </w:rPr>
  </w:style>
  <w:style w:type="character" w:customStyle="1" w:styleId="a8">
    <w:name w:val="引用 字符"/>
    <w:basedOn w:val="a0"/>
    <w:link w:val="a7"/>
    <w:uiPriority w:val="29"/>
    <w:rsid w:val="007E041B"/>
    <w:rPr>
      <w:i/>
      <w:iCs/>
      <w:color w:val="404040" w:themeColor="text1" w:themeTint="BF"/>
    </w:rPr>
  </w:style>
  <w:style w:type="paragraph" w:styleId="a9">
    <w:name w:val="List Paragraph"/>
    <w:basedOn w:val="a"/>
    <w:uiPriority w:val="34"/>
    <w:qFormat/>
    <w:rsid w:val="007E041B"/>
    <w:pPr>
      <w:ind w:left="720"/>
      <w:contextualSpacing/>
    </w:pPr>
  </w:style>
  <w:style w:type="character" w:styleId="aa">
    <w:name w:val="Intense Emphasis"/>
    <w:basedOn w:val="a0"/>
    <w:uiPriority w:val="21"/>
    <w:qFormat/>
    <w:rsid w:val="007E041B"/>
    <w:rPr>
      <w:i/>
      <w:iCs/>
      <w:color w:val="0F4761" w:themeColor="accent1" w:themeShade="BF"/>
    </w:rPr>
  </w:style>
  <w:style w:type="paragraph" w:styleId="ab">
    <w:name w:val="Intense Quote"/>
    <w:basedOn w:val="a"/>
    <w:next w:val="a"/>
    <w:link w:val="ac"/>
    <w:uiPriority w:val="30"/>
    <w:qFormat/>
    <w:rsid w:val="007E0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E041B"/>
    <w:rPr>
      <w:i/>
      <w:iCs/>
      <w:color w:val="0F4761" w:themeColor="accent1" w:themeShade="BF"/>
    </w:rPr>
  </w:style>
  <w:style w:type="character" w:styleId="ad">
    <w:name w:val="Intense Reference"/>
    <w:basedOn w:val="a0"/>
    <w:uiPriority w:val="32"/>
    <w:qFormat/>
    <w:rsid w:val="007E041B"/>
    <w:rPr>
      <w:b/>
      <w:bCs/>
      <w:smallCaps/>
      <w:color w:val="0F4761" w:themeColor="accent1" w:themeShade="BF"/>
      <w:spacing w:val="5"/>
    </w:rPr>
  </w:style>
  <w:style w:type="paragraph" w:styleId="ae">
    <w:name w:val="header"/>
    <w:basedOn w:val="a"/>
    <w:link w:val="af"/>
    <w:uiPriority w:val="99"/>
    <w:unhideWhenUsed/>
    <w:rsid w:val="00F7659D"/>
    <w:pPr>
      <w:tabs>
        <w:tab w:val="center" w:pos="4153"/>
        <w:tab w:val="right" w:pos="8306"/>
      </w:tabs>
      <w:snapToGrid w:val="0"/>
      <w:jc w:val="center"/>
    </w:pPr>
    <w:rPr>
      <w:sz w:val="18"/>
      <w:szCs w:val="18"/>
    </w:rPr>
  </w:style>
  <w:style w:type="character" w:customStyle="1" w:styleId="af">
    <w:name w:val="页眉 字符"/>
    <w:basedOn w:val="a0"/>
    <w:link w:val="ae"/>
    <w:uiPriority w:val="99"/>
    <w:rsid w:val="00F7659D"/>
    <w:rPr>
      <w:sz w:val="18"/>
      <w:szCs w:val="18"/>
    </w:rPr>
  </w:style>
  <w:style w:type="paragraph" w:styleId="af0">
    <w:name w:val="footer"/>
    <w:basedOn w:val="a"/>
    <w:link w:val="af1"/>
    <w:uiPriority w:val="99"/>
    <w:unhideWhenUsed/>
    <w:rsid w:val="00F7659D"/>
    <w:pPr>
      <w:tabs>
        <w:tab w:val="center" w:pos="4153"/>
        <w:tab w:val="right" w:pos="8306"/>
      </w:tabs>
      <w:snapToGrid w:val="0"/>
    </w:pPr>
    <w:rPr>
      <w:sz w:val="18"/>
      <w:szCs w:val="18"/>
    </w:rPr>
  </w:style>
  <w:style w:type="character" w:customStyle="1" w:styleId="af1">
    <w:name w:val="页脚 字符"/>
    <w:basedOn w:val="a0"/>
    <w:link w:val="af0"/>
    <w:uiPriority w:val="99"/>
    <w:rsid w:val="00F7659D"/>
    <w:rPr>
      <w:sz w:val="18"/>
      <w:szCs w:val="18"/>
    </w:rPr>
  </w:style>
  <w:style w:type="paragraph" w:styleId="af2">
    <w:name w:val="caption"/>
    <w:basedOn w:val="a"/>
    <w:next w:val="a"/>
    <w:uiPriority w:val="35"/>
    <w:unhideWhenUsed/>
    <w:qFormat/>
    <w:rsid w:val="00F7659D"/>
    <w:pPr>
      <w:spacing w:line="240" w:lineRule="auto"/>
    </w:pPr>
    <w:rPr>
      <w:b/>
      <w:bCs/>
      <w:color w:val="156082" w:themeColor="accent1"/>
      <w:sz w:val="18"/>
      <w:szCs w:val="18"/>
    </w:rPr>
  </w:style>
  <w:style w:type="table" w:styleId="af3">
    <w:name w:val="Table Grid"/>
    <w:basedOn w:val="a1"/>
    <w:uiPriority w:val="59"/>
    <w:rsid w:val="00F7659D"/>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line number"/>
    <w:basedOn w:val="a0"/>
    <w:uiPriority w:val="99"/>
    <w:semiHidden/>
    <w:unhideWhenUsed/>
    <w:rsid w:val="00114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占鑫 武</dc:creator>
  <cp:keywords/>
  <dc:description/>
  <cp:lastModifiedBy>占鑫 武</cp:lastModifiedBy>
  <cp:revision>3</cp:revision>
  <dcterms:created xsi:type="dcterms:W3CDTF">2026-03-08T13:08:00Z</dcterms:created>
  <dcterms:modified xsi:type="dcterms:W3CDTF">2026-03-08T13:11:00Z</dcterms:modified>
</cp:coreProperties>
</file>