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1585" w14:textId="77777777" w:rsidR="00AD4F16" w:rsidRPr="003E24B6" w:rsidRDefault="00AD4F16" w:rsidP="00AD4F16">
      <w:pPr>
        <w:jc w:val="both"/>
        <w:rPr>
          <w:rFonts w:ascii="Times New Roman" w:hAnsi="Times New Roman" w:cs="Times New Roman"/>
          <w:lang w:val="en-US"/>
        </w:rPr>
      </w:pPr>
      <w:r w:rsidRPr="003E24B6">
        <w:rPr>
          <w:rFonts w:ascii="Times New Roman" w:hAnsi="Times New Roman" w:cs="Times New Roman"/>
          <w:b/>
          <w:bCs/>
          <w:lang w:val="en-US"/>
        </w:rPr>
        <w:t>Table S1. Predictor Selection Using Penalized Logistic Regression</w:t>
      </w:r>
    </w:p>
    <w:p w14:paraId="456D1706" w14:textId="77777777" w:rsidR="00F978D6" w:rsidRPr="001C41B3" w:rsidRDefault="00F978D6" w:rsidP="00F978D6">
      <w:pPr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2"/>
        <w:gridCol w:w="1087"/>
        <w:gridCol w:w="845"/>
      </w:tblGrid>
      <w:tr w:rsidR="00F978D6" w:rsidRPr="001C41B3" w14:paraId="2C34B46F" w14:textId="77777777" w:rsidTr="00CB113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191E9F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14:paraId="2FB85A48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Coefficient</w:t>
            </w:r>
          </w:p>
        </w:tc>
        <w:tc>
          <w:tcPr>
            <w:tcW w:w="0" w:type="auto"/>
            <w:vAlign w:val="center"/>
            <w:hideMark/>
          </w:tcPr>
          <w:p w14:paraId="4E6C4F8D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Selected</w:t>
            </w:r>
          </w:p>
        </w:tc>
      </w:tr>
      <w:tr w:rsidR="00F978D6" w:rsidRPr="001C41B3" w14:paraId="66CC1BDD" w14:textId="77777777" w:rsidTr="00CB11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FAC27D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NIHSS score at admission (ED)</w:t>
            </w:r>
          </w:p>
        </w:tc>
        <w:tc>
          <w:tcPr>
            <w:tcW w:w="0" w:type="auto"/>
            <w:vAlign w:val="center"/>
            <w:hideMark/>
          </w:tcPr>
          <w:p w14:paraId="3B043025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0.038</w:t>
            </w:r>
          </w:p>
        </w:tc>
        <w:tc>
          <w:tcPr>
            <w:tcW w:w="0" w:type="auto"/>
            <w:vAlign w:val="center"/>
            <w:hideMark/>
          </w:tcPr>
          <w:p w14:paraId="2AB7C34D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F978D6" w:rsidRPr="001C41B3" w14:paraId="493E8F1D" w14:textId="77777777" w:rsidTr="00CB11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55E4A5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Age (years)</w:t>
            </w:r>
          </w:p>
        </w:tc>
        <w:tc>
          <w:tcPr>
            <w:tcW w:w="0" w:type="auto"/>
            <w:vAlign w:val="center"/>
            <w:hideMark/>
          </w:tcPr>
          <w:p w14:paraId="5D317557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0.043</w:t>
            </w:r>
          </w:p>
        </w:tc>
        <w:tc>
          <w:tcPr>
            <w:tcW w:w="0" w:type="auto"/>
            <w:vAlign w:val="center"/>
            <w:hideMark/>
          </w:tcPr>
          <w:p w14:paraId="4D6F7DEB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F978D6" w:rsidRPr="001C41B3" w14:paraId="3A8C9499" w14:textId="77777777" w:rsidTr="00CB11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053736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Sepsis (yes vs no)</w:t>
            </w:r>
          </w:p>
        </w:tc>
        <w:tc>
          <w:tcPr>
            <w:tcW w:w="0" w:type="auto"/>
            <w:vAlign w:val="center"/>
            <w:hideMark/>
          </w:tcPr>
          <w:p w14:paraId="6323C6C4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0.275</w:t>
            </w:r>
          </w:p>
        </w:tc>
        <w:tc>
          <w:tcPr>
            <w:tcW w:w="0" w:type="auto"/>
            <w:vAlign w:val="center"/>
            <w:hideMark/>
          </w:tcPr>
          <w:p w14:paraId="6E8D373A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F978D6" w:rsidRPr="001C41B3" w14:paraId="16FF9586" w14:textId="77777777" w:rsidTr="00CB11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2D740B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Glucose at admission (mg/dL)</w:t>
            </w:r>
          </w:p>
        </w:tc>
        <w:tc>
          <w:tcPr>
            <w:tcW w:w="0" w:type="auto"/>
            <w:vAlign w:val="center"/>
            <w:hideMark/>
          </w:tcPr>
          <w:p w14:paraId="70C9A841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0.036</w:t>
            </w:r>
          </w:p>
        </w:tc>
        <w:tc>
          <w:tcPr>
            <w:tcW w:w="0" w:type="auto"/>
            <w:vAlign w:val="center"/>
            <w:hideMark/>
          </w:tcPr>
          <w:p w14:paraId="0348B2CA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F978D6" w:rsidRPr="001C41B3" w14:paraId="4DAA050F" w14:textId="77777777" w:rsidTr="00CB11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17FA9D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C-reactive protein–to–albumin ratio at admission</w:t>
            </w:r>
          </w:p>
        </w:tc>
        <w:tc>
          <w:tcPr>
            <w:tcW w:w="0" w:type="auto"/>
            <w:vAlign w:val="center"/>
            <w:hideMark/>
          </w:tcPr>
          <w:p w14:paraId="40F64E13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0.034</w:t>
            </w:r>
          </w:p>
        </w:tc>
        <w:tc>
          <w:tcPr>
            <w:tcW w:w="0" w:type="auto"/>
            <w:vAlign w:val="center"/>
            <w:hideMark/>
          </w:tcPr>
          <w:p w14:paraId="441DFE1A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F978D6" w:rsidRPr="001C41B3" w14:paraId="02007831" w14:textId="77777777" w:rsidTr="00CB11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E90F395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Serum albumin (g/dL)</w:t>
            </w:r>
          </w:p>
        </w:tc>
        <w:tc>
          <w:tcPr>
            <w:tcW w:w="0" w:type="auto"/>
            <w:vAlign w:val="center"/>
            <w:hideMark/>
          </w:tcPr>
          <w:p w14:paraId="69DD5A84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6BE66D6A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F978D6" w:rsidRPr="001C41B3" w14:paraId="222A763D" w14:textId="77777777" w:rsidTr="00CB11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0FACDE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Hypertension</w:t>
            </w:r>
          </w:p>
        </w:tc>
        <w:tc>
          <w:tcPr>
            <w:tcW w:w="0" w:type="auto"/>
            <w:vAlign w:val="center"/>
            <w:hideMark/>
          </w:tcPr>
          <w:p w14:paraId="5F679BE9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24D533A1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F978D6" w:rsidRPr="001C41B3" w14:paraId="7E942DA9" w14:textId="77777777" w:rsidTr="00CB113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06D854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C41B3">
              <w:rPr>
                <w:rFonts w:ascii="Times New Roman" w:hAnsi="Times New Roman" w:cs="Times New Roman"/>
                <w:b/>
                <w:bCs/>
                <w:lang w:val="en-US"/>
              </w:rPr>
              <w:t>Diabetes mellitus</w:t>
            </w:r>
          </w:p>
        </w:tc>
        <w:tc>
          <w:tcPr>
            <w:tcW w:w="0" w:type="auto"/>
            <w:vAlign w:val="center"/>
            <w:hideMark/>
          </w:tcPr>
          <w:p w14:paraId="6BA5E402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5629043B" w14:textId="77777777" w:rsidR="00F978D6" w:rsidRPr="001C41B3" w:rsidRDefault="00F978D6" w:rsidP="00CB113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C41B3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</w:tbl>
    <w:p w14:paraId="15A8B19F" w14:textId="77777777" w:rsidR="00F978D6" w:rsidRPr="001C41B3" w:rsidRDefault="00F978D6" w:rsidP="00F978D6">
      <w:pPr>
        <w:jc w:val="both"/>
        <w:rPr>
          <w:rFonts w:ascii="Times New Roman" w:hAnsi="Times New Roman" w:cs="Times New Roman"/>
          <w:lang w:val="en-US"/>
        </w:rPr>
      </w:pPr>
    </w:p>
    <w:p w14:paraId="795094D5" w14:textId="77777777" w:rsidR="00AD4F16" w:rsidRPr="003E24B6" w:rsidRDefault="00AD4F16" w:rsidP="00AD4F16">
      <w:pPr>
        <w:jc w:val="both"/>
        <w:rPr>
          <w:rFonts w:ascii="Times New Roman" w:hAnsi="Times New Roman" w:cs="Times New Roman"/>
          <w:lang w:val="en-US"/>
        </w:rPr>
      </w:pPr>
      <w:r w:rsidRPr="003E24B6">
        <w:rPr>
          <w:rFonts w:ascii="Times New Roman" w:hAnsi="Times New Roman" w:cs="Times New Roman"/>
          <w:lang w:val="en-US"/>
        </w:rPr>
        <w:t>Results of least absolute shrinkage and selection operator penalized regression identifying stable predictors of ninety-day mortality while minimizing overfitting. Variables with non-zero coefficients after cross-validation are retained.</w:t>
      </w:r>
    </w:p>
    <w:p w14:paraId="783E7B9D" w14:textId="77777777" w:rsidR="00E04DDD" w:rsidRDefault="00E04DDD"/>
    <w:sectPr w:rsidR="00E0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D6"/>
    <w:rsid w:val="006A4A76"/>
    <w:rsid w:val="006C1ECD"/>
    <w:rsid w:val="008230B0"/>
    <w:rsid w:val="00AD4F16"/>
    <w:rsid w:val="00E04DDD"/>
    <w:rsid w:val="00E86858"/>
    <w:rsid w:val="00F35473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4125"/>
  <w15:chartTrackingRefBased/>
  <w15:docId w15:val="{EEAE43A7-8843-4B95-B400-DF45A095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8D6"/>
  </w:style>
  <w:style w:type="paragraph" w:styleId="Balk1">
    <w:name w:val="heading 1"/>
    <w:basedOn w:val="Normal"/>
    <w:next w:val="Normal"/>
    <w:link w:val="Balk1Char"/>
    <w:uiPriority w:val="9"/>
    <w:qFormat/>
    <w:rsid w:val="00F9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78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78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78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78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78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78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78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78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78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78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7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2026-01-23T09:08:00Z</dcterms:created>
  <dcterms:modified xsi:type="dcterms:W3CDTF">2026-01-23T09:08:00Z</dcterms:modified>
</cp:coreProperties>
</file>