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47F53" w14:textId="77777777" w:rsidR="008E63C5" w:rsidRPr="00682648" w:rsidRDefault="008E63C5" w:rsidP="008E63C5">
      <w:pPr>
        <w:tabs>
          <w:tab w:val="left" w:pos="1243"/>
        </w:tabs>
        <w:rPr>
          <w:rFonts w:ascii="Times New Roman" w:hAnsi="Times New Roman" w:cs="Times New Roman"/>
          <w:b/>
          <w:bCs/>
        </w:rPr>
      </w:pPr>
      <w:r w:rsidRPr="00682648">
        <w:rPr>
          <w:rFonts w:ascii="Times New Roman" w:hAnsi="Times New Roman" w:cs="Times New Roman"/>
          <w:b/>
          <w:bCs/>
        </w:rPr>
        <w:t>Supplementary Method</w:t>
      </w:r>
    </w:p>
    <w:p w14:paraId="3A856533" w14:textId="77777777" w:rsidR="008E63C5" w:rsidRPr="00682648" w:rsidRDefault="008E63C5" w:rsidP="008E63C5">
      <w:pPr>
        <w:tabs>
          <w:tab w:val="left" w:pos="1243"/>
        </w:tabs>
        <w:rPr>
          <w:rFonts w:ascii="Times New Roman" w:hAnsi="Times New Roman" w:cs="Times New Roman"/>
          <w:b/>
          <w:bCs/>
        </w:rPr>
      </w:pPr>
      <w:r w:rsidRPr="00682648">
        <w:rPr>
          <w:rFonts w:ascii="Times New Roman" w:hAnsi="Times New Roman" w:cs="Times New Roman"/>
          <w:b/>
          <w:bCs/>
        </w:rPr>
        <w:t xml:space="preserve">Acute toxicity evaluation </w:t>
      </w:r>
    </w:p>
    <w:p w14:paraId="2A882B66" w14:textId="77777777" w:rsidR="008E63C5" w:rsidRPr="00682648" w:rsidRDefault="008E63C5" w:rsidP="008E63C5">
      <w:pPr>
        <w:tabs>
          <w:tab w:val="left" w:pos="1243"/>
        </w:tabs>
        <w:jc w:val="both"/>
        <w:rPr>
          <w:rFonts w:ascii="Times New Roman" w:hAnsi="Times New Roman" w:cs="Times New Roman"/>
        </w:rPr>
      </w:pPr>
      <w:r w:rsidRPr="00682648">
        <w:rPr>
          <w:rFonts w:ascii="Times New Roman" w:hAnsi="Times New Roman" w:cs="Times New Roman"/>
        </w:rPr>
        <w:t>To assess the in vivo biosafety of the BED probe at a supra-diagnostic dose, healthy BALB/c mice (n = 3) received a single intravenous injection of [</w:t>
      </w:r>
      <w:r w:rsidRPr="00682648">
        <w:rPr>
          <w:rFonts w:ascii="Times New Roman" w:hAnsi="Times New Roman" w:cs="Times New Roman"/>
          <w:vertAlign w:val="superscript"/>
        </w:rPr>
        <w:t>68</w:t>
      </w:r>
      <w:proofErr w:type="gramStart"/>
      <w:r w:rsidRPr="00682648">
        <w:rPr>
          <w:rFonts w:ascii="Times New Roman" w:hAnsi="Times New Roman" w:cs="Times New Roman"/>
        </w:rPr>
        <w:t>Ga]Ga</w:t>
      </w:r>
      <w:proofErr w:type="gramEnd"/>
      <w:r w:rsidRPr="00682648">
        <w:rPr>
          <w:rFonts w:ascii="Times New Roman" w:hAnsi="Times New Roman" w:cs="Times New Roman"/>
        </w:rPr>
        <w:t xml:space="preserve">-NOTA-BED (37 MBq, 1 </w:t>
      </w:r>
      <w:proofErr w:type="spellStart"/>
      <w:r w:rsidRPr="00682648">
        <w:rPr>
          <w:rFonts w:ascii="Times New Roman" w:hAnsi="Times New Roman" w:cs="Times New Roman"/>
        </w:rPr>
        <w:t>mCi</w:t>
      </w:r>
      <w:proofErr w:type="spellEnd"/>
      <w:r w:rsidRPr="00682648">
        <w:rPr>
          <w:rFonts w:ascii="Times New Roman" w:hAnsi="Times New Roman" w:cs="Times New Roman"/>
        </w:rPr>
        <w:t>). Animals were observed daily for 7 days for clinical signs of toxicity, including general condition, locomotor activity, and food and water intake.</w:t>
      </w:r>
      <w:r>
        <w:rPr>
          <w:rFonts w:ascii="Times New Roman" w:hAnsi="Times New Roman" w:cs="Times New Roman" w:hint="eastAsia"/>
        </w:rPr>
        <w:t xml:space="preserve"> </w:t>
      </w:r>
      <w:r w:rsidRPr="00682648">
        <w:rPr>
          <w:rFonts w:ascii="Times New Roman" w:hAnsi="Times New Roman" w:cs="Times New Roman"/>
        </w:rPr>
        <w:t>At day 7, mice were euthanized by cervical dislocation, and major organs (heart, liver, spleen, lung, and kidney) were collected for histological analysis. Tissues were fixed in 4% paraformaldehyde, embedded in paraffin, sectioned, and stained with hematoxylin and eosin (H&amp;E). Histopathological evaluation was performed under light microscopy to identify evidence of acute tissue injury.</w:t>
      </w:r>
    </w:p>
    <w:p w14:paraId="44F5A1AD" w14:textId="77777777" w:rsidR="008E63C5" w:rsidRPr="004B305E" w:rsidRDefault="008E63C5" w:rsidP="008E63C5">
      <w:pPr>
        <w:tabs>
          <w:tab w:val="left" w:pos="1243"/>
        </w:tabs>
        <w:rPr>
          <w:rFonts w:ascii="Times New Roman" w:hAnsi="Times New Roman" w:cs="Times New Roman"/>
          <w:b/>
          <w:bCs/>
        </w:rPr>
      </w:pPr>
      <w:r w:rsidRPr="004B305E">
        <w:rPr>
          <w:rFonts w:ascii="Times New Roman" w:hAnsi="Times New Roman" w:cs="Times New Roman"/>
          <w:b/>
          <w:bCs/>
        </w:rPr>
        <w:t>Human radiation dosimetry estimation</w:t>
      </w:r>
    </w:p>
    <w:p w14:paraId="1E48377A" w14:textId="77777777" w:rsidR="008E63C5" w:rsidRPr="004B305E" w:rsidRDefault="008E63C5" w:rsidP="008E63C5">
      <w:pPr>
        <w:tabs>
          <w:tab w:val="left" w:pos="1243"/>
        </w:tabs>
        <w:jc w:val="both"/>
        <w:rPr>
          <w:rFonts w:ascii="Times New Roman" w:hAnsi="Times New Roman" w:cs="Times New Roman"/>
        </w:rPr>
      </w:pPr>
      <w:r w:rsidRPr="004B305E">
        <w:rPr>
          <w:rFonts w:ascii="Times New Roman" w:hAnsi="Times New Roman" w:cs="Times New Roman"/>
        </w:rPr>
        <w:t>To evaluate the potential clinical safety of the [</w:t>
      </w:r>
      <w:r w:rsidRPr="004B305E">
        <w:rPr>
          <w:rFonts w:ascii="Times New Roman" w:hAnsi="Times New Roman" w:cs="Times New Roman"/>
          <w:vertAlign w:val="superscript"/>
        </w:rPr>
        <w:t>68</w:t>
      </w:r>
      <w:proofErr w:type="gramStart"/>
      <w:r w:rsidRPr="004B305E">
        <w:rPr>
          <w:rFonts w:ascii="Times New Roman" w:hAnsi="Times New Roman" w:cs="Times New Roman"/>
        </w:rPr>
        <w:t>Ga]Ga</w:t>
      </w:r>
      <w:proofErr w:type="gramEnd"/>
      <w:r w:rsidRPr="004B305E">
        <w:rPr>
          <w:rFonts w:ascii="Times New Roman" w:hAnsi="Times New Roman" w:cs="Times New Roman"/>
        </w:rPr>
        <w:t>-NOTA-BED probe, human radiation doses were estimated from murine biodistribution data using the Medical Internal Radiation Dose (MIRD) schema. Organ uptake values in mice (%ID/g) were extrapolated to a reference adult male phantom (ICRP Publication 89) via relative organ mass scaling. Time–activity curves (TACs) were generated for each organ, and residence times were calculated by integrating the TACs using the trapezoidal method for measured time points and an exponential decay model for the terminal phase. These residence times were then input into OLINDA/EXM software (version 2.1) to calculate organ-specific absorbed doses (mSv/MBq) based on internal [</w:t>
      </w:r>
      <w:r w:rsidRPr="004B305E">
        <w:rPr>
          <w:rFonts w:ascii="Times New Roman" w:hAnsi="Times New Roman" w:cs="Times New Roman"/>
          <w:vertAlign w:val="superscript"/>
        </w:rPr>
        <w:t>68</w:t>
      </w:r>
      <w:r w:rsidRPr="004B305E">
        <w:rPr>
          <w:rFonts w:ascii="Times New Roman" w:hAnsi="Times New Roman" w:cs="Times New Roman"/>
        </w:rPr>
        <w:t>Ga] S-values. The total-body effective dose (mSv/MBq) was derived using tissue weighting factors recommended in ICRP Publication 103.</w:t>
      </w:r>
    </w:p>
    <w:p w14:paraId="5384FDB0" w14:textId="77777777" w:rsidR="008E63C5" w:rsidRPr="004B305E" w:rsidRDefault="008E63C5" w:rsidP="008E63C5">
      <w:pPr>
        <w:tabs>
          <w:tab w:val="left" w:pos="1243"/>
        </w:tabs>
        <w:jc w:val="both"/>
        <w:rPr>
          <w:rFonts w:ascii="Times New Roman" w:hAnsi="Times New Roman" w:cs="Times New Roman"/>
          <w:b/>
          <w:bCs/>
        </w:rPr>
      </w:pPr>
      <w:r w:rsidRPr="004B305E">
        <w:rPr>
          <w:rFonts w:ascii="Times New Roman" w:hAnsi="Times New Roman" w:cs="Times New Roman"/>
          <w:b/>
          <w:bCs/>
        </w:rPr>
        <w:t>Sequence of the BCMA ectodomain-based truncated probe (BED)</w:t>
      </w:r>
    </w:p>
    <w:p w14:paraId="300535E2" w14:textId="15F22CFE" w:rsidR="008E63C5" w:rsidRPr="004B305E" w:rsidRDefault="008E63C5" w:rsidP="008E63C5">
      <w:pPr>
        <w:tabs>
          <w:tab w:val="left" w:pos="1243"/>
        </w:tabs>
        <w:jc w:val="both"/>
        <w:rPr>
          <w:rFonts w:ascii="Times New Roman" w:hAnsi="Times New Roman" w:cs="Times New Roman"/>
        </w:rPr>
      </w:pPr>
      <w:r w:rsidRPr="004B305E">
        <w:rPr>
          <w:rFonts w:ascii="Times New Roman" w:hAnsi="Times New Roman" w:cs="Times New Roman"/>
        </w:rPr>
        <w:t>Sequence of the BCMA ectodomain-based truncated probe (BED) used for imaging, as reported in reference</w:t>
      </w:r>
      <w:r w:rsidR="000C5B3C">
        <w:rPr>
          <w:rFonts w:ascii="Times New Roman" w:hAnsi="Times New Roman" w:cs="Times New Roman"/>
        </w:rPr>
        <w:fldChar w:fldCharType="begin">
          <w:fldData xml:space="preserve">PEVuZE5vdGU+PENpdGU+PEF1dGhvcj5ZYW5nPC9BdXRob3I+PFllYXI+MjAwNTwvWWVhcj48UmVj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</w:fldData>
        </w:fldChar>
      </w:r>
      <w:r w:rsidR="000C5B3C">
        <w:rPr>
          <w:rFonts w:ascii="Times New Roman" w:hAnsi="Times New Roman" w:cs="Times New Roman"/>
        </w:rPr>
        <w:instrText xml:space="preserve"> ADDIN EN.CITE </w:instrText>
      </w:r>
      <w:r w:rsidR="000C5B3C">
        <w:rPr>
          <w:rFonts w:ascii="Times New Roman" w:hAnsi="Times New Roman" w:cs="Times New Roman"/>
        </w:rPr>
        <w:fldChar w:fldCharType="begin">
          <w:fldData xml:space="preserve">PEVuZE5vdGU+PENpdGU+PEF1dGhvcj5ZYW5nPC9BdXRob3I+PFllYXI+MjAwNTwvWWVhcj48UmVj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</w:fldData>
        </w:fldChar>
      </w:r>
      <w:r w:rsidR="000C5B3C">
        <w:rPr>
          <w:rFonts w:ascii="Times New Roman" w:hAnsi="Times New Roman" w:cs="Times New Roman"/>
        </w:rPr>
        <w:instrText xml:space="preserve"> ADDIN EN.CITE.DATA </w:instrText>
      </w:r>
      <w:r w:rsidR="000C5B3C">
        <w:rPr>
          <w:rFonts w:ascii="Times New Roman" w:hAnsi="Times New Roman" w:cs="Times New Roman"/>
        </w:rPr>
      </w:r>
      <w:r w:rsidR="000C5B3C">
        <w:rPr>
          <w:rFonts w:ascii="Times New Roman" w:hAnsi="Times New Roman" w:cs="Times New Roman"/>
        </w:rPr>
        <w:fldChar w:fldCharType="end"/>
      </w:r>
      <w:r w:rsidR="000C5B3C">
        <w:rPr>
          <w:rFonts w:ascii="Times New Roman" w:hAnsi="Times New Roman" w:cs="Times New Roman"/>
        </w:rPr>
      </w:r>
      <w:r w:rsidR="000C5B3C">
        <w:rPr>
          <w:rFonts w:ascii="Times New Roman" w:hAnsi="Times New Roman" w:cs="Times New Roman"/>
        </w:rPr>
        <w:fldChar w:fldCharType="separate"/>
      </w:r>
      <w:r w:rsidR="000C5B3C" w:rsidRPr="000C5B3C">
        <w:rPr>
          <w:rFonts w:ascii="Times New Roman" w:hAnsi="Times New Roman" w:cs="Times New Roman"/>
          <w:noProof/>
          <w:vertAlign w:val="superscript"/>
        </w:rPr>
        <w:t>[1]</w:t>
      </w:r>
      <w:r w:rsidR="000C5B3C">
        <w:rPr>
          <w:rFonts w:ascii="Times New Roman" w:hAnsi="Times New Roman" w:cs="Times New Roman"/>
        </w:rPr>
        <w:fldChar w:fldCharType="end"/>
      </w:r>
      <w:r>
        <w:rPr>
          <w:rFonts w:ascii="Times New Roman" w:hAnsi="Times New Roman" w:cs="Times New Roman" w:hint="eastAsia"/>
        </w:rPr>
        <w:t xml:space="preserve">. </w:t>
      </w:r>
      <w:r w:rsidRPr="004B305E">
        <w:rPr>
          <w:rFonts w:ascii="Times New Roman" w:hAnsi="Times New Roman" w:cs="Times New Roman"/>
        </w:rPr>
        <w:t>This construct comprises the core extracellular domain of human BCMA (residues A5 to A54). To facilitate recombinant expression and high-purity isolation, a 6xHis-SUMO dual tag was incorporated at the N-terminus of the protein. The final, tag-free BED protein was obtained following site-specific proteolytic cleavage with Ulp1 protease.</w:t>
      </w:r>
    </w:p>
    <w:p w14:paraId="52F0FCFC" w14:textId="77777777" w:rsidR="008E63C5" w:rsidRPr="004B305E" w:rsidRDefault="008E63C5" w:rsidP="008E63C5">
      <w:pPr>
        <w:tabs>
          <w:tab w:val="left" w:pos="1243"/>
        </w:tabs>
        <w:jc w:val="both"/>
        <w:rPr>
          <w:rFonts w:ascii="Times New Roman" w:hAnsi="Times New Roman" w:cs="Times New Roman"/>
          <w:b/>
          <w:bCs/>
        </w:rPr>
      </w:pPr>
      <w:r w:rsidRPr="004B305E">
        <w:rPr>
          <w:rFonts w:ascii="Times New Roman" w:hAnsi="Times New Roman" w:cs="Times New Roman"/>
          <w:b/>
          <w:bCs/>
        </w:rPr>
        <w:t>6xHis-SUMO-BED sequence:</w:t>
      </w:r>
    </w:p>
    <w:p w14:paraId="0226403E" w14:textId="77777777" w:rsidR="008E63C5" w:rsidRPr="004B305E" w:rsidRDefault="008E63C5" w:rsidP="008E63C5">
      <w:pPr>
        <w:tabs>
          <w:tab w:val="left" w:pos="1243"/>
        </w:tabs>
        <w:jc w:val="both"/>
        <w:rPr>
          <w:rFonts w:ascii="Times New Roman" w:hAnsi="Times New Roman" w:cs="Times New Roman"/>
        </w:rPr>
      </w:pPr>
      <w:r w:rsidRPr="004B305E">
        <w:rPr>
          <w:rFonts w:ascii="Times New Roman" w:hAnsi="Times New Roman" w:cs="Times New Roman"/>
        </w:rPr>
        <w:t>MGSSHHHHHHSSGMSDSEVNQEAKPEVKPEVKPETHINLKVSDGSSEIFFKIKKTTPLRRLMEAFAKRQGKEMDSLRFLYDGIRIQADQTPEDLDMEDNDIIEAHREQIGG</w:t>
      </w:r>
      <w:r w:rsidRPr="00C80C20">
        <w:rPr>
          <w:rFonts w:ascii="Times New Roman" w:hAnsi="Times New Roman" w:cs="Times New Roman"/>
          <w:b/>
          <w:bCs/>
        </w:rPr>
        <w:t>AGQCSQNEYFDSLLHACIPCQLRCSSNTPPLTCQRYCNASVTNSVKGTNA</w:t>
      </w:r>
    </w:p>
    <w:p w14:paraId="107B4532" w14:textId="77777777" w:rsidR="008E63C5" w:rsidRPr="004B305E" w:rsidRDefault="008E63C5" w:rsidP="008E63C5">
      <w:pPr>
        <w:tabs>
          <w:tab w:val="left" w:pos="1243"/>
        </w:tabs>
        <w:jc w:val="both"/>
        <w:rPr>
          <w:rFonts w:ascii="Times New Roman" w:hAnsi="Times New Roman" w:cs="Times New Roman"/>
          <w:b/>
          <w:bCs/>
        </w:rPr>
      </w:pPr>
      <w:r w:rsidRPr="004B305E">
        <w:rPr>
          <w:rFonts w:ascii="Times New Roman" w:hAnsi="Times New Roman" w:cs="Times New Roman"/>
          <w:b/>
          <w:bCs/>
        </w:rPr>
        <w:t>Tag-free BED sequence:</w:t>
      </w:r>
    </w:p>
    <w:p w14:paraId="641A4B42" w14:textId="77777777" w:rsidR="008E63C5" w:rsidRDefault="008E63C5" w:rsidP="008E63C5">
      <w:pPr>
        <w:tabs>
          <w:tab w:val="left" w:pos="1243"/>
        </w:tabs>
        <w:jc w:val="both"/>
        <w:rPr>
          <w:rFonts w:ascii="Times New Roman" w:hAnsi="Times New Roman" w:cs="Times New Roman"/>
        </w:rPr>
      </w:pPr>
      <w:r w:rsidRPr="004B305E">
        <w:rPr>
          <w:rFonts w:ascii="Times New Roman" w:hAnsi="Times New Roman" w:cs="Times New Roman"/>
        </w:rPr>
        <w:t>AGQCSQNEYFDSLLHACIPCQLRCSSNTPPLTCQRYCNASVTNSVKGTNA</w:t>
      </w:r>
    </w:p>
    <w:p w14:paraId="47FF60B8" w14:textId="51142039" w:rsidR="008E63C5" w:rsidRDefault="008E63C5" w:rsidP="006E06F8">
      <w:pPr>
        <w:jc w:val="both"/>
        <w:rPr>
          <w:rFonts w:ascii="Times New Roman" w:hAnsi="Times New Roman" w:cs="Times New Roman"/>
          <w:b/>
          <w:bCs/>
          <w:sz w:val="24"/>
        </w:rPr>
      </w:pPr>
      <w:r w:rsidRPr="006D0B11">
        <w:rPr>
          <w:noProof/>
        </w:rPr>
        <w:lastRenderedPageBreak/>
        <w:drawing>
          <wp:inline distT="0" distB="0" distL="0" distR="0" wp14:anchorId="0C25072C" wp14:editId="541B2057">
            <wp:extent cx="5274310" cy="2094865"/>
            <wp:effectExtent l="0" t="0" r="2540" b="635"/>
            <wp:docPr id="1470552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094865"/>
                    </a:xfrm>
                    <a:prstGeom prst="rect">
                      <a:avLst/>
                    </a:prstGeom>
                    <a:noFill/>
                    <a:ln>
                      <a:noFill/>
                    </a:ln>
                  </pic:spPr>
                </pic:pic>
              </a:graphicData>
            </a:graphic>
          </wp:inline>
        </w:drawing>
      </w:r>
    </w:p>
    <w:p w14:paraId="0C702ADE" w14:textId="25E7C864" w:rsidR="007D6A8F" w:rsidRDefault="004E3C52" w:rsidP="006E06F8">
      <w:pPr>
        <w:jc w:val="both"/>
        <w:rPr>
          <w:rFonts w:ascii="Times New Roman" w:hAnsi="Times New Roman" w:cs="Times New Roman"/>
          <w:sz w:val="24"/>
        </w:rPr>
      </w:pPr>
      <w:r w:rsidRPr="006E06F8">
        <w:rPr>
          <w:rFonts w:ascii="Times New Roman" w:hAnsi="Times New Roman" w:cs="Times New Roman"/>
          <w:b/>
          <w:bCs/>
          <w:sz w:val="24"/>
        </w:rPr>
        <w:t>Figure S1. Characterization of the BED and NOTA-BED probes.</w:t>
      </w:r>
      <w:r w:rsidRPr="006E06F8">
        <w:rPr>
          <w:rFonts w:ascii="Times New Roman" w:hAnsi="Times New Roman" w:cs="Times New Roman"/>
          <w:sz w:val="24"/>
        </w:rPr>
        <w:t xml:space="preserve"> (A) Characterization of BED and NOTA-BED via SDS-PAGE analysis. Coomassie staining of the gels for BED (Lane 1) and NOTA-BED (Lane 2) is presented. Lane M represents the molecular weight marker. (B) SEC-HPLC profile of the BED probe. Ultraviolet (UV) absorbance at 280 nm is recorded against retention time. </w:t>
      </w:r>
    </w:p>
    <w:p w14:paraId="25040F37" w14:textId="77777777" w:rsidR="004659BE" w:rsidRDefault="004659BE" w:rsidP="006E06F8">
      <w:pPr>
        <w:jc w:val="both"/>
        <w:rPr>
          <w:rFonts w:ascii="Times New Roman" w:hAnsi="Times New Roman" w:cs="Times New Roman"/>
          <w:sz w:val="24"/>
        </w:rPr>
      </w:pPr>
    </w:p>
    <w:p w14:paraId="128D6F90" w14:textId="0FBA50A8" w:rsidR="004659BE" w:rsidRPr="004659BE" w:rsidRDefault="004659BE" w:rsidP="004659BE">
      <w:pPr>
        <w:jc w:val="both"/>
        <w:rPr>
          <w:rFonts w:ascii="Times New Roman" w:hAnsi="Times New Roman" w:cs="Times New Roman"/>
          <w:sz w:val="24"/>
        </w:rPr>
      </w:pPr>
      <w:r w:rsidRPr="004659BE">
        <w:rPr>
          <w:rFonts w:ascii="Times New Roman" w:hAnsi="Times New Roman" w:cs="Times New Roman"/>
          <w:noProof/>
          <w:sz w:val="24"/>
        </w:rPr>
        <w:drawing>
          <wp:inline distT="0" distB="0" distL="0" distR="0" wp14:anchorId="5A693E72" wp14:editId="27C87445">
            <wp:extent cx="5274310" cy="3753485"/>
            <wp:effectExtent l="0" t="0" r="2540" b="0"/>
            <wp:docPr id="2062624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53485"/>
                    </a:xfrm>
                    <a:prstGeom prst="rect">
                      <a:avLst/>
                    </a:prstGeom>
                    <a:noFill/>
                    <a:ln>
                      <a:noFill/>
                    </a:ln>
                  </pic:spPr>
                </pic:pic>
              </a:graphicData>
            </a:graphic>
          </wp:inline>
        </w:drawing>
      </w:r>
    </w:p>
    <w:p w14:paraId="14AC27B9" w14:textId="2A693070" w:rsidR="003173EF" w:rsidRPr="006E06F8" w:rsidRDefault="007D6A8F" w:rsidP="006E06F8">
      <w:pPr>
        <w:jc w:val="both"/>
        <w:rPr>
          <w:rFonts w:ascii="Times New Roman" w:hAnsi="Times New Roman" w:cs="Times New Roman"/>
          <w:sz w:val="24"/>
        </w:rPr>
      </w:pPr>
      <w:r w:rsidRPr="006E06F8">
        <w:rPr>
          <w:rFonts w:ascii="Times New Roman" w:hAnsi="Times New Roman" w:cs="Times New Roman"/>
          <w:b/>
          <w:bCs/>
          <w:sz w:val="24"/>
        </w:rPr>
        <w:t>Figure S</w:t>
      </w:r>
      <w:r>
        <w:rPr>
          <w:rFonts w:ascii="Times New Roman" w:hAnsi="Times New Roman" w:cs="Times New Roman" w:hint="eastAsia"/>
          <w:b/>
          <w:bCs/>
          <w:sz w:val="24"/>
        </w:rPr>
        <w:t>2</w:t>
      </w:r>
      <w:r w:rsidRPr="006E06F8">
        <w:rPr>
          <w:rFonts w:ascii="Times New Roman" w:hAnsi="Times New Roman" w:cs="Times New Roman"/>
          <w:b/>
          <w:bCs/>
          <w:sz w:val="24"/>
        </w:rPr>
        <w:t>.</w:t>
      </w:r>
      <w:r w:rsidRPr="006E06F8">
        <w:rPr>
          <w:rFonts w:ascii="Times New Roman" w:hAnsi="Times New Roman" w:cs="Times New Roman"/>
          <w:sz w:val="24"/>
        </w:rPr>
        <w:t xml:space="preserve"> </w:t>
      </w:r>
      <w:r w:rsidR="004E3C52" w:rsidRPr="00547A4F">
        <w:rPr>
          <w:rFonts w:ascii="Times New Roman" w:hAnsi="Times New Roman" w:cs="Times New Roman"/>
          <w:b/>
          <w:bCs/>
          <w:sz w:val="24"/>
        </w:rPr>
        <w:t>Characterization of BED</w:t>
      </w:r>
      <w:r w:rsidRPr="00547A4F">
        <w:rPr>
          <w:rFonts w:ascii="Times New Roman" w:hAnsi="Times New Roman" w:cs="Times New Roman"/>
          <w:b/>
          <w:bCs/>
          <w:sz w:val="24"/>
        </w:rPr>
        <w:t xml:space="preserve"> (</w:t>
      </w:r>
      <w:r w:rsidRPr="00547A4F">
        <w:rPr>
          <w:rFonts w:ascii="Times New Roman" w:hAnsi="Times New Roman" w:cs="Times New Roman" w:hint="eastAsia"/>
          <w:b/>
          <w:bCs/>
          <w:sz w:val="24"/>
        </w:rPr>
        <w:t>A</w:t>
      </w:r>
      <w:r w:rsidRPr="00547A4F">
        <w:rPr>
          <w:rFonts w:ascii="Times New Roman" w:hAnsi="Times New Roman" w:cs="Times New Roman"/>
          <w:b/>
          <w:bCs/>
          <w:sz w:val="24"/>
        </w:rPr>
        <w:t>)</w:t>
      </w:r>
      <w:r w:rsidR="004E3C52" w:rsidRPr="00547A4F">
        <w:rPr>
          <w:rFonts w:ascii="Times New Roman" w:hAnsi="Times New Roman" w:cs="Times New Roman"/>
          <w:b/>
          <w:bCs/>
          <w:sz w:val="24"/>
        </w:rPr>
        <w:t xml:space="preserve"> and NOTA-BED</w:t>
      </w:r>
      <w:r w:rsidRPr="00547A4F">
        <w:rPr>
          <w:rFonts w:ascii="Times New Roman" w:hAnsi="Times New Roman" w:cs="Times New Roman"/>
          <w:b/>
          <w:bCs/>
          <w:sz w:val="24"/>
        </w:rPr>
        <w:t xml:space="preserve"> (</w:t>
      </w:r>
      <w:r w:rsidRPr="00547A4F">
        <w:rPr>
          <w:rFonts w:ascii="Times New Roman" w:hAnsi="Times New Roman" w:cs="Times New Roman" w:hint="eastAsia"/>
          <w:b/>
          <w:bCs/>
          <w:sz w:val="24"/>
        </w:rPr>
        <w:t>B</w:t>
      </w:r>
      <w:r w:rsidRPr="00547A4F">
        <w:rPr>
          <w:rFonts w:ascii="Times New Roman" w:hAnsi="Times New Roman" w:cs="Times New Roman"/>
          <w:b/>
          <w:bCs/>
          <w:sz w:val="24"/>
        </w:rPr>
        <w:t>)</w:t>
      </w:r>
      <w:r w:rsidR="004E3C52" w:rsidRPr="00547A4F">
        <w:rPr>
          <w:rFonts w:ascii="Times New Roman" w:hAnsi="Times New Roman" w:cs="Times New Roman"/>
          <w:b/>
          <w:bCs/>
          <w:sz w:val="24"/>
        </w:rPr>
        <w:t xml:space="preserve"> via TOF-MS.</w:t>
      </w:r>
      <w:r w:rsidR="00547A4F" w:rsidRPr="00547A4F">
        <w:rPr>
          <w:rFonts w:hint="eastAsia"/>
          <w:b/>
          <w:bCs/>
        </w:rPr>
        <w:t xml:space="preserve"> </w:t>
      </w:r>
      <w:r w:rsidR="00547A4F" w:rsidRPr="00547A4F">
        <w:rPr>
          <w:rFonts w:ascii="Times New Roman" w:hAnsi="Times New Roman" w:cs="Times New Roman"/>
          <w:sz w:val="24"/>
        </w:rPr>
        <w:t>TOF-MS confirmed the molecular mass and integrity of BED (A) and the successful conjugation of NOTA to BED (B).</w:t>
      </w:r>
    </w:p>
    <w:p w14:paraId="1AB8495F" w14:textId="77777777" w:rsidR="00045B1D" w:rsidRDefault="00045B1D">
      <w:pPr>
        <w:rPr>
          <w:rFonts w:hint="eastAsia"/>
        </w:rPr>
      </w:pPr>
    </w:p>
    <w:p w14:paraId="78F807F7" w14:textId="1873C2C6" w:rsidR="009E2D72" w:rsidRPr="009E2D72" w:rsidRDefault="009E2D72" w:rsidP="009E2D72">
      <w:pPr>
        <w:rPr>
          <w:rFonts w:hint="eastAsia"/>
        </w:rPr>
      </w:pPr>
      <w:r w:rsidRPr="009E2D72">
        <w:rPr>
          <w:noProof/>
        </w:rPr>
        <w:lastRenderedPageBreak/>
        <w:drawing>
          <wp:inline distT="0" distB="0" distL="0" distR="0" wp14:anchorId="5C81C1E3" wp14:editId="3AD30887">
            <wp:extent cx="5274310" cy="5908675"/>
            <wp:effectExtent l="0" t="0" r="2540" b="0"/>
            <wp:docPr id="1664950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908675"/>
                    </a:xfrm>
                    <a:prstGeom prst="rect">
                      <a:avLst/>
                    </a:prstGeom>
                    <a:noFill/>
                    <a:ln>
                      <a:noFill/>
                    </a:ln>
                  </pic:spPr>
                </pic:pic>
              </a:graphicData>
            </a:graphic>
          </wp:inline>
        </w:drawing>
      </w:r>
    </w:p>
    <w:p w14:paraId="716B527C" w14:textId="7223F7B0" w:rsidR="00843670" w:rsidRDefault="003C5525" w:rsidP="00843670">
      <w:pPr>
        <w:jc w:val="both"/>
        <w:rPr>
          <w:rFonts w:ascii="宋体" w:eastAsia="宋体" w:hAnsi="宋体" w:cs="宋体" w:hint="eastAsia"/>
          <w:kern w:val="0"/>
          <w:sz w:val="24"/>
          <w14:ligatures w14:val="none"/>
        </w:rPr>
      </w:pPr>
      <w:r w:rsidRPr="006E06F8">
        <w:rPr>
          <w:rFonts w:ascii="Times New Roman" w:hAnsi="Times New Roman" w:cs="Times New Roman"/>
          <w:b/>
          <w:bCs/>
          <w:sz w:val="24"/>
        </w:rPr>
        <w:t>Figure S</w:t>
      </w:r>
      <w:r w:rsidR="008A4E6A">
        <w:rPr>
          <w:rFonts w:ascii="Times New Roman" w:hAnsi="Times New Roman" w:cs="Times New Roman" w:hint="eastAsia"/>
          <w:b/>
          <w:bCs/>
          <w:sz w:val="24"/>
        </w:rPr>
        <w:t>3</w:t>
      </w:r>
      <w:r w:rsidR="00A52B09" w:rsidRPr="00A52B09">
        <w:rPr>
          <w:rFonts w:ascii="Times New Roman" w:hAnsi="Times New Roman" w:cs="Times New Roman" w:hint="eastAsia"/>
          <w:b/>
          <w:bCs/>
        </w:rPr>
        <w:t xml:space="preserve">. Longitudinal PET/MR and </w:t>
      </w:r>
      <w:r w:rsidR="00A52B09" w:rsidRPr="00A52B09">
        <w:rPr>
          <w:rFonts w:ascii="Times New Roman" w:hAnsi="Times New Roman" w:cs="Times New Roman"/>
          <w:b/>
          <w:bCs/>
        </w:rPr>
        <w:t xml:space="preserve">bioluminescence imaging </w:t>
      </w:r>
      <w:r w:rsidR="00A52B09" w:rsidRPr="00A52B09">
        <w:rPr>
          <w:rFonts w:ascii="Times New Roman" w:hAnsi="Times New Roman" w:cs="Times New Roman" w:hint="eastAsia"/>
          <w:b/>
          <w:bCs/>
        </w:rPr>
        <w:t>monitoring of BC19 CAR-T and PBS cohorts in the Raji lymphoma model.</w:t>
      </w:r>
      <w:r w:rsidR="00A52B09" w:rsidRPr="00A52B09">
        <w:rPr>
          <w:rFonts w:ascii="Times New Roman" w:hAnsi="Times New Roman" w:cs="Times New Roman" w:hint="eastAsia"/>
        </w:rPr>
        <w:t xml:space="preserve"> </w:t>
      </w:r>
      <w:r w:rsidR="00A52B09" w:rsidRPr="00A52B09">
        <w:rPr>
          <w:rFonts w:ascii="Times New Roman" w:hAnsi="Times New Roman" w:cs="Times New Roman"/>
        </w:rPr>
        <w:t>Ten female NCG mice (4–6 weeks old) were inoculated with Raji-Luc cells subcutaneously (day −10) and intravenously (day −2). On day 0, mice were randomized to receive 5 × 10</w:t>
      </w:r>
      <w:r w:rsidR="00A52B09" w:rsidRPr="00A52B09">
        <w:rPr>
          <w:rFonts w:ascii="Times New Roman" w:hAnsi="Times New Roman" w:cs="Times New Roman" w:hint="eastAsia"/>
          <w:vertAlign w:val="superscript"/>
        </w:rPr>
        <w:t>6</w:t>
      </w:r>
      <w:r w:rsidR="00A52B09" w:rsidRPr="00A52B09">
        <w:rPr>
          <w:rFonts w:ascii="Times New Roman" w:hAnsi="Times New Roman" w:cs="Times New Roman"/>
        </w:rPr>
        <w:t xml:space="preserve"> BC19 CAR-T cells (n = 5) or PBS (n = 5).</w:t>
      </w:r>
      <w:r w:rsidR="00A52B09" w:rsidRPr="00A52B09">
        <w:rPr>
          <w:rFonts w:ascii="Times New Roman" w:hAnsi="Times New Roman" w:cs="Times New Roman" w:hint="eastAsia"/>
        </w:rPr>
        <w:t xml:space="preserve"> (A) Serial [</w:t>
      </w:r>
      <w:r w:rsidR="00A52B09" w:rsidRPr="00151E1B">
        <w:rPr>
          <w:rFonts w:ascii="Times New Roman" w:hAnsi="Times New Roman" w:cs="Times New Roman" w:hint="eastAsia"/>
          <w:vertAlign w:val="superscript"/>
        </w:rPr>
        <w:t>68</w:t>
      </w:r>
      <w:r w:rsidR="00A52B09" w:rsidRPr="00A52B09">
        <w:rPr>
          <w:rFonts w:ascii="Times New Roman" w:hAnsi="Times New Roman" w:cs="Times New Roman" w:hint="eastAsia"/>
        </w:rPr>
        <w:t>Ga]Ga-NOTA-BED PET/MR imaging on days 1, 8, 12, 17, and 22. The CAR-T cohort includes all mice (R1</w:t>
      </w:r>
      <w:r w:rsidR="00A52B09" w:rsidRPr="00A52B09">
        <w:rPr>
          <w:rFonts w:ascii="Times New Roman" w:hAnsi="Times New Roman" w:cs="Times New Roman" w:hint="eastAsia"/>
        </w:rPr>
        <w:t>–</w:t>
      </w:r>
      <w:r w:rsidR="00A52B09" w:rsidRPr="00A52B09">
        <w:rPr>
          <w:rFonts w:ascii="Times New Roman" w:hAnsi="Times New Roman" w:cs="Times New Roman" w:hint="eastAsia"/>
        </w:rPr>
        <w:t xml:space="preserve">R5), whereas representative images are shown for the PBS group. </w:t>
      </w:r>
      <w:r w:rsidR="002930AB" w:rsidRPr="002930AB">
        <w:rPr>
          <w:rFonts w:ascii="Times New Roman" w:hAnsi="Times New Roman" w:cs="Times New Roman"/>
        </w:rPr>
        <w:t>Animals in the CAR-T cohort are categorized into "Fast", "Median", and "Slow" groups based on the kinetics of T cell expansion and tumor clearance.</w:t>
      </w:r>
      <w:r w:rsidR="002930AB">
        <w:rPr>
          <w:rFonts w:ascii="Times New Roman" w:hAnsi="Times New Roman" w:cs="Times New Roman" w:hint="eastAsia"/>
        </w:rPr>
        <w:t xml:space="preserve"> </w:t>
      </w:r>
      <w:r w:rsidR="00A52B09" w:rsidRPr="00A52B09">
        <w:rPr>
          <w:rFonts w:ascii="Times New Roman" w:hAnsi="Times New Roman" w:cs="Times New Roman" w:hint="eastAsia"/>
        </w:rPr>
        <w:t>Red crosses indicate missing scans due to death or excessive tumor burden. White dashed circles outline subcutaneous tumors. Radioactivity uptake is expressed as %ID/g (scale, 0</w:t>
      </w:r>
      <w:r w:rsidR="00A52B09" w:rsidRPr="00A52B09">
        <w:rPr>
          <w:rFonts w:ascii="Times New Roman" w:hAnsi="Times New Roman" w:cs="Times New Roman" w:hint="eastAsia"/>
        </w:rPr>
        <w:t>–</w:t>
      </w:r>
      <w:r w:rsidR="00A52B09" w:rsidRPr="00A52B09">
        <w:rPr>
          <w:rFonts w:ascii="Times New Roman" w:hAnsi="Times New Roman" w:cs="Times New Roman" w:hint="eastAsia"/>
        </w:rPr>
        <w:t xml:space="preserve">1.5). </w:t>
      </w:r>
      <w:r w:rsidR="00A52B09" w:rsidRPr="00A52B09">
        <w:rPr>
          <w:rFonts w:ascii="Times New Roman" w:hAnsi="Times New Roman" w:cs="Times New Roman"/>
        </w:rPr>
        <w:t xml:space="preserve">(B) Corresponding longitudinal BLI of the same mice to assess therapeutic response. </w:t>
      </w:r>
      <w:r w:rsidR="00496177" w:rsidRPr="00496177">
        <w:rPr>
          <w:rFonts w:ascii="Times New Roman" w:hAnsi="Times New Roman" w:cs="Times New Roman"/>
        </w:rPr>
        <w:t>Bioluminescence intensity is expressed as radiance (p/s/cm²/</w:t>
      </w:r>
      <w:proofErr w:type="spellStart"/>
      <w:r w:rsidR="00496177" w:rsidRPr="00496177">
        <w:rPr>
          <w:rFonts w:ascii="Times New Roman" w:hAnsi="Times New Roman" w:cs="Times New Roman"/>
        </w:rPr>
        <w:t>sr</w:t>
      </w:r>
      <w:proofErr w:type="spellEnd"/>
      <w:r w:rsidR="00496177" w:rsidRPr="00496177">
        <w:rPr>
          <w:rFonts w:ascii="Times New Roman" w:hAnsi="Times New Roman" w:cs="Times New Roman"/>
        </w:rPr>
        <w:t xml:space="preserve">), with the color scale ranging from 0 to </w:t>
      </w:r>
      <w:r w:rsidR="00496177">
        <w:rPr>
          <w:rFonts w:ascii="Times New Roman" w:hAnsi="Times New Roman" w:cs="Times New Roman" w:hint="eastAsia"/>
        </w:rPr>
        <w:t>1</w:t>
      </w:r>
      <w:r w:rsidR="00496177" w:rsidRPr="00496177">
        <w:rPr>
          <w:rFonts w:ascii="Times New Roman" w:hAnsi="Times New Roman" w:cs="Times New Roman"/>
        </w:rPr>
        <w:t>.0 × 10⁸ p/s/cm²/sr.</w:t>
      </w:r>
      <w:r w:rsidR="00843670" w:rsidRPr="00843670">
        <w:rPr>
          <w:rFonts w:ascii="宋体" w:eastAsia="宋体" w:hAnsi="宋体" w:cs="宋体"/>
          <w:kern w:val="0"/>
          <w:sz w:val="24"/>
          <w14:ligatures w14:val="none"/>
        </w:rPr>
        <w:t xml:space="preserve"> </w:t>
      </w:r>
    </w:p>
    <w:p w14:paraId="7FA042FD" w14:textId="7966CA0B" w:rsidR="00AD6B7D" w:rsidRDefault="00AD6B7D" w:rsidP="00AD6B7D">
      <w:pPr>
        <w:jc w:val="both"/>
        <w:rPr>
          <w:rFonts w:ascii="Times New Roman" w:hAnsi="Times New Roman" w:cs="Times New Roman"/>
          <w:b/>
          <w:bCs/>
          <w:sz w:val="24"/>
        </w:rPr>
      </w:pPr>
      <w:r w:rsidRPr="00F330E8">
        <w:rPr>
          <w:rFonts w:ascii="Times New Roman" w:hAnsi="Times New Roman" w:cs="Times New Roman"/>
          <w:noProof/>
        </w:rPr>
        <w:lastRenderedPageBreak/>
        <w:drawing>
          <wp:inline distT="0" distB="0" distL="0" distR="0" wp14:anchorId="7761F264" wp14:editId="1DDB42A7">
            <wp:extent cx="5274310" cy="1844675"/>
            <wp:effectExtent l="0" t="0" r="2540" b="3175"/>
            <wp:docPr id="6040659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844675"/>
                    </a:xfrm>
                    <a:prstGeom prst="rect">
                      <a:avLst/>
                    </a:prstGeom>
                    <a:noFill/>
                    <a:ln>
                      <a:noFill/>
                    </a:ln>
                  </pic:spPr>
                </pic:pic>
              </a:graphicData>
            </a:graphic>
          </wp:inline>
        </w:drawing>
      </w:r>
    </w:p>
    <w:p w14:paraId="4E0D467F" w14:textId="78B6BEE7" w:rsidR="00AD6B7D" w:rsidRDefault="00AD6B7D" w:rsidP="00AD6B7D">
      <w:pPr>
        <w:jc w:val="both"/>
        <w:rPr>
          <w:rFonts w:ascii="Times New Roman" w:hAnsi="Times New Roman" w:cs="Times New Roman"/>
        </w:rPr>
      </w:pPr>
      <w:r w:rsidRPr="006E06F8">
        <w:rPr>
          <w:rFonts w:ascii="Times New Roman" w:hAnsi="Times New Roman" w:cs="Times New Roman"/>
          <w:b/>
          <w:bCs/>
          <w:sz w:val="24"/>
        </w:rPr>
        <w:t>Figure S</w:t>
      </w:r>
      <w:r>
        <w:rPr>
          <w:rFonts w:ascii="Times New Roman" w:hAnsi="Times New Roman" w:cs="Times New Roman" w:hint="eastAsia"/>
          <w:b/>
          <w:bCs/>
          <w:sz w:val="24"/>
        </w:rPr>
        <w:t>4</w:t>
      </w:r>
      <w:r w:rsidRPr="006E06F8">
        <w:rPr>
          <w:rFonts w:ascii="Times New Roman" w:hAnsi="Times New Roman" w:cs="Times New Roman"/>
          <w:b/>
          <w:bCs/>
          <w:sz w:val="24"/>
        </w:rPr>
        <w:t>.</w:t>
      </w:r>
      <w:r w:rsidRPr="00357C77">
        <w:rPr>
          <w:rFonts w:ascii="Times New Roman" w:hAnsi="Times New Roman" w:cs="Times New Roman"/>
        </w:rPr>
        <w:t xml:space="preserve"> </w:t>
      </w:r>
      <w:r w:rsidRPr="00921DFE">
        <w:rPr>
          <w:rFonts w:ascii="Times New Roman" w:hAnsi="Times New Roman" w:cs="Times New Roman"/>
          <w:b/>
          <w:bCs/>
        </w:rPr>
        <w:t xml:space="preserve">Histopathological analysis of major organs in the Raji lymphoma model at the experimental endpoint. </w:t>
      </w:r>
      <w:r w:rsidRPr="00357C77">
        <w:rPr>
          <w:rFonts w:ascii="Times New Roman" w:hAnsi="Times New Roman" w:cs="Times New Roman"/>
        </w:rPr>
        <w:t>Representative H&amp;E-stained sections from BC19 CAR-T and PBS-treated groups are presented.</w:t>
      </w:r>
      <w:r w:rsidRPr="00F330E8">
        <w:rPr>
          <w:rFonts w:hint="eastAsia"/>
        </w:rPr>
        <w:t xml:space="preserve"> </w:t>
      </w:r>
      <w:r w:rsidRPr="00F330E8">
        <w:rPr>
          <w:rFonts w:ascii="Times New Roman" w:hAnsi="Times New Roman" w:cs="Times New Roman"/>
        </w:rPr>
        <w:t xml:space="preserve">Scale bars, 100 </w:t>
      </w:r>
      <w:proofErr w:type="spellStart"/>
      <w:r w:rsidRPr="00F330E8">
        <w:rPr>
          <w:rFonts w:ascii="Times New Roman" w:hAnsi="Times New Roman" w:cs="Times New Roman"/>
        </w:rPr>
        <w:t>μm</w:t>
      </w:r>
      <w:proofErr w:type="spellEnd"/>
      <w:r w:rsidRPr="00F330E8">
        <w:rPr>
          <w:rFonts w:ascii="Times New Roman" w:hAnsi="Times New Roman" w:cs="Times New Roman"/>
        </w:rPr>
        <w:t>.</w:t>
      </w:r>
    </w:p>
    <w:p w14:paraId="530030BC" w14:textId="77777777" w:rsidR="00AD6B7D" w:rsidRDefault="00AD6B7D" w:rsidP="00843670">
      <w:pPr>
        <w:jc w:val="both"/>
        <w:rPr>
          <w:rFonts w:ascii="宋体" w:eastAsia="宋体" w:hAnsi="宋体" w:cs="宋体" w:hint="eastAsia"/>
          <w:kern w:val="0"/>
          <w:sz w:val="24"/>
          <w14:ligatures w14:val="none"/>
        </w:rPr>
      </w:pPr>
    </w:p>
    <w:p w14:paraId="300DFBE5" w14:textId="77777777" w:rsidR="00AD6B7D" w:rsidRDefault="00AD6B7D" w:rsidP="00843670">
      <w:pPr>
        <w:jc w:val="both"/>
        <w:rPr>
          <w:rFonts w:ascii="宋体" w:eastAsia="宋体" w:hAnsi="宋体" w:cs="宋体" w:hint="eastAsia"/>
          <w:kern w:val="0"/>
          <w:sz w:val="24"/>
          <w14:ligatures w14:val="none"/>
        </w:rPr>
      </w:pPr>
    </w:p>
    <w:p w14:paraId="4BB6AF47" w14:textId="77777777" w:rsidR="00AD6B7D" w:rsidRDefault="00AD6B7D" w:rsidP="00843670">
      <w:pPr>
        <w:jc w:val="both"/>
        <w:rPr>
          <w:rFonts w:ascii="宋体" w:eastAsia="宋体" w:hAnsi="宋体" w:cs="宋体" w:hint="eastAsia"/>
          <w:kern w:val="0"/>
          <w:sz w:val="24"/>
          <w14:ligatures w14:val="none"/>
        </w:rPr>
      </w:pPr>
    </w:p>
    <w:p w14:paraId="54C66707" w14:textId="77777777" w:rsidR="00AD6B7D" w:rsidRDefault="00AD6B7D" w:rsidP="00843670">
      <w:pPr>
        <w:jc w:val="both"/>
        <w:rPr>
          <w:rFonts w:ascii="宋体" w:eastAsia="宋体" w:hAnsi="宋体" w:cs="宋体" w:hint="eastAsia"/>
          <w:kern w:val="0"/>
          <w:sz w:val="24"/>
          <w14:ligatures w14:val="none"/>
        </w:rPr>
      </w:pPr>
    </w:p>
    <w:p w14:paraId="63124347" w14:textId="77777777" w:rsidR="00AD6B7D" w:rsidRDefault="00AD6B7D" w:rsidP="00843670">
      <w:pPr>
        <w:jc w:val="both"/>
        <w:rPr>
          <w:rFonts w:ascii="宋体" w:eastAsia="宋体" w:hAnsi="宋体" w:cs="宋体" w:hint="eastAsia"/>
          <w:kern w:val="0"/>
          <w:sz w:val="24"/>
          <w14:ligatures w14:val="none"/>
        </w:rPr>
      </w:pPr>
    </w:p>
    <w:p w14:paraId="35F703C0" w14:textId="77777777" w:rsidR="00AD6B7D" w:rsidRDefault="00AD6B7D" w:rsidP="00843670">
      <w:pPr>
        <w:jc w:val="both"/>
        <w:rPr>
          <w:rFonts w:ascii="宋体" w:eastAsia="宋体" w:hAnsi="宋体" w:cs="宋体" w:hint="eastAsia"/>
          <w:kern w:val="0"/>
          <w:sz w:val="24"/>
          <w14:ligatures w14:val="none"/>
        </w:rPr>
      </w:pPr>
    </w:p>
    <w:p w14:paraId="1F0A7BC8" w14:textId="77777777" w:rsidR="00AD6B7D" w:rsidRPr="00843670" w:rsidRDefault="00AD6B7D" w:rsidP="00843670">
      <w:pPr>
        <w:jc w:val="both"/>
        <w:rPr>
          <w:rFonts w:ascii="Times New Roman" w:hAnsi="Times New Roman" w:cs="Times New Roman"/>
        </w:rPr>
      </w:pPr>
    </w:p>
    <w:p w14:paraId="5D3B6AD3" w14:textId="0C34F28E" w:rsidR="007F5B73" w:rsidRPr="007F5B73" w:rsidRDefault="007F5B73" w:rsidP="007F5B73">
      <w:pPr>
        <w:jc w:val="both"/>
        <w:rPr>
          <w:rFonts w:ascii="Times New Roman" w:hAnsi="Times New Roman" w:cs="Times New Roman"/>
          <w:b/>
          <w:bCs/>
          <w:sz w:val="24"/>
        </w:rPr>
      </w:pPr>
      <w:r w:rsidRPr="007F5B73">
        <w:rPr>
          <w:rFonts w:ascii="Times New Roman" w:hAnsi="Times New Roman" w:cs="Times New Roman"/>
          <w:b/>
          <w:bCs/>
          <w:noProof/>
          <w:sz w:val="24"/>
        </w:rPr>
        <w:lastRenderedPageBreak/>
        <w:drawing>
          <wp:inline distT="0" distB="0" distL="0" distR="0" wp14:anchorId="19729E9B" wp14:editId="18D6ACCE">
            <wp:extent cx="5274310" cy="7505065"/>
            <wp:effectExtent l="0" t="0" r="2540" b="635"/>
            <wp:docPr id="6535809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505065"/>
                    </a:xfrm>
                    <a:prstGeom prst="rect">
                      <a:avLst/>
                    </a:prstGeom>
                    <a:noFill/>
                    <a:ln>
                      <a:noFill/>
                    </a:ln>
                  </pic:spPr>
                </pic:pic>
              </a:graphicData>
            </a:graphic>
          </wp:inline>
        </w:drawing>
      </w:r>
    </w:p>
    <w:p w14:paraId="49E79FD7" w14:textId="0820B895" w:rsidR="00CB0ACD" w:rsidRDefault="004C4836" w:rsidP="00C46131">
      <w:pPr>
        <w:jc w:val="both"/>
        <w:rPr>
          <w:rFonts w:ascii="Times New Roman" w:hAnsi="Times New Roman" w:cs="Times New Roman"/>
        </w:rPr>
      </w:pPr>
      <w:r w:rsidRPr="006E06F8">
        <w:rPr>
          <w:rFonts w:ascii="Times New Roman" w:hAnsi="Times New Roman" w:cs="Times New Roman"/>
          <w:b/>
          <w:bCs/>
          <w:sz w:val="24"/>
        </w:rPr>
        <w:t>Figure S</w:t>
      </w:r>
      <w:r w:rsidR="00083E74">
        <w:rPr>
          <w:rFonts w:ascii="Times New Roman" w:hAnsi="Times New Roman" w:cs="Times New Roman" w:hint="eastAsia"/>
          <w:b/>
          <w:bCs/>
          <w:sz w:val="24"/>
        </w:rPr>
        <w:t>5</w:t>
      </w:r>
      <w:r w:rsidR="00C46131" w:rsidRPr="00C46131">
        <w:rPr>
          <w:rFonts w:ascii="Times New Roman" w:hAnsi="Times New Roman" w:cs="Times New Roman" w:hint="eastAsia"/>
          <w:b/>
          <w:bCs/>
        </w:rPr>
        <w:t>. Longitudinal PET/MR monitoring of BC19 CAR-T, MOCK-T, and PBS cohorts in the U266 myeloma model.</w:t>
      </w:r>
      <w:r w:rsidR="00C46131">
        <w:rPr>
          <w:rFonts w:ascii="Times New Roman" w:hAnsi="Times New Roman" w:cs="Times New Roman" w:hint="eastAsia"/>
          <w:b/>
          <w:bCs/>
        </w:rPr>
        <w:t xml:space="preserve"> </w:t>
      </w:r>
      <w:r w:rsidR="00C46131" w:rsidRPr="00C46131">
        <w:rPr>
          <w:rFonts w:ascii="Times New Roman" w:hAnsi="Times New Roman" w:cs="Times New Roman"/>
        </w:rPr>
        <w:t>Twelve female NCG mice (4–6 weeks old) were inoculated with U266-Luc cells subcutaneously (day −7) and intravenously (day −2). On day 0, mice were randomized to receive 5 × 10</w:t>
      </w:r>
      <w:r w:rsidR="00C46131" w:rsidRPr="00C46131">
        <w:rPr>
          <w:rFonts w:ascii="Times New Roman" w:hAnsi="Times New Roman" w:cs="Times New Roman" w:hint="eastAsia"/>
          <w:vertAlign w:val="superscript"/>
        </w:rPr>
        <w:t>6</w:t>
      </w:r>
      <w:r w:rsidR="00C46131" w:rsidRPr="00C46131">
        <w:rPr>
          <w:rFonts w:ascii="Times New Roman" w:hAnsi="Times New Roman" w:cs="Times New Roman"/>
        </w:rPr>
        <w:t xml:space="preserve"> BC19 CAR-T cells (n = 6), MOCK-T cells (n = 3), or PBS (n = 3).</w:t>
      </w:r>
      <w:r w:rsidR="00C46131">
        <w:rPr>
          <w:rFonts w:ascii="Times New Roman" w:hAnsi="Times New Roman" w:cs="Times New Roman" w:hint="eastAsia"/>
        </w:rPr>
        <w:t xml:space="preserve"> </w:t>
      </w:r>
      <w:r w:rsidR="00C46131" w:rsidRPr="00C46131">
        <w:rPr>
          <w:rFonts w:ascii="Times New Roman" w:hAnsi="Times New Roman" w:cs="Times New Roman" w:hint="eastAsia"/>
        </w:rPr>
        <w:t>(A</w:t>
      </w:r>
      <w:r w:rsidR="00C46131" w:rsidRPr="00C46131">
        <w:rPr>
          <w:rFonts w:ascii="Times New Roman" w:hAnsi="Times New Roman" w:cs="Times New Roman" w:hint="eastAsia"/>
        </w:rPr>
        <w:t>–</w:t>
      </w:r>
      <w:r w:rsidR="00C46131" w:rsidRPr="00C46131">
        <w:rPr>
          <w:rFonts w:ascii="Times New Roman" w:hAnsi="Times New Roman" w:cs="Times New Roman" w:hint="eastAsia"/>
        </w:rPr>
        <w:t>B) Serial [</w:t>
      </w:r>
      <w:r w:rsidR="00C46131" w:rsidRPr="00C46131">
        <w:rPr>
          <w:rFonts w:ascii="Times New Roman" w:hAnsi="Times New Roman" w:cs="Times New Roman" w:hint="eastAsia"/>
          <w:vertAlign w:val="superscript"/>
        </w:rPr>
        <w:t>68</w:t>
      </w:r>
      <w:r w:rsidR="00C46131" w:rsidRPr="00C46131">
        <w:rPr>
          <w:rFonts w:ascii="Times New Roman" w:hAnsi="Times New Roman" w:cs="Times New Roman" w:hint="eastAsia"/>
        </w:rPr>
        <w:t xml:space="preserve">Ga]Ga-NOTA-BED PET/MR imaging of the BC19 CAR-T </w:t>
      </w:r>
      <w:r w:rsidR="00C46131" w:rsidRPr="00C46131">
        <w:rPr>
          <w:rFonts w:ascii="Times New Roman" w:hAnsi="Times New Roman" w:cs="Times New Roman" w:hint="eastAsia"/>
        </w:rPr>
        <w:lastRenderedPageBreak/>
        <w:t xml:space="preserve">cohort on days 4, 11, 14, 18, and 21, stratified into (A) </w:t>
      </w:r>
      <w:r w:rsidR="00C46131" w:rsidRPr="00C46131">
        <w:rPr>
          <w:rFonts w:ascii="Times New Roman" w:hAnsi="Times New Roman" w:cs="Times New Roman" w:hint="eastAsia"/>
        </w:rPr>
        <w:t>“</w:t>
      </w:r>
      <w:r w:rsidR="00C46131" w:rsidRPr="00C46131">
        <w:rPr>
          <w:rFonts w:ascii="Times New Roman" w:hAnsi="Times New Roman" w:cs="Times New Roman" w:hint="eastAsia"/>
        </w:rPr>
        <w:t>Cure</w:t>
      </w:r>
      <w:r w:rsidR="00C46131" w:rsidRPr="00C46131">
        <w:rPr>
          <w:rFonts w:ascii="Times New Roman" w:hAnsi="Times New Roman" w:cs="Times New Roman" w:hint="eastAsia"/>
        </w:rPr>
        <w:t>”</w:t>
      </w:r>
      <w:r w:rsidR="00C46131" w:rsidRPr="00C46131">
        <w:rPr>
          <w:rFonts w:ascii="Times New Roman" w:hAnsi="Times New Roman" w:cs="Times New Roman" w:hint="eastAsia"/>
        </w:rPr>
        <w:t xml:space="preserve"> and (B) </w:t>
      </w:r>
      <w:r w:rsidR="00C46131" w:rsidRPr="00C46131">
        <w:rPr>
          <w:rFonts w:ascii="Times New Roman" w:hAnsi="Times New Roman" w:cs="Times New Roman" w:hint="eastAsia"/>
        </w:rPr>
        <w:t>“</w:t>
      </w:r>
      <w:r w:rsidR="00C46131" w:rsidRPr="00C46131">
        <w:rPr>
          <w:rFonts w:ascii="Times New Roman" w:hAnsi="Times New Roman" w:cs="Times New Roman" w:hint="eastAsia"/>
        </w:rPr>
        <w:t>Progress</w:t>
      </w:r>
      <w:r w:rsidR="00C46131" w:rsidRPr="00C46131">
        <w:rPr>
          <w:rFonts w:ascii="Times New Roman" w:hAnsi="Times New Roman" w:cs="Times New Roman" w:hint="eastAsia"/>
        </w:rPr>
        <w:t>”</w:t>
      </w:r>
      <w:r w:rsidR="00C46131" w:rsidRPr="00C46131">
        <w:rPr>
          <w:rFonts w:ascii="Times New Roman" w:hAnsi="Times New Roman" w:cs="Times New Roman" w:hint="eastAsia"/>
        </w:rPr>
        <w:t xml:space="preserve"> phenotypes according to the kinetics of T cell expansion and tumor regression.</w:t>
      </w:r>
      <w:r w:rsidR="00C46131">
        <w:rPr>
          <w:rFonts w:ascii="Times New Roman" w:hAnsi="Times New Roman" w:cs="Times New Roman" w:hint="eastAsia"/>
        </w:rPr>
        <w:t xml:space="preserve"> </w:t>
      </w:r>
      <w:r w:rsidR="00C46131" w:rsidRPr="00C46131">
        <w:rPr>
          <w:rFonts w:ascii="Times New Roman" w:hAnsi="Times New Roman" w:cs="Times New Roman" w:hint="eastAsia"/>
        </w:rPr>
        <w:t>(C</w:t>
      </w:r>
      <w:r w:rsidR="00C46131" w:rsidRPr="00C46131">
        <w:rPr>
          <w:rFonts w:ascii="Times New Roman" w:hAnsi="Times New Roman" w:cs="Times New Roman" w:hint="eastAsia"/>
        </w:rPr>
        <w:t>–</w:t>
      </w:r>
      <w:r w:rsidR="00C46131" w:rsidRPr="00C46131">
        <w:rPr>
          <w:rFonts w:ascii="Times New Roman" w:hAnsi="Times New Roman" w:cs="Times New Roman" w:hint="eastAsia"/>
        </w:rPr>
        <w:t>D) Representative longitudinal PET/MR images from mice in the (C) MOCK-T</w:t>
      </w:r>
      <w:r w:rsidR="00C46131" w:rsidRPr="00C46131">
        <w:rPr>
          <w:rFonts w:ascii="Times New Roman" w:hAnsi="Times New Roman" w:cs="Times New Roman" w:hint="eastAsia"/>
        </w:rPr>
        <w:t>–</w:t>
      </w:r>
      <w:r w:rsidR="00C46131" w:rsidRPr="00C46131">
        <w:rPr>
          <w:rFonts w:ascii="Times New Roman" w:hAnsi="Times New Roman" w:cs="Times New Roman" w:hint="eastAsia"/>
        </w:rPr>
        <w:t>treated and (D) PBS-treated groups. White dashed circles delineate subcutaneous tumor regions. Red crosses indicate missing scans due to death or excessive tumor burden. Radioactivity uptake is expressed as %ID/g (scale, 0</w:t>
      </w:r>
      <w:r w:rsidR="00C46131" w:rsidRPr="00C46131">
        <w:rPr>
          <w:rFonts w:ascii="Times New Roman" w:hAnsi="Times New Roman" w:cs="Times New Roman" w:hint="eastAsia"/>
        </w:rPr>
        <w:t>–</w:t>
      </w:r>
      <w:r w:rsidR="00C46131" w:rsidRPr="00C46131">
        <w:rPr>
          <w:rFonts w:ascii="Times New Roman" w:hAnsi="Times New Roman" w:cs="Times New Roman" w:hint="eastAsia"/>
        </w:rPr>
        <w:t>1.5).</w:t>
      </w:r>
    </w:p>
    <w:p w14:paraId="540A3170" w14:textId="77777777" w:rsidR="00CB0ACD" w:rsidRDefault="00CB0ACD" w:rsidP="00A52B09">
      <w:pPr>
        <w:jc w:val="both"/>
        <w:rPr>
          <w:rFonts w:ascii="Times New Roman" w:hAnsi="Times New Roman" w:cs="Times New Roman"/>
        </w:rPr>
      </w:pPr>
    </w:p>
    <w:p w14:paraId="6D633119" w14:textId="06CCD948" w:rsidR="00CB0ACD" w:rsidRDefault="00AD6B7D" w:rsidP="00A52B09">
      <w:pPr>
        <w:jc w:val="both"/>
        <w:rPr>
          <w:rFonts w:ascii="Times New Roman" w:hAnsi="Times New Roman" w:cs="Times New Roman"/>
        </w:rPr>
      </w:pPr>
      <w:r w:rsidRPr="00F330E8">
        <w:rPr>
          <w:rFonts w:ascii="Times New Roman" w:hAnsi="Times New Roman" w:cs="Times New Roman"/>
          <w:noProof/>
        </w:rPr>
        <w:drawing>
          <wp:inline distT="0" distB="0" distL="0" distR="0" wp14:anchorId="7BB85553" wp14:editId="44C57618">
            <wp:extent cx="5274310" cy="2541905"/>
            <wp:effectExtent l="0" t="0" r="2540" b="0"/>
            <wp:docPr id="15774078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41905"/>
                    </a:xfrm>
                    <a:prstGeom prst="rect">
                      <a:avLst/>
                    </a:prstGeom>
                    <a:noFill/>
                    <a:ln>
                      <a:noFill/>
                    </a:ln>
                  </pic:spPr>
                </pic:pic>
              </a:graphicData>
            </a:graphic>
          </wp:inline>
        </w:drawing>
      </w:r>
    </w:p>
    <w:p w14:paraId="6FCDF76E" w14:textId="7D0B1C7C" w:rsidR="00AD6B7D" w:rsidRPr="00357C77" w:rsidRDefault="00AD6B7D" w:rsidP="00AD6B7D">
      <w:pPr>
        <w:jc w:val="both"/>
        <w:rPr>
          <w:rFonts w:ascii="Times New Roman" w:hAnsi="Times New Roman" w:cs="Times New Roman"/>
        </w:rPr>
      </w:pPr>
      <w:r w:rsidRPr="006E06F8">
        <w:rPr>
          <w:rFonts w:ascii="Times New Roman" w:hAnsi="Times New Roman" w:cs="Times New Roman"/>
          <w:b/>
          <w:bCs/>
          <w:sz w:val="24"/>
        </w:rPr>
        <w:t>Figure S</w:t>
      </w:r>
      <w:r w:rsidR="00083E74">
        <w:rPr>
          <w:rFonts w:ascii="Times New Roman" w:hAnsi="Times New Roman" w:cs="Times New Roman" w:hint="eastAsia"/>
          <w:b/>
          <w:bCs/>
          <w:sz w:val="24"/>
        </w:rPr>
        <w:t>6</w:t>
      </w:r>
      <w:r w:rsidRPr="006E06F8">
        <w:rPr>
          <w:rFonts w:ascii="Times New Roman" w:hAnsi="Times New Roman" w:cs="Times New Roman"/>
          <w:b/>
          <w:bCs/>
          <w:sz w:val="24"/>
        </w:rPr>
        <w:t>.</w:t>
      </w:r>
      <w:r w:rsidRPr="00357C77">
        <w:rPr>
          <w:rFonts w:ascii="Times New Roman" w:hAnsi="Times New Roman" w:cs="Times New Roman"/>
        </w:rPr>
        <w:t xml:space="preserve"> </w:t>
      </w:r>
      <w:r w:rsidRPr="00921DFE">
        <w:rPr>
          <w:rFonts w:ascii="Times New Roman" w:hAnsi="Times New Roman" w:cs="Times New Roman"/>
          <w:b/>
          <w:bCs/>
        </w:rPr>
        <w:t>Histopathological analysis of major organs in the U266 myeloma model at the experimental endpoint.</w:t>
      </w:r>
      <w:r w:rsidRPr="00357C77">
        <w:rPr>
          <w:rFonts w:ascii="Times New Roman" w:hAnsi="Times New Roman" w:cs="Times New Roman"/>
        </w:rPr>
        <w:t xml:space="preserve"> Representative H&amp;E-stained sections from BC19 CAR-T, MOCK-T, and PBS-treated groups are </w:t>
      </w:r>
      <w:proofErr w:type="spellStart"/>
      <w:proofErr w:type="gramStart"/>
      <w:r w:rsidRPr="00357C77">
        <w:rPr>
          <w:rFonts w:ascii="Times New Roman" w:hAnsi="Times New Roman" w:cs="Times New Roman"/>
        </w:rPr>
        <w:t>shown.Scale</w:t>
      </w:r>
      <w:proofErr w:type="spellEnd"/>
      <w:proofErr w:type="gramEnd"/>
      <w:r w:rsidRPr="00357C77">
        <w:rPr>
          <w:rFonts w:ascii="Times New Roman" w:hAnsi="Times New Roman" w:cs="Times New Roman"/>
        </w:rPr>
        <w:t xml:space="preserve"> bars, </w:t>
      </w:r>
      <w:r w:rsidRPr="00357C77">
        <w:rPr>
          <w:rFonts w:ascii="Times New Roman" w:hAnsi="Times New Roman" w:cs="Times New Roman"/>
          <w:color w:val="0F1115"/>
          <w:shd w:val="clear" w:color="auto" w:fill="FFFFFF"/>
        </w:rPr>
        <w:t xml:space="preserve">100 </w:t>
      </w:r>
      <w:proofErr w:type="spellStart"/>
      <w:r w:rsidRPr="00357C77">
        <w:rPr>
          <w:rFonts w:ascii="Times New Roman" w:hAnsi="Times New Roman" w:cs="Times New Roman"/>
          <w:color w:val="0F1115"/>
          <w:shd w:val="clear" w:color="auto" w:fill="FFFFFF"/>
        </w:rPr>
        <w:t>μm</w:t>
      </w:r>
      <w:proofErr w:type="spellEnd"/>
      <w:r w:rsidRPr="00357C77">
        <w:rPr>
          <w:rFonts w:ascii="Times New Roman" w:hAnsi="Times New Roman" w:cs="Times New Roman"/>
        </w:rPr>
        <w:t>.</w:t>
      </w:r>
    </w:p>
    <w:p w14:paraId="3D67B532" w14:textId="77777777" w:rsidR="00CB0ACD" w:rsidRPr="00AD6B7D" w:rsidRDefault="00CB0ACD" w:rsidP="00A52B09">
      <w:pPr>
        <w:jc w:val="both"/>
        <w:rPr>
          <w:rFonts w:ascii="Times New Roman" w:hAnsi="Times New Roman" w:cs="Times New Roman"/>
        </w:rPr>
      </w:pPr>
    </w:p>
    <w:p w14:paraId="46F6DF66" w14:textId="77777777" w:rsidR="00CB0ACD" w:rsidRDefault="00CB0ACD" w:rsidP="00A52B09">
      <w:pPr>
        <w:jc w:val="both"/>
        <w:rPr>
          <w:rFonts w:ascii="Times New Roman" w:hAnsi="Times New Roman" w:cs="Times New Roman"/>
        </w:rPr>
      </w:pPr>
    </w:p>
    <w:p w14:paraId="7E5003D3" w14:textId="77777777" w:rsidR="00CB0ACD" w:rsidRDefault="00CB0ACD" w:rsidP="00A52B09">
      <w:pPr>
        <w:jc w:val="both"/>
        <w:rPr>
          <w:rFonts w:ascii="Times New Roman" w:hAnsi="Times New Roman" w:cs="Times New Roman"/>
        </w:rPr>
      </w:pPr>
    </w:p>
    <w:p w14:paraId="13F7BA4B" w14:textId="77777777" w:rsidR="00CB0ACD" w:rsidRDefault="00CB0ACD" w:rsidP="00A52B09">
      <w:pPr>
        <w:jc w:val="both"/>
        <w:rPr>
          <w:rFonts w:ascii="Times New Roman" w:hAnsi="Times New Roman" w:cs="Times New Roman"/>
        </w:rPr>
      </w:pPr>
    </w:p>
    <w:p w14:paraId="5AC9084C" w14:textId="77777777" w:rsidR="00CB0ACD" w:rsidRDefault="00CB0ACD" w:rsidP="00A52B09">
      <w:pPr>
        <w:jc w:val="both"/>
        <w:rPr>
          <w:rFonts w:ascii="Times New Roman" w:hAnsi="Times New Roman" w:cs="Times New Roman"/>
        </w:rPr>
      </w:pPr>
    </w:p>
    <w:p w14:paraId="38268E07" w14:textId="77777777" w:rsidR="00CB0ACD" w:rsidRDefault="00CB0ACD" w:rsidP="00A52B09">
      <w:pPr>
        <w:jc w:val="both"/>
        <w:rPr>
          <w:rFonts w:ascii="Times New Roman" w:hAnsi="Times New Roman" w:cs="Times New Roman"/>
        </w:rPr>
      </w:pPr>
    </w:p>
    <w:p w14:paraId="25005E50" w14:textId="77777777" w:rsidR="00101C2A" w:rsidRPr="00843670" w:rsidRDefault="00101C2A" w:rsidP="00A52B09">
      <w:pPr>
        <w:jc w:val="both"/>
        <w:rPr>
          <w:rFonts w:ascii="Times New Roman" w:hAnsi="Times New Roman" w:cs="Times New Roman"/>
        </w:rPr>
      </w:pPr>
    </w:p>
    <w:p w14:paraId="45DC1CDD" w14:textId="277A1700" w:rsidR="003024E8" w:rsidRPr="003024E8" w:rsidRDefault="003024E8" w:rsidP="00A52B09">
      <w:pPr>
        <w:jc w:val="both"/>
        <w:rPr>
          <w:rFonts w:hint="eastAsia"/>
        </w:rPr>
      </w:pPr>
      <w:r w:rsidRPr="003024E8">
        <w:rPr>
          <w:noProof/>
        </w:rPr>
        <w:lastRenderedPageBreak/>
        <w:drawing>
          <wp:inline distT="0" distB="0" distL="0" distR="0" wp14:anchorId="6E0B62D9" wp14:editId="08C43781">
            <wp:extent cx="5274310" cy="5541645"/>
            <wp:effectExtent l="0" t="0" r="2540" b="1905"/>
            <wp:docPr id="15981613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541645"/>
                    </a:xfrm>
                    <a:prstGeom prst="rect">
                      <a:avLst/>
                    </a:prstGeom>
                    <a:noFill/>
                    <a:ln>
                      <a:noFill/>
                    </a:ln>
                  </pic:spPr>
                </pic:pic>
              </a:graphicData>
            </a:graphic>
          </wp:inline>
        </w:drawing>
      </w:r>
    </w:p>
    <w:p w14:paraId="4723BC35" w14:textId="08FAB9A7" w:rsidR="003024E8" w:rsidRPr="00F652AB" w:rsidRDefault="004C4836" w:rsidP="00F652AB">
      <w:pPr>
        <w:jc w:val="both"/>
        <w:rPr>
          <w:rFonts w:ascii="Times New Roman" w:hAnsi="Times New Roman" w:cs="Times New Roman"/>
        </w:rPr>
      </w:pPr>
      <w:r w:rsidRPr="006E06F8">
        <w:rPr>
          <w:rFonts w:ascii="Times New Roman" w:hAnsi="Times New Roman" w:cs="Times New Roman"/>
          <w:b/>
          <w:bCs/>
          <w:sz w:val="24"/>
        </w:rPr>
        <w:t>Figure S</w:t>
      </w:r>
      <w:r w:rsidR="00936958">
        <w:rPr>
          <w:rFonts w:ascii="Times New Roman" w:hAnsi="Times New Roman" w:cs="Times New Roman" w:hint="eastAsia"/>
          <w:b/>
          <w:bCs/>
          <w:sz w:val="24"/>
        </w:rPr>
        <w:t>7</w:t>
      </w:r>
      <w:r w:rsidR="00F652AB" w:rsidRPr="00F652AB">
        <w:rPr>
          <w:rFonts w:ascii="Times New Roman" w:hAnsi="Times New Roman" w:cs="Times New Roman"/>
          <w:b/>
          <w:bCs/>
        </w:rPr>
        <w:t>. Therapeutic efficacy of BC19 CAR-T cells in the U266 xenograft model.</w:t>
      </w:r>
      <w:r w:rsidR="00F652AB" w:rsidRPr="00F652AB">
        <w:rPr>
          <w:rFonts w:ascii="Times New Roman" w:hAnsi="Times New Roman" w:cs="Times New Roman"/>
        </w:rPr>
        <w:t xml:space="preserve"> (A–C) Representative longitudinal bioluminescence imaging (BLI) of mice in the (A) BC19 CAR-T–treated, (B) MOCK-T–treated, and (C) PBS-treated groups from day 0 to day 21. In the BC19 CAR-T cohort, representative images from mice exhibiting “Cure” and “Progress” phenotypes are shown separately. All images were acquired and displayed using an identical </w:t>
      </w:r>
      <w:proofErr w:type="spellStart"/>
      <w:r w:rsidR="00F652AB" w:rsidRPr="00F652AB">
        <w:rPr>
          <w:rFonts w:ascii="Times New Roman" w:hAnsi="Times New Roman" w:cs="Times New Roman"/>
        </w:rPr>
        <w:t>pseudocolor</w:t>
      </w:r>
      <w:proofErr w:type="spellEnd"/>
      <w:r w:rsidR="00F652AB" w:rsidRPr="00F652AB">
        <w:rPr>
          <w:rFonts w:ascii="Times New Roman" w:hAnsi="Times New Roman" w:cs="Times New Roman"/>
        </w:rPr>
        <w:t xml:space="preserve"> scale. Bioluminescence intensity is expressed as radiance (p/s/cm²/</w:t>
      </w:r>
      <w:proofErr w:type="spellStart"/>
      <w:r w:rsidR="00F652AB" w:rsidRPr="00F652AB">
        <w:rPr>
          <w:rFonts w:ascii="Times New Roman" w:hAnsi="Times New Roman" w:cs="Times New Roman"/>
        </w:rPr>
        <w:t>sr</w:t>
      </w:r>
      <w:proofErr w:type="spellEnd"/>
      <w:r w:rsidR="00F652AB" w:rsidRPr="00F652AB">
        <w:rPr>
          <w:rFonts w:ascii="Times New Roman" w:hAnsi="Times New Roman" w:cs="Times New Roman"/>
        </w:rPr>
        <w:t>), with the color scale ranging from 0 to 3.0 × 10⁸ p/s/cm</w:t>
      </w:r>
      <w:r w:rsidR="00F652AB" w:rsidRPr="00F652AB">
        <w:rPr>
          <w:rFonts w:ascii="Times New Roman" w:eastAsia="等线" w:hAnsi="Times New Roman" w:cs="Times New Roman"/>
        </w:rPr>
        <w:t>²</w:t>
      </w:r>
      <w:r w:rsidR="00F652AB" w:rsidRPr="00F652AB">
        <w:rPr>
          <w:rFonts w:ascii="Times New Roman" w:hAnsi="Times New Roman" w:cs="Times New Roman"/>
        </w:rPr>
        <w:t>/sr.</w:t>
      </w:r>
    </w:p>
    <w:p w14:paraId="07F12D06" w14:textId="77777777" w:rsidR="003024E8" w:rsidRDefault="003024E8">
      <w:pPr>
        <w:rPr>
          <w:rFonts w:hint="eastAsia"/>
        </w:rPr>
      </w:pPr>
    </w:p>
    <w:p w14:paraId="5341F31B" w14:textId="77777777" w:rsidR="003024E8" w:rsidRDefault="003024E8">
      <w:pPr>
        <w:rPr>
          <w:rFonts w:hint="eastAsia"/>
        </w:rPr>
      </w:pPr>
    </w:p>
    <w:p w14:paraId="4EBD8ABE" w14:textId="77777777" w:rsidR="003024E8" w:rsidRDefault="003024E8">
      <w:pPr>
        <w:rPr>
          <w:rFonts w:hint="eastAsia"/>
        </w:rPr>
      </w:pPr>
    </w:p>
    <w:p w14:paraId="54CD9FE9" w14:textId="77777777" w:rsidR="003024E8" w:rsidRDefault="003024E8">
      <w:pPr>
        <w:rPr>
          <w:rFonts w:hint="eastAsia"/>
        </w:rPr>
      </w:pPr>
    </w:p>
    <w:p w14:paraId="5293CD6A" w14:textId="54037B9C" w:rsidR="00B02AF5" w:rsidRDefault="00B02AF5">
      <w:pPr>
        <w:rPr>
          <w:rFonts w:hint="eastAsia"/>
        </w:rPr>
      </w:pPr>
      <w:r>
        <w:rPr>
          <w:rFonts w:hint="eastAsia"/>
          <w:noProof/>
        </w:rPr>
        <w:lastRenderedPageBreak/>
        <w:drawing>
          <wp:inline distT="0" distB="0" distL="0" distR="0" wp14:anchorId="2E3EC91A" wp14:editId="7792C103">
            <wp:extent cx="5273675" cy="1804670"/>
            <wp:effectExtent l="0" t="0" r="3175" b="5080"/>
            <wp:docPr id="6891615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1804670"/>
                    </a:xfrm>
                    <a:prstGeom prst="rect">
                      <a:avLst/>
                    </a:prstGeom>
                    <a:noFill/>
                  </pic:spPr>
                </pic:pic>
              </a:graphicData>
            </a:graphic>
          </wp:inline>
        </w:drawing>
      </w:r>
    </w:p>
    <w:p w14:paraId="34A3120B" w14:textId="41F277AC" w:rsidR="00B02AF5" w:rsidRDefault="00B02AF5" w:rsidP="00B02AF5">
      <w:pPr>
        <w:jc w:val="both"/>
        <w:rPr>
          <w:rFonts w:ascii="Times New Roman" w:hAnsi="Times New Roman" w:cs="Times New Roman"/>
        </w:rPr>
      </w:pPr>
      <w:r w:rsidRPr="006E06F8">
        <w:rPr>
          <w:rFonts w:ascii="Times New Roman" w:hAnsi="Times New Roman" w:cs="Times New Roman"/>
          <w:b/>
          <w:bCs/>
          <w:sz w:val="24"/>
        </w:rPr>
        <w:t>Figure S</w:t>
      </w:r>
      <w:r w:rsidR="00936958">
        <w:rPr>
          <w:rFonts w:ascii="Times New Roman" w:hAnsi="Times New Roman" w:cs="Times New Roman" w:hint="eastAsia"/>
          <w:b/>
          <w:bCs/>
          <w:sz w:val="24"/>
        </w:rPr>
        <w:t>8</w:t>
      </w:r>
      <w:r w:rsidRPr="006E06F8">
        <w:rPr>
          <w:rFonts w:ascii="Times New Roman" w:hAnsi="Times New Roman" w:cs="Times New Roman"/>
          <w:b/>
          <w:bCs/>
          <w:sz w:val="24"/>
        </w:rPr>
        <w:t>.</w:t>
      </w:r>
      <w:r w:rsidRPr="00DF2810">
        <w:rPr>
          <w:rFonts w:ascii="Times New Roman" w:hAnsi="Times New Roman" w:cs="Times New Roman"/>
          <w:b/>
          <w:bCs/>
        </w:rPr>
        <w:t xml:space="preserve"> </w:t>
      </w:r>
      <w:r w:rsidRPr="00921DFE">
        <w:rPr>
          <w:rFonts w:ascii="Times New Roman" w:hAnsi="Times New Roman" w:cs="Times New Roman"/>
          <w:b/>
          <w:bCs/>
        </w:rPr>
        <w:t xml:space="preserve">H&amp;E staining of major organs in the acute toxicity study. </w:t>
      </w:r>
      <w:r w:rsidRPr="00357C77">
        <w:rPr>
          <w:rFonts w:ascii="Times New Roman" w:hAnsi="Times New Roman" w:cs="Times New Roman"/>
        </w:rPr>
        <w:t>Representative sections of heart, liver, spleen, lung, and kidney from mice receiving BED probe or PBS control are shown.</w:t>
      </w:r>
      <w:r w:rsidRPr="00F330E8">
        <w:rPr>
          <w:rFonts w:hint="eastAsia"/>
        </w:rPr>
        <w:t xml:space="preserve"> </w:t>
      </w:r>
      <w:r w:rsidRPr="00F330E8">
        <w:rPr>
          <w:rFonts w:ascii="Times New Roman" w:hAnsi="Times New Roman" w:cs="Times New Roman"/>
        </w:rPr>
        <w:t xml:space="preserve">Scale bars, 100 </w:t>
      </w:r>
      <w:proofErr w:type="spellStart"/>
      <w:r w:rsidRPr="00F330E8">
        <w:rPr>
          <w:rFonts w:ascii="Times New Roman" w:hAnsi="Times New Roman" w:cs="Times New Roman"/>
        </w:rPr>
        <w:t>μm</w:t>
      </w:r>
      <w:proofErr w:type="spellEnd"/>
      <w:r w:rsidRPr="00F330E8">
        <w:rPr>
          <w:rFonts w:ascii="Times New Roman" w:hAnsi="Times New Roman" w:cs="Times New Roman"/>
        </w:rPr>
        <w:t>.</w:t>
      </w:r>
    </w:p>
    <w:p w14:paraId="32551CB8" w14:textId="77777777" w:rsidR="00B02AF5" w:rsidRDefault="00B02AF5">
      <w:pPr>
        <w:rPr>
          <w:rFonts w:hint="eastAsia"/>
        </w:rPr>
      </w:pPr>
    </w:p>
    <w:p w14:paraId="7D5E976D" w14:textId="77777777" w:rsidR="00B02AF5" w:rsidRDefault="00B02AF5">
      <w:pPr>
        <w:rPr>
          <w:rFonts w:hint="eastAsia"/>
        </w:rPr>
      </w:pPr>
    </w:p>
    <w:p w14:paraId="57D34ABA" w14:textId="77777777" w:rsidR="00CA337D" w:rsidRDefault="00CA337D" w:rsidP="004B305E">
      <w:pPr>
        <w:tabs>
          <w:tab w:val="left" w:pos="1243"/>
        </w:tabs>
        <w:jc w:val="both"/>
        <w:rPr>
          <w:rFonts w:ascii="Times New Roman" w:hAnsi="Times New Roman" w:cs="Times New Roman"/>
        </w:rPr>
      </w:pPr>
    </w:p>
    <w:p w14:paraId="2DDC11B2" w14:textId="77777777" w:rsidR="00CA337D" w:rsidRDefault="00CA337D" w:rsidP="004B305E">
      <w:pPr>
        <w:tabs>
          <w:tab w:val="left" w:pos="1243"/>
        </w:tabs>
        <w:jc w:val="both"/>
        <w:rPr>
          <w:rFonts w:ascii="Times New Roman" w:hAnsi="Times New Roman" w:cs="Times New Roman"/>
        </w:rPr>
      </w:pPr>
    </w:p>
    <w:p w14:paraId="7E463E16" w14:textId="77777777" w:rsidR="00CA337D" w:rsidRDefault="00CA337D" w:rsidP="004B305E">
      <w:pPr>
        <w:tabs>
          <w:tab w:val="left" w:pos="1243"/>
        </w:tabs>
        <w:jc w:val="both"/>
        <w:rPr>
          <w:rFonts w:ascii="Times New Roman" w:hAnsi="Times New Roman" w:cs="Times New Roman"/>
        </w:rPr>
      </w:pPr>
    </w:p>
    <w:p w14:paraId="1CB92AFC" w14:textId="77777777" w:rsidR="00CA337D" w:rsidRDefault="00CA337D" w:rsidP="004B305E">
      <w:pPr>
        <w:tabs>
          <w:tab w:val="left" w:pos="1243"/>
        </w:tabs>
        <w:jc w:val="both"/>
        <w:rPr>
          <w:rFonts w:ascii="Times New Roman" w:hAnsi="Times New Roman" w:cs="Times New Roman"/>
        </w:rPr>
      </w:pPr>
    </w:p>
    <w:p w14:paraId="137375B5" w14:textId="77777777" w:rsidR="00CA337D" w:rsidRDefault="00CA337D" w:rsidP="004B305E">
      <w:pPr>
        <w:tabs>
          <w:tab w:val="left" w:pos="1243"/>
        </w:tabs>
        <w:jc w:val="both"/>
        <w:rPr>
          <w:rFonts w:ascii="Times New Roman" w:hAnsi="Times New Roman" w:cs="Times New Roman"/>
        </w:rPr>
      </w:pPr>
    </w:p>
    <w:p w14:paraId="2E859D04" w14:textId="77777777" w:rsidR="00CA337D" w:rsidRDefault="00CA337D" w:rsidP="004B305E">
      <w:pPr>
        <w:tabs>
          <w:tab w:val="left" w:pos="1243"/>
        </w:tabs>
        <w:jc w:val="both"/>
        <w:rPr>
          <w:rFonts w:ascii="Times New Roman" w:hAnsi="Times New Roman" w:cs="Times New Roman"/>
        </w:rPr>
      </w:pPr>
    </w:p>
    <w:p w14:paraId="38466FD0" w14:textId="77777777" w:rsidR="00CA337D" w:rsidRDefault="00CA337D" w:rsidP="004B305E">
      <w:pPr>
        <w:tabs>
          <w:tab w:val="left" w:pos="1243"/>
        </w:tabs>
        <w:jc w:val="both"/>
        <w:rPr>
          <w:rFonts w:ascii="Times New Roman" w:hAnsi="Times New Roman" w:cs="Times New Roman"/>
        </w:rPr>
      </w:pPr>
    </w:p>
    <w:p w14:paraId="02A81E23" w14:textId="77777777" w:rsidR="00CA337D" w:rsidRDefault="00CA337D" w:rsidP="004B305E">
      <w:pPr>
        <w:tabs>
          <w:tab w:val="left" w:pos="1243"/>
        </w:tabs>
        <w:jc w:val="both"/>
        <w:rPr>
          <w:rFonts w:ascii="Times New Roman" w:hAnsi="Times New Roman" w:cs="Times New Roman"/>
        </w:rPr>
      </w:pPr>
    </w:p>
    <w:p w14:paraId="31B04134" w14:textId="77777777" w:rsidR="00CA337D" w:rsidRDefault="00CA337D" w:rsidP="004B305E">
      <w:pPr>
        <w:tabs>
          <w:tab w:val="left" w:pos="1243"/>
        </w:tabs>
        <w:jc w:val="both"/>
        <w:rPr>
          <w:rFonts w:ascii="Times New Roman" w:hAnsi="Times New Roman" w:cs="Times New Roman"/>
        </w:rPr>
      </w:pPr>
    </w:p>
    <w:p w14:paraId="2459A0E8" w14:textId="77777777" w:rsidR="00CA337D" w:rsidRDefault="00CA337D" w:rsidP="004B305E">
      <w:pPr>
        <w:tabs>
          <w:tab w:val="left" w:pos="1243"/>
        </w:tabs>
        <w:jc w:val="both"/>
        <w:rPr>
          <w:rFonts w:ascii="Times New Roman" w:hAnsi="Times New Roman" w:cs="Times New Roman"/>
        </w:rPr>
      </w:pPr>
    </w:p>
    <w:p w14:paraId="1DD59089" w14:textId="77777777" w:rsidR="00CA337D" w:rsidRDefault="00CA337D" w:rsidP="004B305E">
      <w:pPr>
        <w:tabs>
          <w:tab w:val="left" w:pos="1243"/>
        </w:tabs>
        <w:jc w:val="both"/>
        <w:rPr>
          <w:rFonts w:ascii="Times New Roman" w:hAnsi="Times New Roman" w:cs="Times New Roman"/>
        </w:rPr>
      </w:pPr>
    </w:p>
    <w:p w14:paraId="71CB294D" w14:textId="77777777" w:rsidR="00CA337D" w:rsidRDefault="00CA337D" w:rsidP="004B305E">
      <w:pPr>
        <w:tabs>
          <w:tab w:val="left" w:pos="1243"/>
        </w:tabs>
        <w:jc w:val="both"/>
        <w:rPr>
          <w:rFonts w:ascii="Times New Roman" w:hAnsi="Times New Roman" w:cs="Times New Roman"/>
        </w:rPr>
      </w:pPr>
    </w:p>
    <w:p w14:paraId="0000740A" w14:textId="77777777" w:rsidR="00CA337D" w:rsidRDefault="00CA337D" w:rsidP="004B305E">
      <w:pPr>
        <w:tabs>
          <w:tab w:val="left" w:pos="1243"/>
        </w:tabs>
        <w:jc w:val="both"/>
        <w:rPr>
          <w:rFonts w:ascii="Times New Roman" w:hAnsi="Times New Roman" w:cs="Times New Roman"/>
        </w:rPr>
      </w:pPr>
    </w:p>
    <w:p w14:paraId="6B12D2A1" w14:textId="77777777" w:rsidR="00CA337D" w:rsidRDefault="00CA337D" w:rsidP="004B305E">
      <w:pPr>
        <w:tabs>
          <w:tab w:val="left" w:pos="1243"/>
        </w:tabs>
        <w:jc w:val="both"/>
        <w:rPr>
          <w:rFonts w:ascii="Times New Roman" w:hAnsi="Times New Roman" w:cs="Times New Roman"/>
        </w:rPr>
      </w:pPr>
    </w:p>
    <w:p w14:paraId="1DF5C855" w14:textId="77777777" w:rsidR="00CA337D" w:rsidRDefault="00CA337D" w:rsidP="004B305E">
      <w:pPr>
        <w:tabs>
          <w:tab w:val="left" w:pos="1243"/>
        </w:tabs>
        <w:jc w:val="both"/>
        <w:rPr>
          <w:rFonts w:ascii="Times New Roman" w:hAnsi="Times New Roman" w:cs="Times New Roman"/>
        </w:rPr>
      </w:pPr>
    </w:p>
    <w:p w14:paraId="6C18D28C" w14:textId="77777777" w:rsidR="00CA337D" w:rsidRDefault="00CA337D" w:rsidP="004B305E">
      <w:pPr>
        <w:tabs>
          <w:tab w:val="left" w:pos="1243"/>
        </w:tabs>
        <w:jc w:val="both"/>
        <w:rPr>
          <w:rFonts w:ascii="Times New Roman" w:hAnsi="Times New Roman" w:cs="Times New Roman"/>
        </w:rPr>
      </w:pPr>
    </w:p>
    <w:p w14:paraId="3EF3D85F" w14:textId="77777777" w:rsidR="00E01DBD" w:rsidRDefault="00E01DBD" w:rsidP="00E01DBD">
      <w:pPr>
        <w:tabs>
          <w:tab w:val="left" w:pos="1243"/>
        </w:tabs>
        <w:jc w:val="both"/>
        <w:rPr>
          <w:rFonts w:ascii="Times New Roman" w:hAnsi="Times New Roman" w:cs="Times New Roman"/>
        </w:rPr>
      </w:pPr>
      <w:r w:rsidRPr="00655B1B">
        <w:rPr>
          <w:rFonts w:ascii="Times New Roman" w:hAnsi="Times New Roman" w:cs="Times New Roman"/>
          <w:b/>
          <w:bCs/>
        </w:rPr>
        <w:lastRenderedPageBreak/>
        <w:t xml:space="preserve">Table </w:t>
      </w:r>
      <w:r w:rsidRPr="00655B1B">
        <w:rPr>
          <w:rFonts w:ascii="Times New Roman" w:hAnsi="Times New Roman" w:cs="Times New Roman" w:hint="eastAsia"/>
          <w:b/>
          <w:bCs/>
        </w:rPr>
        <w:t>1</w:t>
      </w:r>
      <w:r w:rsidRPr="00251E33">
        <w:rPr>
          <w:rFonts w:ascii="Times New Roman" w:hAnsi="Times New Roman" w:cs="Times New Roman"/>
        </w:rPr>
        <w:t xml:space="preserve">. </w:t>
      </w:r>
      <w:r w:rsidRPr="00990CCB">
        <w:rPr>
          <w:rFonts w:ascii="Times New Roman" w:hAnsi="Times New Roman" w:cs="Times New Roman"/>
        </w:rPr>
        <w:t>Kinetic constants for the binding of BED and NOTA-BED to His-tagged CAR proteins</w:t>
      </w:r>
    </w:p>
    <w:tbl>
      <w:tblPr>
        <w:tblStyle w:val="af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E01DBD" w:rsidRPr="0012728F" w14:paraId="365F7F99" w14:textId="77777777" w:rsidTr="00690D0A">
        <w:trPr>
          <w:jc w:val="center"/>
        </w:trPr>
        <w:tc>
          <w:tcPr>
            <w:tcW w:w="2074" w:type="dxa"/>
            <w:tcBorders>
              <w:top w:val="single" w:sz="12" w:space="0" w:color="auto"/>
              <w:bottom w:val="single" w:sz="6" w:space="0" w:color="auto"/>
            </w:tcBorders>
            <w:vAlign w:val="center"/>
          </w:tcPr>
          <w:p w14:paraId="2BC0958C" w14:textId="77777777" w:rsidR="00E01DBD" w:rsidRPr="0012728F" w:rsidRDefault="00E01DBD" w:rsidP="00690D0A">
            <w:pPr>
              <w:tabs>
                <w:tab w:val="left" w:pos="1243"/>
              </w:tabs>
              <w:jc w:val="both"/>
              <w:rPr>
                <w:rFonts w:ascii="Times New Roman" w:hAnsi="Times New Roman" w:cs="Times New Roman"/>
              </w:rPr>
            </w:pPr>
          </w:p>
        </w:tc>
        <w:tc>
          <w:tcPr>
            <w:tcW w:w="2074" w:type="dxa"/>
            <w:tcBorders>
              <w:top w:val="single" w:sz="12" w:space="0" w:color="auto"/>
              <w:bottom w:val="single" w:sz="6" w:space="0" w:color="auto"/>
            </w:tcBorders>
            <w:vAlign w:val="center"/>
          </w:tcPr>
          <w:p w14:paraId="1635D7F4"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ka (× 10</w:t>
            </w:r>
            <w:r w:rsidRPr="0012728F">
              <w:rPr>
                <w:rFonts w:ascii="Times New Roman" w:hAnsi="Times New Roman" w:cs="Times New Roman"/>
                <w:vertAlign w:val="superscript"/>
              </w:rPr>
              <w:t>5</w:t>
            </w:r>
            <w:r>
              <w:rPr>
                <w:rFonts w:ascii="Times New Roman" w:hAnsi="Times New Roman" w:cs="Times New Roman" w:hint="eastAsia"/>
                <w:vertAlign w:val="superscript"/>
              </w:rPr>
              <w:t xml:space="preserve"> </w:t>
            </w:r>
            <w:r w:rsidRPr="0012728F">
              <w:rPr>
                <w:rFonts w:ascii="Times New Roman" w:hAnsi="Times New Roman" w:cs="Times New Roman"/>
              </w:rPr>
              <w:t>M</w:t>
            </w:r>
            <w:r w:rsidRPr="0012728F">
              <w:rPr>
                <w:rFonts w:ascii="Times New Roman" w:hAnsi="Times New Roman" w:cs="Times New Roman"/>
                <w:vertAlign w:val="superscript"/>
              </w:rPr>
              <w:t>-1</w:t>
            </w:r>
            <w:r>
              <w:rPr>
                <w:rFonts w:ascii="Times New Roman" w:hAnsi="Times New Roman" w:cs="Times New Roman" w:hint="eastAsia"/>
                <w:vertAlign w:val="superscript"/>
              </w:rPr>
              <w:t xml:space="preserve"> </w:t>
            </w:r>
            <w:r w:rsidRPr="0012728F">
              <w:rPr>
                <w:rFonts w:ascii="Times New Roman" w:hAnsi="Times New Roman" w:cs="Times New Roman"/>
              </w:rPr>
              <w:t>s</w:t>
            </w:r>
            <w:r w:rsidRPr="0012728F">
              <w:rPr>
                <w:rFonts w:ascii="Times New Roman" w:hAnsi="Times New Roman" w:cs="Times New Roman"/>
                <w:vertAlign w:val="superscript"/>
              </w:rPr>
              <w:t>-1</w:t>
            </w:r>
            <w:r w:rsidRPr="0012728F">
              <w:rPr>
                <w:rFonts w:ascii="Times New Roman" w:hAnsi="Times New Roman" w:cs="Times New Roman"/>
              </w:rPr>
              <w:t>)</w:t>
            </w:r>
          </w:p>
        </w:tc>
        <w:tc>
          <w:tcPr>
            <w:tcW w:w="2074" w:type="dxa"/>
            <w:tcBorders>
              <w:top w:val="single" w:sz="12" w:space="0" w:color="auto"/>
              <w:bottom w:val="single" w:sz="6" w:space="0" w:color="auto"/>
            </w:tcBorders>
            <w:vAlign w:val="center"/>
          </w:tcPr>
          <w:p w14:paraId="2AAA790B" w14:textId="18F13648" w:rsidR="00E01DBD" w:rsidRPr="0012728F" w:rsidRDefault="00E01DBD" w:rsidP="00690D0A">
            <w:pPr>
              <w:tabs>
                <w:tab w:val="left" w:pos="1243"/>
              </w:tabs>
              <w:jc w:val="both"/>
              <w:rPr>
                <w:rFonts w:ascii="Times New Roman" w:hAnsi="Times New Roman" w:cs="Times New Roman"/>
              </w:rPr>
            </w:pPr>
            <w:proofErr w:type="spellStart"/>
            <w:r w:rsidRPr="0012728F">
              <w:rPr>
                <w:rFonts w:ascii="Times New Roman" w:hAnsi="Times New Roman" w:cs="Times New Roman"/>
              </w:rPr>
              <w:t>kd</w:t>
            </w:r>
            <w:proofErr w:type="spellEnd"/>
            <w:r w:rsidRPr="0012728F">
              <w:rPr>
                <w:rFonts w:ascii="Times New Roman" w:hAnsi="Times New Roman" w:cs="Times New Roman"/>
              </w:rPr>
              <w:t xml:space="preserve"> (× 10</w:t>
            </w:r>
            <w:r w:rsidRPr="001B726E">
              <w:rPr>
                <w:rFonts w:ascii="Times New Roman" w:hAnsi="Times New Roman" w:cs="Times New Roman" w:hint="eastAsia"/>
                <w:vertAlign w:val="superscript"/>
              </w:rPr>
              <w:t>-4</w:t>
            </w:r>
            <w:r>
              <w:rPr>
                <w:rFonts w:ascii="Times New Roman" w:hAnsi="Times New Roman" w:cs="Times New Roman" w:hint="eastAsia"/>
              </w:rPr>
              <w:t xml:space="preserve"> s</w:t>
            </w:r>
            <w:r w:rsidRPr="0012728F">
              <w:rPr>
                <w:rFonts w:ascii="Times New Roman" w:hAnsi="Times New Roman" w:cs="Times New Roman"/>
              </w:rPr>
              <w:t>)</w:t>
            </w:r>
          </w:p>
        </w:tc>
        <w:tc>
          <w:tcPr>
            <w:tcW w:w="2074" w:type="dxa"/>
            <w:tcBorders>
              <w:top w:val="single" w:sz="12" w:space="0" w:color="auto"/>
              <w:bottom w:val="single" w:sz="6" w:space="0" w:color="auto"/>
            </w:tcBorders>
            <w:vAlign w:val="center"/>
          </w:tcPr>
          <w:p w14:paraId="68F266D2"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K</w:t>
            </w:r>
            <w:r w:rsidRPr="0012728F">
              <w:rPr>
                <w:rFonts w:ascii="Times New Roman" w:hAnsi="Times New Roman" w:cs="Times New Roman"/>
                <w:vertAlign w:val="subscript"/>
              </w:rPr>
              <w:t xml:space="preserve">D </w:t>
            </w:r>
            <w:r w:rsidRPr="0012728F">
              <w:rPr>
                <w:rFonts w:ascii="Times New Roman" w:hAnsi="Times New Roman" w:cs="Times New Roman"/>
              </w:rPr>
              <w:t>(</w:t>
            </w:r>
            <w:proofErr w:type="spellStart"/>
            <w:r w:rsidRPr="0012728F">
              <w:rPr>
                <w:rFonts w:ascii="Times New Roman" w:hAnsi="Times New Roman" w:cs="Times New Roman"/>
              </w:rPr>
              <w:t>nM</w:t>
            </w:r>
            <w:proofErr w:type="spellEnd"/>
            <w:r w:rsidRPr="0012728F">
              <w:rPr>
                <w:rFonts w:ascii="Times New Roman" w:hAnsi="Times New Roman" w:cs="Times New Roman"/>
              </w:rPr>
              <w:t>)</w:t>
            </w:r>
          </w:p>
        </w:tc>
      </w:tr>
      <w:tr w:rsidR="00E01DBD" w:rsidRPr="0012728F" w14:paraId="3D73F443" w14:textId="77777777" w:rsidTr="00690D0A">
        <w:trPr>
          <w:jc w:val="center"/>
        </w:trPr>
        <w:tc>
          <w:tcPr>
            <w:tcW w:w="2074" w:type="dxa"/>
            <w:tcBorders>
              <w:top w:val="single" w:sz="6" w:space="0" w:color="auto"/>
              <w:bottom w:val="nil"/>
            </w:tcBorders>
            <w:vAlign w:val="center"/>
          </w:tcPr>
          <w:p w14:paraId="08AEED59"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BED</w:t>
            </w:r>
          </w:p>
        </w:tc>
        <w:tc>
          <w:tcPr>
            <w:tcW w:w="2074" w:type="dxa"/>
            <w:tcBorders>
              <w:top w:val="single" w:sz="6" w:space="0" w:color="auto"/>
              <w:bottom w:val="nil"/>
            </w:tcBorders>
            <w:vAlign w:val="center"/>
          </w:tcPr>
          <w:p w14:paraId="39D41DDD"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2.73</w:t>
            </w:r>
          </w:p>
        </w:tc>
        <w:tc>
          <w:tcPr>
            <w:tcW w:w="2074" w:type="dxa"/>
            <w:tcBorders>
              <w:top w:val="single" w:sz="6" w:space="0" w:color="auto"/>
              <w:bottom w:val="nil"/>
            </w:tcBorders>
            <w:vAlign w:val="center"/>
          </w:tcPr>
          <w:p w14:paraId="198A7969" w14:textId="483A11EF"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2.43</w:t>
            </w:r>
          </w:p>
        </w:tc>
        <w:tc>
          <w:tcPr>
            <w:tcW w:w="2074" w:type="dxa"/>
            <w:tcBorders>
              <w:top w:val="single" w:sz="6" w:space="0" w:color="auto"/>
              <w:bottom w:val="nil"/>
            </w:tcBorders>
            <w:vAlign w:val="center"/>
          </w:tcPr>
          <w:p w14:paraId="7060679D"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0.89</w:t>
            </w:r>
          </w:p>
        </w:tc>
      </w:tr>
      <w:tr w:rsidR="00E01DBD" w:rsidRPr="0012728F" w14:paraId="3A18C0B1" w14:textId="77777777" w:rsidTr="00690D0A">
        <w:trPr>
          <w:jc w:val="center"/>
        </w:trPr>
        <w:tc>
          <w:tcPr>
            <w:tcW w:w="2074" w:type="dxa"/>
            <w:tcBorders>
              <w:top w:val="nil"/>
              <w:bottom w:val="single" w:sz="12" w:space="0" w:color="auto"/>
            </w:tcBorders>
            <w:vAlign w:val="center"/>
          </w:tcPr>
          <w:p w14:paraId="246E7C7E"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NOTA-BED</w:t>
            </w:r>
          </w:p>
        </w:tc>
        <w:tc>
          <w:tcPr>
            <w:tcW w:w="2074" w:type="dxa"/>
            <w:tcBorders>
              <w:top w:val="nil"/>
              <w:bottom w:val="single" w:sz="12" w:space="0" w:color="auto"/>
            </w:tcBorders>
            <w:vAlign w:val="center"/>
          </w:tcPr>
          <w:p w14:paraId="3DAAB28F"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2.21</w:t>
            </w:r>
          </w:p>
        </w:tc>
        <w:tc>
          <w:tcPr>
            <w:tcW w:w="2074" w:type="dxa"/>
            <w:tcBorders>
              <w:top w:val="nil"/>
              <w:bottom w:val="single" w:sz="12" w:space="0" w:color="auto"/>
            </w:tcBorders>
            <w:vAlign w:val="center"/>
          </w:tcPr>
          <w:p w14:paraId="5890E80C" w14:textId="76CEC993"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2.45</w:t>
            </w:r>
          </w:p>
        </w:tc>
        <w:tc>
          <w:tcPr>
            <w:tcW w:w="2074" w:type="dxa"/>
            <w:tcBorders>
              <w:top w:val="nil"/>
              <w:bottom w:val="single" w:sz="12" w:space="0" w:color="auto"/>
            </w:tcBorders>
            <w:vAlign w:val="center"/>
          </w:tcPr>
          <w:p w14:paraId="4A22F4DE" w14:textId="77777777" w:rsidR="00E01DBD" w:rsidRPr="0012728F" w:rsidRDefault="00E01DBD" w:rsidP="00690D0A">
            <w:pPr>
              <w:tabs>
                <w:tab w:val="left" w:pos="1243"/>
              </w:tabs>
              <w:jc w:val="both"/>
              <w:rPr>
                <w:rFonts w:ascii="Times New Roman" w:hAnsi="Times New Roman" w:cs="Times New Roman"/>
              </w:rPr>
            </w:pPr>
            <w:r w:rsidRPr="0012728F">
              <w:rPr>
                <w:rFonts w:ascii="Times New Roman" w:hAnsi="Times New Roman" w:cs="Times New Roman"/>
              </w:rPr>
              <w:t>1.11</w:t>
            </w:r>
          </w:p>
        </w:tc>
      </w:tr>
    </w:tbl>
    <w:p w14:paraId="62A50A2F" w14:textId="77777777" w:rsidR="00E01DBD" w:rsidRPr="001020CF" w:rsidRDefault="00E01DBD" w:rsidP="00E01DBD">
      <w:pPr>
        <w:spacing w:after="0" w:line="240" w:lineRule="auto"/>
        <w:jc w:val="both"/>
        <w:rPr>
          <w:rFonts w:ascii="Arial" w:hAnsi="Arial" w:cs="Arial"/>
          <w:szCs w:val="22"/>
          <w14:ligatures w14:val="none"/>
        </w:rPr>
      </w:pPr>
    </w:p>
    <w:tbl>
      <w:tblPr>
        <w:tblpPr w:leftFromText="180" w:rightFromText="180" w:vertAnchor="page" w:horzAnchor="margin" w:tblpY="4421"/>
        <w:tblW w:w="8080" w:type="dxa"/>
        <w:tblCellMar>
          <w:left w:w="0" w:type="dxa"/>
          <w:right w:w="0" w:type="dxa"/>
        </w:tblCellMar>
        <w:tblLook w:val="0420" w:firstRow="1" w:lastRow="0" w:firstColumn="0" w:lastColumn="0" w:noHBand="0" w:noVBand="1"/>
      </w:tblPr>
      <w:tblGrid>
        <w:gridCol w:w="2552"/>
        <w:gridCol w:w="5528"/>
      </w:tblGrid>
      <w:tr w:rsidR="00E01DBD" w:rsidRPr="001020CF" w14:paraId="2BD730E5" w14:textId="77777777" w:rsidTr="00690D0A">
        <w:trPr>
          <w:trHeight w:val="324"/>
        </w:trPr>
        <w:tc>
          <w:tcPr>
            <w:tcW w:w="2552" w:type="dxa"/>
            <w:tcBorders>
              <w:top w:val="single" w:sz="12" w:space="0" w:color="000000"/>
              <w:left w:val="nil"/>
              <w:bottom w:val="single" w:sz="24" w:space="0" w:color="000000"/>
              <w:right w:val="nil"/>
            </w:tcBorders>
            <w:tcMar>
              <w:top w:w="39" w:type="dxa"/>
              <w:left w:w="79" w:type="dxa"/>
              <w:bottom w:w="39" w:type="dxa"/>
              <w:right w:w="79" w:type="dxa"/>
            </w:tcMar>
            <w:hideMark/>
          </w:tcPr>
          <w:p w14:paraId="70849CA4" w14:textId="77777777" w:rsidR="00E01DBD" w:rsidRPr="001020CF" w:rsidRDefault="00E01DBD" w:rsidP="00690D0A">
            <w:pPr>
              <w:spacing w:after="0" w:line="240" w:lineRule="auto"/>
              <w:ind w:firstLineChars="200" w:firstLine="420"/>
              <w:jc w:val="both"/>
              <w:rPr>
                <w:rFonts w:ascii="Arial" w:hAnsi="Arial" w:cs="Arial"/>
                <w:sz w:val="21"/>
                <w:szCs w:val="22"/>
                <w14:ligatures w14:val="none"/>
              </w:rPr>
            </w:pPr>
            <w:r w:rsidRPr="001020CF">
              <w:rPr>
                <w:rFonts w:ascii="Arial" w:hAnsi="Arial" w:cs="Arial"/>
                <w:sz w:val="21"/>
                <w:szCs w:val="22"/>
                <w14:ligatures w14:val="none"/>
              </w:rPr>
              <w:t>Organ</w:t>
            </w:r>
          </w:p>
        </w:tc>
        <w:tc>
          <w:tcPr>
            <w:tcW w:w="5528" w:type="dxa"/>
            <w:tcBorders>
              <w:top w:val="single" w:sz="12" w:space="0" w:color="000000"/>
              <w:left w:val="nil"/>
              <w:bottom w:val="single" w:sz="24" w:space="0" w:color="000000"/>
              <w:right w:val="nil"/>
            </w:tcBorders>
            <w:tcMar>
              <w:top w:w="39" w:type="dxa"/>
              <w:left w:w="79" w:type="dxa"/>
              <w:bottom w:w="39" w:type="dxa"/>
              <w:right w:w="79" w:type="dxa"/>
            </w:tcMar>
            <w:hideMark/>
          </w:tcPr>
          <w:p w14:paraId="2A7A2B2D" w14:textId="77777777" w:rsidR="00E01DBD" w:rsidRPr="001020CF" w:rsidRDefault="00E01DBD" w:rsidP="00690D0A">
            <w:pPr>
              <w:spacing w:after="0" w:line="240" w:lineRule="auto"/>
              <w:jc w:val="center"/>
              <w:rPr>
                <w:rFonts w:ascii="Arial" w:hAnsi="Arial" w:cs="Arial"/>
                <w:sz w:val="21"/>
                <w:szCs w:val="22"/>
                <w14:ligatures w14:val="none"/>
              </w:rPr>
            </w:pPr>
            <w:r w:rsidRPr="001020CF">
              <w:rPr>
                <w:rFonts w:ascii="Arial" w:hAnsi="Arial" w:cs="Arial"/>
                <w:sz w:val="21"/>
                <w:szCs w:val="22"/>
                <w14:ligatures w14:val="none"/>
              </w:rPr>
              <w:t>Equivalent dose (mSv/MBq)</w:t>
            </w:r>
          </w:p>
        </w:tc>
      </w:tr>
      <w:tr w:rsidR="00E01DBD" w:rsidRPr="001020CF" w14:paraId="7C047E94" w14:textId="77777777" w:rsidTr="00690D0A">
        <w:trPr>
          <w:trHeight w:val="320"/>
        </w:trPr>
        <w:tc>
          <w:tcPr>
            <w:tcW w:w="2552" w:type="dxa"/>
            <w:tcBorders>
              <w:top w:val="single" w:sz="24" w:space="0" w:color="000000"/>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797B88F8"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Adrenals</w:t>
            </w:r>
          </w:p>
        </w:tc>
        <w:tc>
          <w:tcPr>
            <w:tcW w:w="5528" w:type="dxa"/>
            <w:tcBorders>
              <w:top w:val="single" w:sz="24" w:space="0" w:color="000000"/>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134292C0"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7.55E-02</w:t>
            </w:r>
          </w:p>
        </w:tc>
      </w:tr>
      <w:tr w:rsidR="00E01DBD" w:rsidRPr="001020CF" w14:paraId="5D1BAF29"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5378E1C2"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Brain</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5F79C231"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4.54E-04</w:t>
            </w:r>
          </w:p>
        </w:tc>
      </w:tr>
      <w:tr w:rsidR="00E01DBD" w:rsidRPr="001020CF" w14:paraId="08FE6F56"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0A1B9E2D"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Esophagus</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608FD580"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2.42E-03</w:t>
            </w:r>
          </w:p>
        </w:tc>
      </w:tr>
      <w:tr w:rsidR="00E01DBD" w:rsidRPr="001020CF" w14:paraId="33FF5286"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2401F5EF"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Eyes</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7A44946F"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1.72E-04</w:t>
            </w:r>
          </w:p>
        </w:tc>
      </w:tr>
      <w:tr w:rsidR="00E01DBD" w:rsidRPr="001020CF" w14:paraId="46F10E19"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650D9D3E"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Gallbladder Wall</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56564710"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5.06E-03</w:t>
            </w:r>
          </w:p>
        </w:tc>
      </w:tr>
      <w:tr w:rsidR="00E01DBD" w:rsidRPr="001020CF" w14:paraId="3C905231"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28B6B464"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Left colon</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04333BF8"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6.47E-03</w:t>
            </w:r>
          </w:p>
        </w:tc>
      </w:tr>
      <w:tr w:rsidR="00E01DBD" w:rsidRPr="001020CF" w14:paraId="2C8249A9"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07ADE504"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Small Intestine</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35377B4F"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5.31E-03</w:t>
            </w:r>
          </w:p>
        </w:tc>
      </w:tr>
      <w:tr w:rsidR="00E01DBD" w:rsidRPr="001020CF" w14:paraId="030F6E17"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1D50A892"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Stomach Wall</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3A5FAA27"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5.08E-03</w:t>
            </w:r>
          </w:p>
        </w:tc>
      </w:tr>
      <w:tr w:rsidR="00E01DBD" w:rsidRPr="001020CF" w14:paraId="2935669F"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01FF2C9F"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Right colon</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355F6F16"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4.34E-03</w:t>
            </w:r>
          </w:p>
        </w:tc>
      </w:tr>
      <w:tr w:rsidR="00E01DBD" w:rsidRPr="001020CF" w14:paraId="5FDBE59F"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00AEA67A"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Rectum</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47353916"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1.45E-03</w:t>
            </w:r>
          </w:p>
        </w:tc>
      </w:tr>
      <w:tr w:rsidR="00E01DBD" w:rsidRPr="001020CF" w14:paraId="1500503C"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1204E7E5"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Heart</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6140FB94"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3.45E-03</w:t>
            </w:r>
          </w:p>
        </w:tc>
      </w:tr>
      <w:tr w:rsidR="00E01DBD" w:rsidRPr="001020CF" w14:paraId="178B89FA"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4812BDC0"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Kidneys</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1206522F"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8.71E-01</w:t>
            </w:r>
          </w:p>
        </w:tc>
      </w:tr>
      <w:tr w:rsidR="00E01DBD" w:rsidRPr="001020CF" w14:paraId="35760235"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5F38F870"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Liver</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279FB881"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9.54E-03</w:t>
            </w:r>
          </w:p>
        </w:tc>
      </w:tr>
      <w:tr w:rsidR="00E01DBD" w:rsidRPr="001020CF" w14:paraId="473130F3"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0B3F80D3"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Lungs</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1E3DE2C4"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1.11E-02</w:t>
            </w:r>
          </w:p>
        </w:tc>
      </w:tr>
      <w:tr w:rsidR="00E01DBD" w:rsidRPr="001020CF" w14:paraId="5C72E68E"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452FB983"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Pancreas</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52ECAB42"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6.09E-03</w:t>
            </w:r>
          </w:p>
        </w:tc>
      </w:tr>
      <w:tr w:rsidR="00E01DBD" w:rsidRPr="001020CF" w14:paraId="59F28E0A"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3F03BEC9"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Prostate</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0DBAFFC3"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1.92E-03</w:t>
            </w:r>
          </w:p>
        </w:tc>
      </w:tr>
      <w:tr w:rsidR="00E01DBD" w:rsidRPr="001020CF" w14:paraId="4B92FCBC"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49400A4C"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Salivary Glands</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38D7D855"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2.08E-04</w:t>
            </w:r>
          </w:p>
        </w:tc>
      </w:tr>
      <w:tr w:rsidR="00E01DBD" w:rsidRPr="001020CF" w14:paraId="5DA91487"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60F6998D"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Red Marrow</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6F6DAD95"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2.43E-03</w:t>
            </w:r>
          </w:p>
        </w:tc>
      </w:tr>
      <w:tr w:rsidR="00E01DBD" w:rsidRPr="001020CF" w14:paraId="6B48D324"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3A85725C"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Skeleton</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2C80FBCE"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5.23E-03</w:t>
            </w:r>
          </w:p>
        </w:tc>
      </w:tr>
      <w:tr w:rsidR="00E01DBD" w:rsidRPr="001020CF" w14:paraId="6B82126B"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63D90CF4"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Spleen</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18D2D6AB"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1.78E-02</w:t>
            </w:r>
          </w:p>
        </w:tc>
      </w:tr>
      <w:tr w:rsidR="00E01DBD" w:rsidRPr="001020CF" w14:paraId="5EDC6DC3"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78098AD4"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Testes</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211FDFE1"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3.90E-03</w:t>
            </w:r>
          </w:p>
        </w:tc>
      </w:tr>
      <w:tr w:rsidR="00E01DBD" w:rsidRPr="001020CF" w14:paraId="3E217975"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496BC66E"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Thymus</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46A835B7"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1.07E-03</w:t>
            </w:r>
          </w:p>
        </w:tc>
      </w:tr>
      <w:tr w:rsidR="00E01DBD" w:rsidRPr="001020CF" w14:paraId="3CFCFAB1"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253D5E63"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Thyroid</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3E5AD07C"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4.74E-03</w:t>
            </w:r>
          </w:p>
        </w:tc>
      </w:tr>
      <w:tr w:rsidR="00E01DBD" w:rsidRPr="001020CF" w14:paraId="2EA702AE"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502A2361"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Urin Blad</w:t>
            </w:r>
          </w:p>
        </w:tc>
        <w:tc>
          <w:tcPr>
            <w:tcW w:w="5528" w:type="dxa"/>
            <w:tcBorders>
              <w:top w:val="single" w:sz="8" w:space="0" w:color="FFFFFF"/>
              <w:left w:val="single" w:sz="8" w:space="0" w:color="FFFFFF"/>
              <w:bottom w:val="single" w:sz="8" w:space="0" w:color="FFFFFF"/>
              <w:right w:val="single" w:sz="8" w:space="0" w:color="FFFFFF"/>
            </w:tcBorders>
            <w:shd w:val="clear" w:color="auto" w:fill="E7E7E7"/>
            <w:tcMar>
              <w:top w:w="7" w:type="dxa"/>
              <w:left w:w="7" w:type="dxa"/>
              <w:bottom w:w="0" w:type="dxa"/>
              <w:right w:w="7" w:type="dxa"/>
            </w:tcMar>
            <w:vAlign w:val="center"/>
            <w:hideMark/>
          </w:tcPr>
          <w:p w14:paraId="7B9C1A39"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8.19E-04</w:t>
            </w:r>
          </w:p>
        </w:tc>
      </w:tr>
      <w:tr w:rsidR="00E01DBD" w:rsidRPr="001020CF" w14:paraId="130553C4" w14:textId="77777777" w:rsidTr="00690D0A">
        <w:trPr>
          <w:trHeight w:val="320"/>
        </w:trPr>
        <w:tc>
          <w:tcPr>
            <w:tcW w:w="2552"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581E9E5B"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Total Body</w:t>
            </w:r>
          </w:p>
        </w:tc>
        <w:tc>
          <w:tcPr>
            <w:tcW w:w="5528" w:type="dxa"/>
            <w:tcBorders>
              <w:top w:val="single" w:sz="8" w:space="0" w:color="FFFFFF"/>
              <w:left w:val="single" w:sz="8" w:space="0" w:color="FFFFFF"/>
              <w:bottom w:val="single" w:sz="8" w:space="0" w:color="FFFFFF"/>
              <w:right w:val="single" w:sz="8" w:space="0" w:color="FFFFFF"/>
            </w:tcBorders>
            <w:shd w:val="clear" w:color="auto" w:fill="CBCBCB"/>
            <w:tcMar>
              <w:top w:w="7" w:type="dxa"/>
              <w:left w:w="7" w:type="dxa"/>
              <w:bottom w:w="0" w:type="dxa"/>
              <w:right w:w="7" w:type="dxa"/>
            </w:tcMar>
            <w:vAlign w:val="center"/>
            <w:hideMark/>
          </w:tcPr>
          <w:p w14:paraId="29ADFE66"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5.46E-03</w:t>
            </w:r>
          </w:p>
        </w:tc>
      </w:tr>
      <w:tr w:rsidR="00E01DBD" w:rsidRPr="001020CF" w14:paraId="7DE9D6E4" w14:textId="77777777" w:rsidTr="00690D0A">
        <w:trPr>
          <w:trHeight w:val="320"/>
        </w:trPr>
        <w:tc>
          <w:tcPr>
            <w:tcW w:w="2552" w:type="dxa"/>
            <w:tcBorders>
              <w:top w:val="single" w:sz="8" w:space="0" w:color="FFFFFF"/>
              <w:left w:val="single" w:sz="8" w:space="0" w:color="FFFFFF"/>
              <w:right w:val="single" w:sz="8" w:space="0" w:color="FFFFFF"/>
            </w:tcBorders>
            <w:shd w:val="clear" w:color="auto" w:fill="E7E7E7"/>
            <w:tcMar>
              <w:top w:w="11" w:type="dxa"/>
              <w:left w:w="11" w:type="dxa"/>
              <w:bottom w:w="0" w:type="dxa"/>
              <w:right w:w="11" w:type="dxa"/>
            </w:tcMar>
            <w:vAlign w:val="center"/>
            <w:hideMark/>
          </w:tcPr>
          <w:p w14:paraId="4E6B4F55" w14:textId="77777777" w:rsidR="00E01DBD" w:rsidRPr="001020CF" w:rsidRDefault="00E01DBD" w:rsidP="00690D0A">
            <w:pPr>
              <w:spacing w:after="0" w:line="240" w:lineRule="auto"/>
              <w:ind w:firstLineChars="200" w:firstLine="420"/>
              <w:rPr>
                <w:rFonts w:ascii="Arial" w:hAnsi="Arial" w:cs="Arial"/>
                <w:sz w:val="21"/>
                <w:szCs w:val="21"/>
                <w14:ligatures w14:val="none"/>
              </w:rPr>
            </w:pPr>
            <w:r w:rsidRPr="001020CF">
              <w:rPr>
                <w:rFonts w:ascii="Arial" w:hAnsi="Arial" w:cs="Arial"/>
                <w:sz w:val="21"/>
                <w:szCs w:val="21"/>
                <w14:ligatures w14:val="none"/>
              </w:rPr>
              <w:t>Effective Dose</w:t>
            </w:r>
          </w:p>
        </w:tc>
        <w:tc>
          <w:tcPr>
            <w:tcW w:w="5528" w:type="dxa"/>
            <w:tcBorders>
              <w:top w:val="single" w:sz="8" w:space="0" w:color="FFFFFF"/>
              <w:left w:val="single" w:sz="8" w:space="0" w:color="FFFFFF"/>
              <w:right w:val="single" w:sz="8" w:space="0" w:color="FFFFFF"/>
            </w:tcBorders>
            <w:shd w:val="clear" w:color="auto" w:fill="E7E7E7"/>
            <w:tcMar>
              <w:top w:w="11" w:type="dxa"/>
              <w:left w:w="11" w:type="dxa"/>
              <w:bottom w:w="0" w:type="dxa"/>
              <w:right w:w="11" w:type="dxa"/>
            </w:tcMar>
            <w:vAlign w:val="center"/>
            <w:hideMark/>
          </w:tcPr>
          <w:p w14:paraId="05CF5483" w14:textId="77777777" w:rsidR="00E01DBD" w:rsidRPr="001020CF" w:rsidRDefault="00E01DBD" w:rsidP="00690D0A">
            <w:pPr>
              <w:spacing w:after="0" w:line="240" w:lineRule="auto"/>
              <w:jc w:val="center"/>
              <w:rPr>
                <w:rFonts w:ascii="Arial" w:hAnsi="Arial" w:cs="Arial"/>
                <w:sz w:val="21"/>
                <w:szCs w:val="21"/>
                <w14:ligatures w14:val="none"/>
              </w:rPr>
            </w:pPr>
            <w:r w:rsidRPr="001020CF">
              <w:rPr>
                <w:rFonts w:ascii="Arial" w:hAnsi="Arial" w:cs="Arial"/>
                <w:sz w:val="21"/>
                <w:szCs w:val="21"/>
                <w14:ligatures w14:val="none"/>
              </w:rPr>
              <w:t>1.28E-02</w:t>
            </w:r>
          </w:p>
        </w:tc>
      </w:tr>
      <w:tr w:rsidR="00E01DBD" w:rsidRPr="001020CF" w14:paraId="52B48AEC" w14:textId="77777777" w:rsidTr="00690D0A">
        <w:trPr>
          <w:trHeight w:val="320"/>
        </w:trPr>
        <w:tc>
          <w:tcPr>
            <w:tcW w:w="2552" w:type="dxa"/>
            <w:tcBorders>
              <w:bottom w:val="single" w:sz="12" w:space="0" w:color="auto"/>
            </w:tcBorders>
            <w:tcMar>
              <w:top w:w="11" w:type="dxa"/>
              <w:left w:w="11" w:type="dxa"/>
              <w:bottom w:w="0" w:type="dxa"/>
              <w:right w:w="11" w:type="dxa"/>
            </w:tcMar>
            <w:vAlign w:val="center"/>
          </w:tcPr>
          <w:p w14:paraId="0EE5D69A" w14:textId="77777777" w:rsidR="00E01DBD" w:rsidRPr="001020CF" w:rsidRDefault="00E01DBD" w:rsidP="00690D0A">
            <w:pPr>
              <w:spacing w:after="0" w:line="240" w:lineRule="auto"/>
              <w:jc w:val="center"/>
              <w:rPr>
                <w:rFonts w:ascii="Arial" w:hAnsi="Arial" w:cs="Arial"/>
                <w:sz w:val="21"/>
                <w:szCs w:val="22"/>
                <w14:ligatures w14:val="none"/>
              </w:rPr>
            </w:pPr>
          </w:p>
        </w:tc>
        <w:tc>
          <w:tcPr>
            <w:tcW w:w="5528" w:type="dxa"/>
            <w:vAlign w:val="center"/>
          </w:tcPr>
          <w:p w14:paraId="22668978" w14:textId="77777777" w:rsidR="00E01DBD" w:rsidRPr="001020CF" w:rsidRDefault="00E01DBD" w:rsidP="00690D0A">
            <w:pPr>
              <w:spacing w:after="0" w:line="240" w:lineRule="auto"/>
              <w:jc w:val="center"/>
              <w:rPr>
                <w:rFonts w:ascii="Arial" w:hAnsi="Arial" w:cs="Arial"/>
                <w:sz w:val="21"/>
                <w:szCs w:val="22"/>
                <w14:ligatures w14:val="none"/>
              </w:rPr>
            </w:pPr>
          </w:p>
        </w:tc>
      </w:tr>
      <w:tr w:rsidR="00E01DBD" w:rsidRPr="001020CF" w14:paraId="548721A8" w14:textId="77777777" w:rsidTr="00690D0A">
        <w:trPr>
          <w:trHeight w:val="632"/>
        </w:trPr>
        <w:tc>
          <w:tcPr>
            <w:tcW w:w="8080" w:type="dxa"/>
            <w:gridSpan w:val="2"/>
            <w:tcBorders>
              <w:bottom w:val="single" w:sz="12" w:space="0" w:color="000000"/>
            </w:tcBorders>
            <w:tcMar>
              <w:top w:w="11" w:type="dxa"/>
              <w:left w:w="11" w:type="dxa"/>
              <w:bottom w:w="0" w:type="dxa"/>
              <w:right w:w="11" w:type="dxa"/>
            </w:tcMar>
            <w:vAlign w:val="center"/>
          </w:tcPr>
          <w:p w14:paraId="734260C4" w14:textId="77777777" w:rsidR="00E01DBD" w:rsidRPr="003252E0" w:rsidRDefault="00E01DBD" w:rsidP="00690D0A">
            <w:pPr>
              <w:spacing w:after="0" w:line="240" w:lineRule="auto"/>
              <w:rPr>
                <w:rFonts w:ascii="Arial" w:hAnsi="Arial" w:cs="Arial"/>
                <w:sz w:val="21"/>
                <w:szCs w:val="21"/>
                <w14:ligatures w14:val="none"/>
              </w:rPr>
            </w:pPr>
            <w:r w:rsidRPr="003252E0">
              <w:rPr>
                <w:rFonts w:ascii="Arial" w:hAnsi="Arial" w:cs="Arial"/>
                <w:sz w:val="21"/>
                <w:szCs w:val="21"/>
                <w14:ligatures w14:val="none"/>
              </w:rPr>
              <w:t xml:space="preserve">Mean absorbed doses after injection of </w:t>
            </w:r>
            <w:r w:rsidRPr="003252E0">
              <w:rPr>
                <w:rFonts w:ascii="Arial" w:hAnsi="Arial" w:cs="Arial" w:hint="eastAsia"/>
                <w:sz w:val="21"/>
                <w:szCs w:val="21"/>
                <w14:ligatures w14:val="none"/>
              </w:rPr>
              <w:t>[</w:t>
            </w:r>
            <w:r w:rsidRPr="003252E0">
              <w:rPr>
                <w:rFonts w:ascii="Arial" w:hAnsi="Arial" w:cs="Arial"/>
                <w:sz w:val="21"/>
                <w:szCs w:val="21"/>
                <w:vertAlign w:val="superscript"/>
                <w14:ligatures w14:val="none"/>
              </w:rPr>
              <w:t>68</w:t>
            </w:r>
            <w:proofErr w:type="gramStart"/>
            <w:r w:rsidRPr="003252E0">
              <w:rPr>
                <w:rFonts w:ascii="Arial" w:hAnsi="Arial" w:cs="Arial"/>
                <w:sz w:val="21"/>
                <w:szCs w:val="21"/>
                <w14:ligatures w14:val="none"/>
              </w:rPr>
              <w:t>Ga</w:t>
            </w:r>
            <w:r w:rsidRPr="003252E0">
              <w:rPr>
                <w:rFonts w:ascii="Arial" w:hAnsi="Arial" w:cs="Arial" w:hint="eastAsia"/>
                <w:sz w:val="21"/>
                <w:szCs w:val="21"/>
                <w14:ligatures w14:val="none"/>
              </w:rPr>
              <w:t>]Ga</w:t>
            </w:r>
            <w:proofErr w:type="gramEnd"/>
            <w:r w:rsidRPr="003252E0">
              <w:rPr>
                <w:rFonts w:ascii="Arial" w:hAnsi="Arial" w:cs="Arial"/>
                <w:sz w:val="21"/>
                <w:szCs w:val="21"/>
                <w14:ligatures w14:val="none"/>
              </w:rPr>
              <w:t>- NOTA</w:t>
            </w:r>
            <w:r w:rsidRPr="003252E0">
              <w:rPr>
                <w:rFonts w:ascii="Arial" w:hAnsi="Arial" w:cs="Arial" w:hint="eastAsia"/>
                <w:sz w:val="21"/>
                <w:szCs w:val="21"/>
                <w14:ligatures w14:val="none"/>
              </w:rPr>
              <w:t>-BED</w:t>
            </w:r>
            <w:r w:rsidRPr="003252E0">
              <w:rPr>
                <w:rFonts w:ascii="Arial" w:hAnsi="Arial" w:cs="Arial"/>
                <w:sz w:val="21"/>
                <w:szCs w:val="21"/>
                <w14:ligatures w14:val="none"/>
              </w:rPr>
              <w:t xml:space="preserve"> mice, extrapolated to adult human male model.</w:t>
            </w:r>
          </w:p>
        </w:tc>
      </w:tr>
    </w:tbl>
    <w:p w14:paraId="444D05A5" w14:textId="77777777" w:rsidR="00936958" w:rsidRDefault="00936958" w:rsidP="00E01DBD">
      <w:pPr>
        <w:tabs>
          <w:tab w:val="left" w:pos="1243"/>
        </w:tabs>
        <w:jc w:val="both"/>
        <w:rPr>
          <w:rFonts w:ascii="Times New Roman" w:hAnsi="Times New Roman" w:cs="Times New Roman"/>
          <w:b/>
          <w:bCs/>
          <w:szCs w:val="22"/>
          <w14:ligatures w14:val="none"/>
        </w:rPr>
      </w:pPr>
    </w:p>
    <w:p w14:paraId="6140A6AD" w14:textId="0DE5CF43" w:rsidR="00E01DBD" w:rsidRPr="00B2341D" w:rsidRDefault="00E01DBD" w:rsidP="00E01DBD">
      <w:pPr>
        <w:tabs>
          <w:tab w:val="left" w:pos="1243"/>
        </w:tabs>
        <w:jc w:val="both"/>
        <w:rPr>
          <w:rFonts w:ascii="Times New Roman" w:hAnsi="Times New Roman" w:cs="Times New Roman"/>
        </w:rPr>
      </w:pPr>
      <w:r w:rsidRPr="00B2341D">
        <w:rPr>
          <w:rFonts w:ascii="Times New Roman" w:hAnsi="Times New Roman" w:cs="Times New Roman"/>
          <w:b/>
          <w:bCs/>
          <w:szCs w:val="22"/>
          <w14:ligatures w14:val="none"/>
        </w:rPr>
        <w:t>Table 2</w:t>
      </w:r>
      <w:r w:rsidRPr="00B2341D">
        <w:rPr>
          <w:rFonts w:ascii="Times New Roman" w:hAnsi="Times New Roman" w:cs="Times New Roman"/>
          <w:szCs w:val="22"/>
          <w14:ligatures w14:val="none"/>
        </w:rPr>
        <w:t>. Extrapolated Human Radiation Dose Estimates for [</w:t>
      </w:r>
      <w:r w:rsidRPr="00B2341D">
        <w:rPr>
          <w:rFonts w:ascii="Times New Roman" w:hAnsi="Times New Roman" w:cs="Times New Roman"/>
          <w:szCs w:val="22"/>
          <w:vertAlign w:val="superscript"/>
          <w14:ligatures w14:val="none"/>
        </w:rPr>
        <w:t>68</w:t>
      </w:r>
      <w:proofErr w:type="gramStart"/>
      <w:r w:rsidRPr="00B2341D">
        <w:rPr>
          <w:rFonts w:ascii="Times New Roman" w:hAnsi="Times New Roman" w:cs="Times New Roman"/>
          <w:szCs w:val="22"/>
          <w14:ligatures w14:val="none"/>
        </w:rPr>
        <w:t>Ga]Ga</w:t>
      </w:r>
      <w:proofErr w:type="gramEnd"/>
      <w:r w:rsidRPr="00B2341D">
        <w:rPr>
          <w:rFonts w:ascii="Times New Roman" w:hAnsi="Times New Roman" w:cs="Times New Roman"/>
          <w:szCs w:val="22"/>
          <w14:ligatures w14:val="none"/>
        </w:rPr>
        <w:t>- NOTA-BED</w:t>
      </w:r>
    </w:p>
    <w:p w14:paraId="61ADFD95" w14:textId="77777777" w:rsidR="000C5B3C" w:rsidRDefault="000C5B3C" w:rsidP="00E01DBD">
      <w:pPr>
        <w:tabs>
          <w:tab w:val="left" w:pos="1243"/>
        </w:tabs>
        <w:jc w:val="both"/>
        <w:rPr>
          <w:rFonts w:ascii="Times New Roman" w:hAnsi="Times New Roman" w:cs="Times New Roman"/>
        </w:rPr>
      </w:pPr>
    </w:p>
    <w:p w14:paraId="183CD792" w14:textId="3B1AB6E4" w:rsidR="000C5B3C" w:rsidRPr="007E55E1" w:rsidRDefault="007A107B" w:rsidP="00E01DBD">
      <w:pPr>
        <w:tabs>
          <w:tab w:val="left" w:pos="1243"/>
        </w:tabs>
        <w:jc w:val="both"/>
        <w:rPr>
          <w:rFonts w:ascii="Times New Roman" w:hAnsi="Times New Roman" w:cs="Times New Roman"/>
          <w:b/>
          <w:bCs/>
          <w:color w:val="000000" w:themeColor="text1"/>
        </w:rPr>
      </w:pPr>
      <w:r w:rsidRPr="007E55E1">
        <w:rPr>
          <w:rFonts w:ascii="Times New Roman" w:hAnsi="Times New Roman" w:cs="Times New Roman"/>
          <w:b/>
          <w:bCs/>
          <w:color w:val="000000" w:themeColor="text1"/>
        </w:rPr>
        <w:lastRenderedPageBreak/>
        <w:t>References:</w:t>
      </w:r>
    </w:p>
    <w:p w14:paraId="04CBDC84" w14:textId="5C379AB6" w:rsidR="000C5B3C" w:rsidRPr="007E55E1" w:rsidRDefault="000C5B3C" w:rsidP="000C5B3C">
      <w:pPr>
        <w:pStyle w:val="EndNoteBibliography"/>
        <w:ind w:left="720" w:hanging="720"/>
        <w:rPr>
          <w:rFonts w:ascii="Times New Roman" w:hAnsi="Times New Roman" w:cs="Times New Roman"/>
          <w:color w:val="000000" w:themeColor="text1"/>
        </w:rPr>
      </w:pPr>
      <w:r w:rsidRPr="007E55E1">
        <w:rPr>
          <w:rFonts w:ascii="Times New Roman" w:hAnsi="Times New Roman" w:cs="Times New Roman"/>
          <w:color w:val="000000" w:themeColor="text1"/>
        </w:rPr>
        <w:fldChar w:fldCharType="begin"/>
      </w:r>
      <w:r w:rsidRPr="007E55E1">
        <w:rPr>
          <w:rFonts w:ascii="Times New Roman" w:hAnsi="Times New Roman" w:cs="Times New Roman"/>
          <w:color w:val="000000" w:themeColor="text1"/>
        </w:rPr>
        <w:instrText xml:space="preserve"> ADDIN EN.REFLIST </w:instrText>
      </w:r>
      <w:r w:rsidRPr="007E55E1">
        <w:rPr>
          <w:rFonts w:ascii="Times New Roman" w:hAnsi="Times New Roman" w:cs="Times New Roman"/>
          <w:color w:val="000000" w:themeColor="text1"/>
        </w:rPr>
        <w:fldChar w:fldCharType="separate"/>
      </w:r>
      <w:r w:rsidRPr="007E55E1">
        <w:rPr>
          <w:rFonts w:ascii="Times New Roman" w:hAnsi="Times New Roman" w:cs="Times New Roman"/>
          <w:color w:val="000000" w:themeColor="text1"/>
        </w:rPr>
        <w:t>[1]</w:t>
      </w:r>
      <w:r w:rsidRPr="007E55E1">
        <w:rPr>
          <w:rFonts w:ascii="Times New Roman" w:hAnsi="Times New Roman" w:cs="Times New Roman"/>
          <w:color w:val="000000" w:themeColor="text1"/>
        </w:rPr>
        <w:tab/>
        <w:t>YANG M, HASE H, LEGARDA-ADDISON D, et al. B cell maturation antigen, the receptor for a proliferation-inducing ligand and B cell-activating factor of the TNF family, induces antigen presentation in B cells.</w:t>
      </w:r>
      <w:r w:rsidRPr="007E55E1">
        <w:rPr>
          <w:rFonts w:ascii="Times New Roman" w:hAnsi="Times New Roman" w:cs="Times New Roman"/>
          <w:i/>
          <w:iCs/>
          <w:color w:val="000000" w:themeColor="text1"/>
        </w:rPr>
        <w:t xml:space="preserve"> J Immunol</w:t>
      </w:r>
      <w:r w:rsidR="007A107B" w:rsidRPr="007E55E1">
        <w:rPr>
          <w:rFonts w:ascii="Times New Roman" w:hAnsi="Times New Roman" w:cs="Times New Roman" w:hint="eastAsia"/>
          <w:color w:val="000000" w:themeColor="text1"/>
        </w:rPr>
        <w:t>.</w:t>
      </w:r>
      <w:r w:rsidRPr="007E55E1">
        <w:rPr>
          <w:rFonts w:ascii="Times New Roman" w:hAnsi="Times New Roman" w:cs="Times New Roman"/>
          <w:color w:val="000000" w:themeColor="text1"/>
        </w:rPr>
        <w:t xml:space="preserve">, </w:t>
      </w:r>
      <w:r w:rsidRPr="007E55E1">
        <w:rPr>
          <w:rFonts w:ascii="Times New Roman" w:hAnsi="Times New Roman" w:cs="Times New Roman"/>
          <w:b/>
          <w:bCs/>
          <w:color w:val="000000" w:themeColor="text1"/>
        </w:rPr>
        <w:t>175</w:t>
      </w:r>
      <w:r w:rsidR="007A107B" w:rsidRPr="007E55E1">
        <w:rPr>
          <w:rFonts w:ascii="Times New Roman" w:hAnsi="Times New Roman" w:cs="Times New Roman" w:hint="eastAsia"/>
          <w:color w:val="000000" w:themeColor="text1"/>
        </w:rPr>
        <w:t>,</w:t>
      </w:r>
      <w:r w:rsidRPr="007E55E1">
        <w:rPr>
          <w:rFonts w:ascii="Times New Roman" w:hAnsi="Times New Roman" w:cs="Times New Roman"/>
          <w:color w:val="000000" w:themeColor="text1"/>
        </w:rPr>
        <w:t xml:space="preserve"> 2814-24</w:t>
      </w:r>
      <w:r w:rsidR="007A107B" w:rsidRPr="007E55E1">
        <w:rPr>
          <w:rFonts w:ascii="Times New Roman" w:hAnsi="Times New Roman" w:cs="Times New Roman" w:hint="eastAsia"/>
          <w:color w:val="000000" w:themeColor="text1"/>
        </w:rPr>
        <w:t xml:space="preserve"> (</w:t>
      </w:r>
      <w:r w:rsidR="007A107B" w:rsidRPr="007E55E1">
        <w:rPr>
          <w:rFonts w:ascii="Times New Roman" w:hAnsi="Times New Roman" w:cs="Times New Roman"/>
          <w:color w:val="000000" w:themeColor="text1"/>
        </w:rPr>
        <w:t>2005</w:t>
      </w:r>
      <w:r w:rsidR="007A107B" w:rsidRPr="007E55E1">
        <w:rPr>
          <w:rFonts w:ascii="Times New Roman" w:hAnsi="Times New Roman" w:cs="Times New Roman" w:hint="eastAsia"/>
          <w:color w:val="000000" w:themeColor="text1"/>
        </w:rPr>
        <w:t>)</w:t>
      </w:r>
      <w:r w:rsidRPr="007E55E1">
        <w:rPr>
          <w:rFonts w:ascii="Times New Roman" w:hAnsi="Times New Roman" w:cs="Times New Roman"/>
          <w:color w:val="000000" w:themeColor="text1"/>
        </w:rPr>
        <w:t>.</w:t>
      </w:r>
    </w:p>
    <w:p w14:paraId="08472BEB" w14:textId="0B0C28BB" w:rsidR="00E01DBD" w:rsidRPr="00655B1B" w:rsidRDefault="000C5B3C" w:rsidP="00E01DBD">
      <w:pPr>
        <w:tabs>
          <w:tab w:val="left" w:pos="1243"/>
        </w:tabs>
        <w:jc w:val="both"/>
        <w:rPr>
          <w:rFonts w:ascii="Times New Roman" w:hAnsi="Times New Roman" w:cs="Times New Roman"/>
        </w:rPr>
      </w:pPr>
      <w:r w:rsidRPr="007E55E1">
        <w:rPr>
          <w:rFonts w:ascii="Times New Roman" w:hAnsi="Times New Roman" w:cs="Times New Roman"/>
          <w:color w:val="000000" w:themeColor="text1"/>
        </w:rPr>
        <w:fldChar w:fldCharType="end"/>
      </w:r>
    </w:p>
    <w:sectPr w:rsidR="00E01DBD" w:rsidRPr="00655B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0AC5" w14:textId="77777777" w:rsidR="00FF5039" w:rsidRDefault="00FF5039" w:rsidP="00320E45">
      <w:pPr>
        <w:spacing w:after="0" w:line="240" w:lineRule="auto"/>
        <w:rPr>
          <w:rFonts w:hint="eastAsia"/>
        </w:rPr>
      </w:pPr>
      <w:r>
        <w:separator/>
      </w:r>
    </w:p>
  </w:endnote>
  <w:endnote w:type="continuationSeparator" w:id="0">
    <w:p w14:paraId="7B04DF4B" w14:textId="77777777" w:rsidR="00FF5039" w:rsidRDefault="00FF5039" w:rsidP="00320E4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9F1A0" w14:textId="77777777" w:rsidR="00FF5039" w:rsidRDefault="00FF5039" w:rsidP="00320E45">
      <w:pPr>
        <w:spacing w:after="0" w:line="240" w:lineRule="auto"/>
        <w:rPr>
          <w:rFonts w:hint="eastAsia"/>
        </w:rPr>
      </w:pPr>
      <w:r>
        <w:separator/>
      </w:r>
    </w:p>
  </w:footnote>
  <w:footnote w:type="continuationSeparator" w:id="0">
    <w:p w14:paraId="2E91D6AE" w14:textId="77777777" w:rsidR="00FF5039" w:rsidRDefault="00FF5039" w:rsidP="00320E45">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afe2xx0rsvr2e522tpa2vsree59pvrdvev&quot;&gt;big paper&lt;record-ids&gt;&lt;item&gt;234&lt;/item&gt;&lt;/record-ids&gt;&lt;/item&gt;&lt;/Libraries&gt;"/>
  </w:docVars>
  <w:rsids>
    <w:rsidRoot w:val="006C5EB0"/>
    <w:rsid w:val="00007C2F"/>
    <w:rsid w:val="000275CC"/>
    <w:rsid w:val="00045B1D"/>
    <w:rsid w:val="00083E74"/>
    <w:rsid w:val="000B0C0D"/>
    <w:rsid w:val="000B1B0C"/>
    <w:rsid w:val="000B2434"/>
    <w:rsid w:val="000B7447"/>
    <w:rsid w:val="000C5B3C"/>
    <w:rsid w:val="000D51B7"/>
    <w:rsid w:val="00101C2A"/>
    <w:rsid w:val="001020CF"/>
    <w:rsid w:val="0014115F"/>
    <w:rsid w:val="00141F08"/>
    <w:rsid w:val="00151E1B"/>
    <w:rsid w:val="00162052"/>
    <w:rsid w:val="001A3802"/>
    <w:rsid w:val="001C18A8"/>
    <w:rsid w:val="00207B94"/>
    <w:rsid w:val="00225AFB"/>
    <w:rsid w:val="00227D63"/>
    <w:rsid w:val="002930AB"/>
    <w:rsid w:val="003024E8"/>
    <w:rsid w:val="003173EF"/>
    <w:rsid w:val="00320E45"/>
    <w:rsid w:val="003252E0"/>
    <w:rsid w:val="0032607A"/>
    <w:rsid w:val="00357C77"/>
    <w:rsid w:val="003C5525"/>
    <w:rsid w:val="00436F13"/>
    <w:rsid w:val="004601E6"/>
    <w:rsid w:val="004659BE"/>
    <w:rsid w:val="00485302"/>
    <w:rsid w:val="00496177"/>
    <w:rsid w:val="004B305E"/>
    <w:rsid w:val="004C4836"/>
    <w:rsid w:val="004E3C52"/>
    <w:rsid w:val="00547A4F"/>
    <w:rsid w:val="005958DB"/>
    <w:rsid w:val="005E64B3"/>
    <w:rsid w:val="00665FEF"/>
    <w:rsid w:val="00682648"/>
    <w:rsid w:val="006C5EB0"/>
    <w:rsid w:val="006D0B11"/>
    <w:rsid w:val="006E06F8"/>
    <w:rsid w:val="0074330C"/>
    <w:rsid w:val="00754207"/>
    <w:rsid w:val="007A107B"/>
    <w:rsid w:val="007D6A8F"/>
    <w:rsid w:val="007E55E1"/>
    <w:rsid w:val="007F5B73"/>
    <w:rsid w:val="008120F5"/>
    <w:rsid w:val="00832778"/>
    <w:rsid w:val="00843670"/>
    <w:rsid w:val="00861B72"/>
    <w:rsid w:val="00881EB6"/>
    <w:rsid w:val="008A4E6A"/>
    <w:rsid w:val="008E63C5"/>
    <w:rsid w:val="00902334"/>
    <w:rsid w:val="00921DFE"/>
    <w:rsid w:val="00936958"/>
    <w:rsid w:val="00970618"/>
    <w:rsid w:val="009733AD"/>
    <w:rsid w:val="009D62C0"/>
    <w:rsid w:val="009E2D72"/>
    <w:rsid w:val="00A52B09"/>
    <w:rsid w:val="00AA5EA6"/>
    <w:rsid w:val="00AB77F3"/>
    <w:rsid w:val="00AD6B7D"/>
    <w:rsid w:val="00B02AF5"/>
    <w:rsid w:val="00B04571"/>
    <w:rsid w:val="00B652BF"/>
    <w:rsid w:val="00BC0A56"/>
    <w:rsid w:val="00C46131"/>
    <w:rsid w:val="00C80C20"/>
    <w:rsid w:val="00C9796B"/>
    <w:rsid w:val="00CA337D"/>
    <w:rsid w:val="00CB0ACD"/>
    <w:rsid w:val="00CD6B0F"/>
    <w:rsid w:val="00CF113E"/>
    <w:rsid w:val="00D0409B"/>
    <w:rsid w:val="00D56C40"/>
    <w:rsid w:val="00DF184F"/>
    <w:rsid w:val="00DF2810"/>
    <w:rsid w:val="00E01DBD"/>
    <w:rsid w:val="00E33018"/>
    <w:rsid w:val="00E605FD"/>
    <w:rsid w:val="00F330E8"/>
    <w:rsid w:val="00F652AB"/>
    <w:rsid w:val="00FB4EDE"/>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B6D24"/>
  <w15:chartTrackingRefBased/>
  <w15:docId w15:val="{65A8A8CE-0ABF-4106-82A3-DC1604E3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C5EB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5958DB"/>
    <w:pPr>
      <w:keepNext/>
      <w:keepLines/>
      <w:spacing w:before="480" w:after="120" w:line="240" w:lineRule="auto"/>
      <w:jc w:val="both"/>
      <w:outlineLvl w:val="1"/>
    </w:pPr>
    <w:rPr>
      <w:rFonts w:asciiTheme="majorHAnsi" w:eastAsia="宋体" w:hAnsiTheme="majorHAnsi" w:cstheme="majorBidi"/>
      <w:b/>
      <w:bCs/>
      <w:sz w:val="24"/>
      <w:szCs w:val="32"/>
      <w14:ligatures w14:val="none"/>
    </w:rPr>
  </w:style>
  <w:style w:type="paragraph" w:styleId="3">
    <w:name w:val="heading 3"/>
    <w:basedOn w:val="a"/>
    <w:next w:val="a"/>
    <w:link w:val="30"/>
    <w:uiPriority w:val="9"/>
    <w:unhideWhenUsed/>
    <w:qFormat/>
    <w:rsid w:val="005958DB"/>
    <w:pPr>
      <w:keepNext/>
      <w:keepLines/>
      <w:spacing w:before="240" w:after="120" w:line="240" w:lineRule="auto"/>
      <w:jc w:val="both"/>
      <w:outlineLvl w:val="2"/>
    </w:pPr>
    <w:rPr>
      <w:rFonts w:ascii="Times New Roman" w:eastAsia="宋体" w:hAnsi="Times New Roman" w:cs="Times New Roman"/>
      <w:bCs/>
      <w:sz w:val="24"/>
      <w:szCs w:val="32"/>
      <w14:ligatures w14:val="none"/>
    </w:rPr>
  </w:style>
  <w:style w:type="paragraph" w:styleId="4">
    <w:name w:val="heading 4"/>
    <w:basedOn w:val="a"/>
    <w:next w:val="a"/>
    <w:link w:val="40"/>
    <w:uiPriority w:val="9"/>
    <w:semiHidden/>
    <w:unhideWhenUsed/>
    <w:qFormat/>
    <w:rsid w:val="006C5EB0"/>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C5EB0"/>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C5EB0"/>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C5EB0"/>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C5EB0"/>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C5EB0"/>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5958DB"/>
    <w:rPr>
      <w:rFonts w:asciiTheme="majorHAnsi" w:eastAsia="宋体" w:hAnsiTheme="majorHAnsi" w:cstheme="majorBidi"/>
      <w:b/>
      <w:bCs/>
      <w:sz w:val="24"/>
      <w:szCs w:val="32"/>
      <w14:ligatures w14:val="none"/>
    </w:rPr>
  </w:style>
  <w:style w:type="character" w:customStyle="1" w:styleId="30">
    <w:name w:val="标题 3 字符"/>
    <w:basedOn w:val="a0"/>
    <w:link w:val="3"/>
    <w:uiPriority w:val="9"/>
    <w:rsid w:val="005958DB"/>
    <w:rPr>
      <w:rFonts w:ascii="Times New Roman" w:eastAsia="宋体" w:hAnsi="Times New Roman" w:cs="Times New Roman"/>
      <w:bCs/>
      <w:sz w:val="24"/>
      <w:szCs w:val="32"/>
      <w14:ligatures w14:val="none"/>
    </w:rPr>
  </w:style>
  <w:style w:type="character" w:customStyle="1" w:styleId="10">
    <w:name w:val="标题 1 字符"/>
    <w:basedOn w:val="a0"/>
    <w:link w:val="1"/>
    <w:uiPriority w:val="9"/>
    <w:rsid w:val="006C5EB0"/>
    <w:rPr>
      <w:rFonts w:asciiTheme="majorHAnsi" w:eastAsiaTheme="majorEastAsia" w:hAnsiTheme="majorHAnsi" w:cstheme="majorBidi"/>
      <w:color w:val="2F5496" w:themeColor="accent1" w:themeShade="BF"/>
      <w:sz w:val="48"/>
      <w:szCs w:val="48"/>
    </w:rPr>
  </w:style>
  <w:style w:type="character" w:customStyle="1" w:styleId="40">
    <w:name w:val="标题 4 字符"/>
    <w:basedOn w:val="a0"/>
    <w:link w:val="4"/>
    <w:uiPriority w:val="9"/>
    <w:semiHidden/>
    <w:rsid w:val="006C5EB0"/>
    <w:rPr>
      <w:rFonts w:cstheme="majorBidi"/>
      <w:color w:val="2F5496" w:themeColor="accent1" w:themeShade="BF"/>
      <w:sz w:val="28"/>
      <w:szCs w:val="28"/>
    </w:rPr>
  </w:style>
  <w:style w:type="character" w:customStyle="1" w:styleId="50">
    <w:name w:val="标题 5 字符"/>
    <w:basedOn w:val="a0"/>
    <w:link w:val="5"/>
    <w:uiPriority w:val="9"/>
    <w:semiHidden/>
    <w:rsid w:val="006C5EB0"/>
    <w:rPr>
      <w:rFonts w:cstheme="majorBidi"/>
      <w:color w:val="2F5496" w:themeColor="accent1" w:themeShade="BF"/>
      <w:sz w:val="24"/>
    </w:rPr>
  </w:style>
  <w:style w:type="character" w:customStyle="1" w:styleId="60">
    <w:name w:val="标题 6 字符"/>
    <w:basedOn w:val="a0"/>
    <w:link w:val="6"/>
    <w:uiPriority w:val="9"/>
    <w:semiHidden/>
    <w:rsid w:val="006C5EB0"/>
    <w:rPr>
      <w:rFonts w:cstheme="majorBidi"/>
      <w:b/>
      <w:bCs/>
      <w:color w:val="2F5496" w:themeColor="accent1" w:themeShade="BF"/>
    </w:rPr>
  </w:style>
  <w:style w:type="character" w:customStyle="1" w:styleId="70">
    <w:name w:val="标题 7 字符"/>
    <w:basedOn w:val="a0"/>
    <w:link w:val="7"/>
    <w:uiPriority w:val="9"/>
    <w:semiHidden/>
    <w:rsid w:val="006C5EB0"/>
    <w:rPr>
      <w:rFonts w:cstheme="majorBidi"/>
      <w:b/>
      <w:bCs/>
      <w:color w:val="595959" w:themeColor="text1" w:themeTint="A6"/>
    </w:rPr>
  </w:style>
  <w:style w:type="character" w:customStyle="1" w:styleId="80">
    <w:name w:val="标题 8 字符"/>
    <w:basedOn w:val="a0"/>
    <w:link w:val="8"/>
    <w:uiPriority w:val="9"/>
    <w:semiHidden/>
    <w:rsid w:val="006C5EB0"/>
    <w:rPr>
      <w:rFonts w:cstheme="majorBidi"/>
      <w:color w:val="595959" w:themeColor="text1" w:themeTint="A6"/>
    </w:rPr>
  </w:style>
  <w:style w:type="character" w:customStyle="1" w:styleId="90">
    <w:name w:val="标题 9 字符"/>
    <w:basedOn w:val="a0"/>
    <w:link w:val="9"/>
    <w:uiPriority w:val="9"/>
    <w:semiHidden/>
    <w:rsid w:val="006C5EB0"/>
    <w:rPr>
      <w:rFonts w:eastAsiaTheme="majorEastAsia" w:cstheme="majorBidi"/>
      <w:color w:val="595959" w:themeColor="text1" w:themeTint="A6"/>
    </w:rPr>
  </w:style>
  <w:style w:type="paragraph" w:styleId="a3">
    <w:name w:val="Title"/>
    <w:basedOn w:val="a"/>
    <w:next w:val="a"/>
    <w:link w:val="a4"/>
    <w:uiPriority w:val="10"/>
    <w:qFormat/>
    <w:rsid w:val="006C5EB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C5E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5EB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C5EB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5EB0"/>
    <w:pPr>
      <w:spacing w:before="160"/>
      <w:jc w:val="center"/>
    </w:pPr>
    <w:rPr>
      <w:i/>
      <w:iCs/>
      <w:color w:val="404040" w:themeColor="text1" w:themeTint="BF"/>
    </w:rPr>
  </w:style>
  <w:style w:type="character" w:customStyle="1" w:styleId="a8">
    <w:name w:val="引用 字符"/>
    <w:basedOn w:val="a0"/>
    <w:link w:val="a7"/>
    <w:uiPriority w:val="29"/>
    <w:rsid w:val="006C5EB0"/>
    <w:rPr>
      <w:i/>
      <w:iCs/>
      <w:color w:val="404040" w:themeColor="text1" w:themeTint="BF"/>
    </w:rPr>
  </w:style>
  <w:style w:type="paragraph" w:styleId="a9">
    <w:name w:val="List Paragraph"/>
    <w:basedOn w:val="a"/>
    <w:uiPriority w:val="34"/>
    <w:qFormat/>
    <w:rsid w:val="006C5EB0"/>
    <w:pPr>
      <w:ind w:left="720"/>
      <w:contextualSpacing/>
    </w:pPr>
  </w:style>
  <w:style w:type="character" w:styleId="aa">
    <w:name w:val="Intense Emphasis"/>
    <w:basedOn w:val="a0"/>
    <w:uiPriority w:val="21"/>
    <w:qFormat/>
    <w:rsid w:val="006C5EB0"/>
    <w:rPr>
      <w:i/>
      <w:iCs/>
      <w:color w:val="2F5496" w:themeColor="accent1" w:themeShade="BF"/>
    </w:rPr>
  </w:style>
  <w:style w:type="paragraph" w:styleId="ab">
    <w:name w:val="Intense Quote"/>
    <w:basedOn w:val="a"/>
    <w:next w:val="a"/>
    <w:link w:val="ac"/>
    <w:uiPriority w:val="30"/>
    <w:qFormat/>
    <w:rsid w:val="006C5E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C5EB0"/>
    <w:rPr>
      <w:i/>
      <w:iCs/>
      <w:color w:val="2F5496" w:themeColor="accent1" w:themeShade="BF"/>
    </w:rPr>
  </w:style>
  <w:style w:type="character" w:styleId="ad">
    <w:name w:val="Intense Reference"/>
    <w:basedOn w:val="a0"/>
    <w:uiPriority w:val="32"/>
    <w:qFormat/>
    <w:rsid w:val="006C5EB0"/>
    <w:rPr>
      <w:b/>
      <w:bCs/>
      <w:smallCaps/>
      <w:color w:val="2F5496" w:themeColor="accent1" w:themeShade="BF"/>
      <w:spacing w:val="5"/>
    </w:rPr>
  </w:style>
  <w:style w:type="paragraph" w:styleId="ae">
    <w:name w:val="header"/>
    <w:basedOn w:val="a"/>
    <w:link w:val="af"/>
    <w:uiPriority w:val="99"/>
    <w:unhideWhenUsed/>
    <w:rsid w:val="00320E4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20E45"/>
    <w:rPr>
      <w:sz w:val="18"/>
      <w:szCs w:val="18"/>
    </w:rPr>
  </w:style>
  <w:style w:type="paragraph" w:styleId="af0">
    <w:name w:val="footer"/>
    <w:basedOn w:val="a"/>
    <w:link w:val="af1"/>
    <w:uiPriority w:val="99"/>
    <w:unhideWhenUsed/>
    <w:rsid w:val="00320E4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20E45"/>
    <w:rPr>
      <w:sz w:val="18"/>
      <w:szCs w:val="18"/>
    </w:rPr>
  </w:style>
  <w:style w:type="paragraph" w:styleId="af2">
    <w:name w:val="Normal (Web)"/>
    <w:basedOn w:val="a"/>
    <w:uiPriority w:val="99"/>
    <w:semiHidden/>
    <w:unhideWhenUsed/>
    <w:rsid w:val="0032607A"/>
    <w:pPr>
      <w:widowControl/>
      <w:spacing w:before="100" w:beforeAutospacing="1" w:after="100" w:afterAutospacing="1" w:line="240" w:lineRule="auto"/>
    </w:pPr>
    <w:rPr>
      <w:rFonts w:ascii="宋体" w:eastAsia="宋体" w:hAnsi="宋体" w:cs="宋体"/>
      <w:kern w:val="0"/>
      <w:sz w:val="24"/>
      <w14:ligatures w14:val="none"/>
    </w:rPr>
  </w:style>
  <w:style w:type="table" w:styleId="af3">
    <w:name w:val="Table Grid"/>
    <w:basedOn w:val="a1"/>
    <w:uiPriority w:val="39"/>
    <w:rsid w:val="00E0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0C5B3C"/>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0C5B3C"/>
    <w:rPr>
      <w:rFonts w:ascii="等线" w:eastAsia="等线" w:hAnsi="等线"/>
      <w:noProof/>
    </w:rPr>
  </w:style>
  <w:style w:type="paragraph" w:customStyle="1" w:styleId="EndNoteBibliography">
    <w:name w:val="EndNote Bibliography"/>
    <w:basedOn w:val="a"/>
    <w:link w:val="EndNoteBibliography0"/>
    <w:rsid w:val="000C5B3C"/>
    <w:pPr>
      <w:spacing w:line="240" w:lineRule="auto"/>
      <w:jc w:val="both"/>
    </w:pPr>
    <w:rPr>
      <w:rFonts w:ascii="等线" w:eastAsia="等线" w:hAnsi="等线"/>
      <w:noProof/>
    </w:rPr>
  </w:style>
  <w:style w:type="character" w:customStyle="1" w:styleId="EndNoteBibliography0">
    <w:name w:val="EndNote Bibliography 字符"/>
    <w:basedOn w:val="a0"/>
    <w:link w:val="EndNoteBibliography"/>
    <w:rsid w:val="000C5B3C"/>
    <w:rPr>
      <w:rFonts w:ascii="等线" w:eastAsia="等线" w:hAnsi="等线"/>
      <w:noProof/>
    </w:rPr>
  </w:style>
  <w:style w:type="character" w:styleId="af4">
    <w:name w:val="annotation reference"/>
    <w:basedOn w:val="a0"/>
    <w:uiPriority w:val="99"/>
    <w:semiHidden/>
    <w:unhideWhenUsed/>
    <w:rsid w:val="0074330C"/>
    <w:rPr>
      <w:sz w:val="21"/>
      <w:szCs w:val="21"/>
    </w:rPr>
  </w:style>
  <w:style w:type="paragraph" w:styleId="af5">
    <w:name w:val="annotation text"/>
    <w:basedOn w:val="a"/>
    <w:link w:val="af6"/>
    <w:uiPriority w:val="99"/>
    <w:unhideWhenUsed/>
    <w:rsid w:val="0074330C"/>
  </w:style>
  <w:style w:type="character" w:customStyle="1" w:styleId="af6">
    <w:name w:val="批注文字 字符"/>
    <w:basedOn w:val="a0"/>
    <w:link w:val="af5"/>
    <w:uiPriority w:val="99"/>
    <w:rsid w:val="0074330C"/>
  </w:style>
  <w:style w:type="paragraph" w:styleId="af7">
    <w:name w:val="annotation subject"/>
    <w:basedOn w:val="af5"/>
    <w:next w:val="af5"/>
    <w:link w:val="af8"/>
    <w:uiPriority w:val="99"/>
    <w:semiHidden/>
    <w:unhideWhenUsed/>
    <w:rsid w:val="0074330C"/>
    <w:rPr>
      <w:b/>
      <w:bCs/>
    </w:rPr>
  </w:style>
  <w:style w:type="character" w:customStyle="1" w:styleId="af8">
    <w:name w:val="批注主题 字符"/>
    <w:basedOn w:val="af6"/>
    <w:link w:val="af7"/>
    <w:uiPriority w:val="99"/>
    <w:semiHidden/>
    <w:rsid w:val="00743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10</Pages>
  <Words>1097</Words>
  <Characters>6344</Characters>
  <Application>Microsoft Office Word</Application>
  <DocSecurity>0</DocSecurity>
  <Lines>211</Lines>
  <Paragraphs>106</Paragraphs>
  <ScaleCrop>false</ScaleCrop>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文瑶 周</dc:creator>
  <cp:keywords/>
  <dc:description/>
  <cp:lastModifiedBy>文瑶 周</cp:lastModifiedBy>
  <cp:revision>72</cp:revision>
  <dcterms:created xsi:type="dcterms:W3CDTF">2026-02-20T10:18:00Z</dcterms:created>
  <dcterms:modified xsi:type="dcterms:W3CDTF">2026-03-08T08:49:00Z</dcterms:modified>
</cp:coreProperties>
</file>