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30D3B" w14:textId="026D8DF4" w:rsidR="003A565D" w:rsidRPr="003A565D" w:rsidRDefault="003A565D" w:rsidP="003A565D">
      <w:r w:rsidRPr="003A565D">
        <w:drawing>
          <wp:inline distT="0" distB="0" distL="0" distR="0" wp14:anchorId="1C93DA1B" wp14:editId="3C00B6B2">
            <wp:extent cx="4733925" cy="2419350"/>
            <wp:effectExtent l="0" t="0" r="9525" b="0"/>
            <wp:docPr id="18583097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9" t="16162" r="5368" b="14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F7EF4" w14:textId="77777777" w:rsidR="003A565D" w:rsidRPr="003A565D" w:rsidRDefault="003A565D" w:rsidP="003A565D">
      <w:r w:rsidRPr="003A565D">
        <w:rPr>
          <w:b/>
          <w:bCs/>
        </w:rPr>
        <w:t xml:space="preserve">Scheme 1. Summary of the study conclusions on </w:t>
      </w:r>
      <w:proofErr w:type="spellStart"/>
      <w:r w:rsidRPr="003A565D">
        <w:rPr>
          <w:b/>
          <w:bCs/>
        </w:rPr>
        <w:t>synbiotics</w:t>
      </w:r>
      <w:proofErr w:type="spellEnd"/>
      <w:r w:rsidRPr="003A565D">
        <w:rPr>
          <w:b/>
          <w:bCs/>
        </w:rPr>
        <w:t xml:space="preserve"> as antiviral candidates.</w:t>
      </w:r>
      <w:r w:rsidRPr="003A565D">
        <w:t xml:space="preserve"> Plant-derived prebiotics, probiotic preparations (notably </w:t>
      </w:r>
      <w:r w:rsidRPr="003A565D">
        <w:rPr>
          <w:i/>
          <w:iCs/>
        </w:rPr>
        <w:t>Lactobacillus plantarum</w:t>
      </w:r>
      <w:r w:rsidRPr="003A565D">
        <w:t xml:space="preserve"> and </w:t>
      </w:r>
      <w:r w:rsidRPr="003A565D">
        <w:rPr>
          <w:i/>
          <w:iCs/>
        </w:rPr>
        <w:t>L. acidophilus</w:t>
      </w:r>
      <w:r w:rsidRPr="003A565D">
        <w:t xml:space="preserve">), and </w:t>
      </w:r>
      <w:proofErr w:type="spellStart"/>
      <w:r w:rsidRPr="003A565D">
        <w:t>synbiotic</w:t>
      </w:r>
      <w:proofErr w:type="spellEnd"/>
      <w:r w:rsidRPr="003A565D">
        <w:t xml:space="preserve"> combinations reduced viral infectivity of HSV-1 (DNA virus) and VSV (RNA virus) in Vero cell assays. The scheme highlights strain-/preparation-dependent effects and outlines key next steps, including mechanistic characterization, validation in additional cell models, and in vivo evaluation.</w:t>
      </w:r>
    </w:p>
    <w:p w14:paraId="06E3F5A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65D"/>
    <w:rsid w:val="003A565D"/>
    <w:rsid w:val="00767E38"/>
    <w:rsid w:val="00866F7D"/>
    <w:rsid w:val="00E066B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2EF8F"/>
  <w15:chartTrackingRefBased/>
  <w15:docId w15:val="{6C7D4F86-FDAD-4A26-A24A-FB7C2DB4C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6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6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6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6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6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6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6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6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6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6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6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6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6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6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6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6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6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6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6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6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6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6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6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6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6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6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6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6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6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2026-03-17T07:24:00Z</dcterms:created>
  <dcterms:modified xsi:type="dcterms:W3CDTF">2026-03-17T07:24:00Z</dcterms:modified>
</cp:coreProperties>
</file>